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47E1" w14:textId="77777777" w:rsidR="00016307" w:rsidRDefault="00016307"/>
    <w:p w14:paraId="4F88492F" w14:textId="6052D3E5" w:rsidR="00016307" w:rsidRDefault="00C26824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Simulation of </w:t>
      </w:r>
      <w:r w:rsidR="00D37DBE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Cobalt 60 Beta Decay </w:t>
      </w:r>
    </w:p>
    <w:p w14:paraId="3A6C5E3A" w14:textId="77777777" w:rsidR="00016307" w:rsidRDefault="0045214E">
      <w:pPr>
        <w:spacing w:after="0" w:line="240" w:lineRule="auto"/>
        <w:jc w:val="center"/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Utilizing</w:t>
      </w:r>
      <w:r w:rsidR="00C26824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Geant4 Monte Carlo</w:t>
      </w:r>
    </w:p>
    <w:p w14:paraId="6A679BDA" w14:textId="77777777" w:rsidR="00016307" w:rsidRDefault="00016307"/>
    <w:p w14:paraId="23D2F0A9" w14:textId="77777777" w:rsidR="00016307" w:rsidRDefault="00016307"/>
    <w:p w14:paraId="6E673D89" w14:textId="77777777" w:rsidR="00016307" w:rsidRDefault="00C26824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Submitted to</w:t>
      </w:r>
    </w:p>
    <w:p w14:paraId="09B0AF2D" w14:textId="77777777" w:rsidR="00016307" w:rsidRDefault="006E0102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2C2D31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2C2D31"/>
          <w:sz w:val="32"/>
          <w:szCs w:val="32"/>
        </w:rPr>
        <w:t>TBD</w:t>
      </w:r>
    </w:p>
    <w:p w14:paraId="5A3D154E" w14:textId="77777777" w:rsidR="00016307" w:rsidRDefault="00C26824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By</w:t>
      </w:r>
    </w:p>
    <w:p w14:paraId="746747DF" w14:textId="77777777" w:rsidR="00016307" w:rsidRDefault="00C26824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Faramarz Arad</w:t>
      </w:r>
    </w:p>
    <w:p w14:paraId="393D1D7D" w14:textId="77777777" w:rsidR="00016307" w:rsidRDefault="00C26824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 xml:space="preserve">Department of </w:t>
      </w:r>
      <w:r w:rsidR="006E0102"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TBD</w:t>
      </w: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 xml:space="preserve"> Engineering,</w:t>
      </w:r>
    </w:p>
    <w:p w14:paraId="78A11867" w14:textId="77777777" w:rsidR="00016307" w:rsidRDefault="00C26824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 xml:space="preserve">University of </w:t>
      </w:r>
      <w:r w:rsidR="006E0102"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TBD</w:t>
      </w: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 xml:space="preserve">, </w:t>
      </w:r>
      <w:r w:rsidR="006E0102"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TBD</w:t>
      </w:r>
    </w:p>
    <w:p w14:paraId="57321902" w14:textId="0D62FFAE" w:rsidR="00016307" w:rsidRDefault="009B40ED">
      <w:pPr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June</w:t>
      </w:r>
      <w:r w:rsidR="00C26824"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 xml:space="preserve"> 29th, 2023</w:t>
      </w:r>
    </w:p>
    <w:p w14:paraId="37F649A7" w14:textId="77777777" w:rsidR="00016307" w:rsidRDefault="00C26824">
      <w:pP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br w:type="page"/>
      </w:r>
    </w:p>
    <w:p w14:paraId="7E746308" w14:textId="77777777" w:rsidR="00016307" w:rsidRDefault="00C2682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Abstract</w:t>
      </w:r>
    </w:p>
    <w:p w14:paraId="009820A3" w14:textId="57C81317" w:rsidR="00110667" w:rsidRPr="008A46EC" w:rsidRDefault="006C072A">
      <w:pPr>
        <w:spacing w:after="0" w:line="240" w:lineRule="auto"/>
        <w:rPr>
          <w:rFonts w:ascii="Arial" w:hAnsi="Arial" w:cs="Arial"/>
        </w:rPr>
      </w:pPr>
      <w:r w:rsidRPr="008A46EC">
        <w:rPr>
          <w:rFonts w:ascii="Arial" w:hAnsi="Arial" w:cs="Arial"/>
        </w:rPr>
        <w:t>Cobalt-60 (</w:t>
      </w:r>
      <w:r w:rsidRPr="008A46EC">
        <w:rPr>
          <w:rFonts w:ascii="Arial" w:hAnsi="Arial" w:cs="Arial"/>
          <w:vertAlign w:val="superscript"/>
        </w:rPr>
        <w:t>60</w:t>
      </w:r>
      <w:r w:rsidRPr="008A46EC">
        <w:rPr>
          <w:rFonts w:ascii="Arial" w:hAnsi="Arial" w:cs="Arial"/>
        </w:rPr>
        <w:t>Co) is radioactive isotope of Cobalt with a half time of 5.2713 years.  It is artificially produced in fission reactor.  The main advantage of this isotope is that it has low</w:t>
      </w:r>
      <w:r w:rsidR="00110667" w:rsidRPr="008A46EC">
        <w:rPr>
          <w:rFonts w:ascii="Arial" w:hAnsi="Arial" w:cs="Arial"/>
        </w:rPr>
        <w:t xml:space="preserve"> energy</w:t>
      </w:r>
      <w:r w:rsidRPr="008A46EC">
        <w:rPr>
          <w:rFonts w:ascii="Arial" w:hAnsi="Arial" w:cs="Arial"/>
        </w:rPr>
        <w:t xml:space="preserve"> β</w:t>
      </w:r>
      <w:r w:rsidR="00110667" w:rsidRPr="008A46EC">
        <w:rPr>
          <w:rFonts w:ascii="Arial" w:hAnsi="Arial" w:cs="Arial"/>
        </w:rPr>
        <w:t>-</w:t>
      </w:r>
      <w:r w:rsidRPr="008A46EC">
        <w:rPr>
          <w:rFonts w:ascii="Arial" w:hAnsi="Arial" w:cs="Arial"/>
        </w:rPr>
        <w:t xml:space="preserve">decay </w:t>
      </w:r>
      <w:r w:rsidR="00110667" w:rsidRPr="008A46EC">
        <w:rPr>
          <w:rFonts w:ascii="Arial" w:hAnsi="Arial" w:cs="Arial"/>
        </w:rPr>
        <w:t xml:space="preserve">which is easily shielded; however, the gamma-ray emission lines have energies around 1.3 [MeV] and are highly penetrating.  This effort is intended to simulate the β-decay of Cobalt 60 and compare the Monte Carlo result against the Fermi Theory of Beta Decay [1]. </w:t>
      </w:r>
      <w:r w:rsidR="00202184" w:rsidRPr="008A46EC">
        <w:rPr>
          <w:rFonts w:ascii="Arial" w:hAnsi="Arial" w:cs="Arial"/>
        </w:rPr>
        <w:t>Monte Carlo simulation is implemented using Geant4 [2] on UNIX/Ubuntu platform.</w:t>
      </w:r>
      <w:r w:rsidR="000533FD" w:rsidRPr="008A46EC">
        <w:rPr>
          <w:rFonts w:ascii="Arial" w:hAnsi="Arial" w:cs="Arial"/>
        </w:rPr>
        <w:t xml:space="preserve">  The Cobalt-60 decays to Nic</w:t>
      </w:r>
      <w:r w:rsidR="00411536" w:rsidRPr="008A46EC">
        <w:rPr>
          <w:rFonts w:ascii="Arial" w:hAnsi="Arial" w:cs="Arial"/>
        </w:rPr>
        <w:t>kel</w:t>
      </w:r>
      <w:r w:rsidR="000533FD" w:rsidRPr="008A46EC">
        <w:rPr>
          <w:rFonts w:ascii="Arial" w:hAnsi="Arial" w:cs="Arial"/>
        </w:rPr>
        <w:t xml:space="preserve">-60 plus an electron and an electron anti-neutrino is simulated and the energy spectrum of the two gamma ray photons (from the nuclear excited state of </w:t>
      </w:r>
      <w:r w:rsidR="00411536" w:rsidRPr="008A46EC">
        <w:rPr>
          <w:rFonts w:ascii="Arial" w:hAnsi="Arial" w:cs="Arial"/>
        </w:rPr>
        <w:t>N</w:t>
      </w:r>
      <w:r w:rsidR="000533FD" w:rsidRPr="008A46EC">
        <w:rPr>
          <w:rFonts w:ascii="Arial" w:hAnsi="Arial" w:cs="Arial"/>
        </w:rPr>
        <w:t>ickel-60), Beta decay and electron anti-neutrino are plotted</w:t>
      </w:r>
      <w:r w:rsidR="00911CA2" w:rsidRPr="008A46EC">
        <w:rPr>
          <w:rFonts w:ascii="Arial" w:hAnsi="Arial" w:cs="Arial"/>
        </w:rPr>
        <w:t xml:space="preserve"> using ROOT tool [3].  </w:t>
      </w:r>
      <w:r w:rsidR="00411536" w:rsidRPr="008A46EC">
        <w:rPr>
          <w:rFonts w:ascii="Arial" w:hAnsi="Arial" w:cs="Arial"/>
        </w:rPr>
        <w:t xml:space="preserve">The comparison of the simulation results and the theoretical model showed that Geant4 Application provides a very accurate approximation of this phenomenon.  The margin of error between the gamma ray is less than </w:t>
      </w:r>
      <w:r w:rsidR="00402D22">
        <w:rPr>
          <w:rFonts w:ascii="Arial" w:hAnsi="Arial" w:cs="Arial"/>
        </w:rPr>
        <w:t>0.5</w:t>
      </w:r>
      <w:r w:rsidR="00411536" w:rsidRPr="008A46EC">
        <w:rPr>
          <w:rFonts w:ascii="Arial" w:hAnsi="Arial" w:cs="Arial"/>
        </w:rPr>
        <w:t xml:space="preserve"> percent, the maximum of Beta’s energy spectrum is less than </w:t>
      </w:r>
      <w:r w:rsidR="00FE1B66">
        <w:rPr>
          <w:rFonts w:ascii="Arial" w:hAnsi="Arial" w:cs="Arial"/>
        </w:rPr>
        <w:t>0.01</w:t>
      </w:r>
      <w:r w:rsidR="00411536" w:rsidRPr="008A46EC">
        <w:rPr>
          <w:rFonts w:ascii="Arial" w:hAnsi="Arial" w:cs="Arial"/>
        </w:rPr>
        <w:t xml:space="preserve"> percent, the energy spectrum </w:t>
      </w:r>
      <w:r w:rsidR="005368BA">
        <w:rPr>
          <w:rFonts w:ascii="Arial" w:hAnsi="Arial" w:cs="Arial"/>
        </w:rPr>
        <w:t xml:space="preserve">(curvature) </w:t>
      </w:r>
      <w:r w:rsidR="00411536" w:rsidRPr="008A46EC">
        <w:rPr>
          <w:rFonts w:ascii="Arial" w:hAnsi="Arial" w:cs="Arial"/>
        </w:rPr>
        <w:t xml:space="preserve">of Beta resembles the </w:t>
      </w:r>
      <w:r w:rsidR="008A46EC">
        <w:rPr>
          <w:rFonts w:ascii="Arial" w:hAnsi="Arial" w:cs="Arial"/>
        </w:rPr>
        <w:t xml:space="preserve">impact of the </w:t>
      </w:r>
      <w:r w:rsidR="008A46EC" w:rsidRPr="008A46EC">
        <w:rPr>
          <w:rStyle w:val="ykmvie"/>
          <w:rFonts w:ascii="Arial" w:hAnsi="Arial" w:cs="Arial"/>
        </w:rPr>
        <w:t xml:space="preserve">Coulomb law of attraction.  In conclusion, this effort to simulate the </w:t>
      </w:r>
      <w:r w:rsidR="008A46EC">
        <w:rPr>
          <w:rStyle w:val="ykmvie"/>
          <w:rFonts w:ascii="Arial" w:hAnsi="Arial" w:cs="Arial"/>
        </w:rPr>
        <w:t xml:space="preserve">beta decay </w:t>
      </w:r>
      <w:r w:rsidR="008A46EC" w:rsidRPr="008A46EC">
        <w:rPr>
          <w:rStyle w:val="ykmvie"/>
          <w:rFonts w:ascii="Arial" w:hAnsi="Arial" w:cs="Arial"/>
        </w:rPr>
        <w:t>phenomena with Geant4 Monte Carlo tool provided a deep understanding on the topic of decay</w:t>
      </w:r>
      <w:r w:rsidR="008A46EC">
        <w:rPr>
          <w:rStyle w:val="ykmvie"/>
          <w:rFonts w:ascii="Arial" w:hAnsi="Arial" w:cs="Arial"/>
        </w:rPr>
        <w:t>s</w:t>
      </w:r>
      <w:r w:rsidR="00463B84">
        <w:rPr>
          <w:rStyle w:val="ykmvie"/>
          <w:rFonts w:ascii="Arial" w:hAnsi="Arial" w:cs="Arial"/>
        </w:rPr>
        <w:t xml:space="preserve"> along with understanding of Geant4 Montecarlo simulation application</w:t>
      </w:r>
      <w:r w:rsidR="008A46EC" w:rsidRPr="008A46EC">
        <w:rPr>
          <w:rStyle w:val="ykmvie"/>
          <w:rFonts w:ascii="Arial" w:hAnsi="Arial" w:cs="Arial"/>
        </w:rPr>
        <w:t>.</w:t>
      </w:r>
    </w:p>
    <w:p w14:paraId="21C8743A" w14:textId="2DD3DA9C" w:rsidR="00110667" w:rsidRDefault="00110667">
      <w:pPr>
        <w:spacing w:after="0" w:line="240" w:lineRule="auto"/>
        <w:rPr>
          <w:rFonts w:ascii="Arial" w:hAnsi="Arial" w:cs="Arial"/>
        </w:rPr>
      </w:pPr>
    </w:p>
    <w:p w14:paraId="03B2B353" w14:textId="2C5C5577" w:rsidR="00FB7650" w:rsidRPr="00FB7650" w:rsidRDefault="00FB765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7650">
        <w:rPr>
          <w:rFonts w:ascii="Arial" w:hAnsi="Arial" w:cs="Arial"/>
          <w:b/>
          <w:bCs/>
          <w:sz w:val="24"/>
          <w:szCs w:val="24"/>
        </w:rPr>
        <w:t>Introduction</w:t>
      </w:r>
    </w:p>
    <w:p w14:paraId="3188D56C" w14:textId="531FE8CF" w:rsidR="0099689D" w:rsidRDefault="0019317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Cobalt-60 is used in a myriad of industries.  It is used as implants and external source of radiation exposure in the medical industries.  </w:t>
      </w:r>
      <w:r w:rsidR="00480FC3">
        <w:rPr>
          <w:rFonts w:ascii="Arial" w:hAnsi="Arial" w:cs="Arial"/>
        </w:rPr>
        <w:t xml:space="preserve">It is used for medical devices sterilization process to kill microorganisms.  </w:t>
      </w:r>
      <w:r>
        <w:rPr>
          <w:rFonts w:ascii="Arial" w:hAnsi="Arial" w:cs="Arial"/>
        </w:rPr>
        <w:t xml:space="preserve">It is used to detect flaws, to inspect metal parts and to inspect welds in industrial radiography.  </w:t>
      </w:r>
      <w:r w:rsidR="0099689D">
        <w:rPr>
          <w:rFonts w:ascii="Arial" w:hAnsi="Arial" w:cs="Arial"/>
        </w:rPr>
        <w:t xml:space="preserve">It is used for food irradiation as a safety process that uses radiation to kill germs causing food poisoning.  </w:t>
      </w:r>
      <w:r w:rsidR="00E36416">
        <w:rPr>
          <w:rFonts w:ascii="Arial" w:hAnsi="Arial" w:cs="Arial"/>
        </w:rPr>
        <w:t xml:space="preserve">Cobalt-60 is very advantages because it is a high intensity gamma-ray emitter with a relatively long half-life.  The released beta is low energy </w:t>
      </w:r>
      <w:r w:rsidR="003A1E24">
        <w:rPr>
          <w:rFonts w:ascii="Arial" w:hAnsi="Arial" w:cs="Arial"/>
        </w:rPr>
        <w:t>and it</w:t>
      </w:r>
      <w:r w:rsidR="00E36416">
        <w:rPr>
          <w:rFonts w:ascii="Arial" w:hAnsi="Arial" w:cs="Arial"/>
        </w:rPr>
        <w:t xml:space="preserve"> easily shielde</w:t>
      </w:r>
      <w:r w:rsidR="00BB0B80">
        <w:rPr>
          <w:rFonts w:ascii="Arial" w:hAnsi="Arial" w:cs="Arial"/>
        </w:rPr>
        <w:t>d while the gamma-ray emission lines have energies around 1.3 [MeV] so they are highly penetrating.  Furthermore, the chemical properties of cobalt</w:t>
      </w:r>
      <w:r w:rsidR="003A1E24">
        <w:rPr>
          <w:rFonts w:ascii="Arial" w:hAnsi="Arial" w:cs="Arial"/>
        </w:rPr>
        <w:t>,</w:t>
      </w:r>
      <w:r w:rsidR="00BB0B80">
        <w:rPr>
          <w:rFonts w:ascii="Arial" w:hAnsi="Arial" w:cs="Arial"/>
        </w:rPr>
        <w:t xml:space="preserve"> like resistance to oxidization and low solubility in water</w:t>
      </w:r>
      <w:r w:rsidR="003A1E24">
        <w:rPr>
          <w:rFonts w:ascii="Arial" w:hAnsi="Arial" w:cs="Arial"/>
        </w:rPr>
        <w:t>,</w:t>
      </w:r>
      <w:r w:rsidR="00BB0B80">
        <w:rPr>
          <w:rFonts w:ascii="Arial" w:hAnsi="Arial" w:cs="Arial"/>
        </w:rPr>
        <w:t xml:space="preserve"> are favorable in comparison to other sources of gamma sources such as ceasium-137.  </w:t>
      </w:r>
    </w:p>
    <w:p w14:paraId="1694243E" w14:textId="77777777" w:rsidR="0099689D" w:rsidRDefault="0099689D">
      <w:pPr>
        <w:spacing w:after="0" w:line="240" w:lineRule="auto"/>
        <w:rPr>
          <w:rFonts w:ascii="Arial" w:hAnsi="Arial" w:cs="Arial"/>
        </w:rPr>
      </w:pPr>
    </w:p>
    <w:p w14:paraId="70D5ABDF" w14:textId="04B75791" w:rsidR="00480FC3" w:rsidRDefault="00A526D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Cobalt-60 is radioactive isotope of cobalt which is produced artificially in nuclear reactor.  It is </w:t>
      </w:r>
      <w:r w:rsidR="00EB6B62">
        <w:rPr>
          <w:rFonts w:ascii="Arial" w:hAnsi="Arial" w:cs="Arial"/>
        </w:rPr>
        <w:t>produced</w:t>
      </w:r>
      <w:r>
        <w:rPr>
          <w:rFonts w:ascii="Arial" w:hAnsi="Arial" w:cs="Arial"/>
        </w:rPr>
        <w:t xml:space="preserve"> by the neutron activation of Cobalt-59.  It undergoes beta decay to the stable isotope of </w:t>
      </w:r>
      <w:r w:rsidR="002710A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ickel-60.  The excited nickel nucleus emits two </w:t>
      </w:r>
      <w:r w:rsidR="00EB6B62">
        <w:rPr>
          <w:rFonts w:ascii="Arial" w:hAnsi="Arial" w:cs="Arial"/>
        </w:rPr>
        <w:t>gammas’</w:t>
      </w:r>
      <w:r>
        <w:rPr>
          <w:rFonts w:ascii="Arial" w:hAnsi="Arial" w:cs="Arial"/>
        </w:rPr>
        <w:t xml:space="preserve"> rays with energies of 1.17 and 1.33 [MeV], hence the nuclear reaction is:</w:t>
      </w:r>
    </w:p>
    <w:p w14:paraId="69C1EE31" w14:textId="77777777" w:rsidR="00A526DE" w:rsidRDefault="00A526DE">
      <w:pPr>
        <w:spacing w:after="0" w:line="240" w:lineRule="auto"/>
        <w:rPr>
          <w:rFonts w:ascii="Arial" w:hAnsi="Arial" w:cs="Arial"/>
        </w:rPr>
      </w:pPr>
    </w:p>
    <w:p w14:paraId="3A90044A" w14:textId="2CB7DD46" w:rsidR="00A526DE" w:rsidRDefault="00374BC2" w:rsidP="00A526D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5</w:t>
      </w:r>
      <w:r w:rsidR="00A526DE">
        <w:rPr>
          <w:rFonts w:ascii="Arial" w:hAnsi="Arial" w:cs="Arial"/>
          <w:vertAlign w:val="superscript"/>
        </w:rPr>
        <w:t>9</w:t>
      </w:r>
      <w:r w:rsidR="00A526DE" w:rsidRPr="008A46EC">
        <w:rPr>
          <w:rFonts w:ascii="Arial" w:hAnsi="Arial" w:cs="Arial"/>
        </w:rPr>
        <w:t>Co</w:t>
      </w:r>
      <w:r w:rsidR="00A526DE">
        <w:rPr>
          <w:rFonts w:ascii="Arial" w:hAnsi="Arial" w:cs="Arial"/>
        </w:rPr>
        <w:t xml:space="preserve"> + n -&gt; </w:t>
      </w:r>
      <w:r w:rsidR="00A526DE" w:rsidRPr="008A46EC">
        <w:rPr>
          <w:rFonts w:ascii="Arial" w:hAnsi="Arial" w:cs="Arial"/>
          <w:vertAlign w:val="superscript"/>
        </w:rPr>
        <w:t>60</w:t>
      </w:r>
      <w:r w:rsidR="00A526DE">
        <w:rPr>
          <w:rFonts w:ascii="Arial" w:hAnsi="Arial" w:cs="Arial"/>
        </w:rPr>
        <w:t>Ni + e</w:t>
      </w:r>
      <w:r w:rsidR="00A526DE" w:rsidRPr="00A526DE">
        <w:rPr>
          <w:rFonts w:ascii="Arial" w:hAnsi="Arial" w:cs="Arial"/>
          <w:vertAlign w:val="superscript"/>
        </w:rPr>
        <w:t>-</w:t>
      </w:r>
      <w:r w:rsidR="00A526DE">
        <w:rPr>
          <w:rFonts w:ascii="Arial" w:hAnsi="Arial" w:cs="Arial"/>
        </w:rPr>
        <w:t xml:space="preserve"> + ν</w:t>
      </w:r>
      <w:r w:rsidR="00A526DE" w:rsidRPr="00EB6B62">
        <w:rPr>
          <w:rFonts w:ascii="Arial" w:hAnsi="Arial" w:cs="Arial"/>
          <w:vertAlign w:val="subscript"/>
        </w:rPr>
        <w:t>e</w:t>
      </w:r>
      <w:r w:rsidR="00A526DE">
        <w:rPr>
          <w:rFonts w:ascii="Arial" w:hAnsi="Arial" w:cs="Arial"/>
        </w:rPr>
        <w:t xml:space="preserve"> + gamma rays.</w:t>
      </w:r>
      <w:r w:rsidR="00310378">
        <w:rPr>
          <w:rFonts w:ascii="Arial" w:hAnsi="Arial" w:cs="Arial"/>
        </w:rPr>
        <w:t xml:space="preserve"> (1)</w:t>
      </w:r>
    </w:p>
    <w:p w14:paraId="6F252D84" w14:textId="77777777" w:rsidR="00EB6B62" w:rsidRDefault="00EB6B62" w:rsidP="00A526DE">
      <w:pPr>
        <w:spacing w:after="0" w:line="240" w:lineRule="auto"/>
        <w:jc w:val="center"/>
        <w:rPr>
          <w:rFonts w:ascii="Arial" w:hAnsi="Arial" w:cs="Arial"/>
        </w:rPr>
      </w:pPr>
    </w:p>
    <w:p w14:paraId="66FAB13C" w14:textId="53963E94" w:rsidR="00EB6B62" w:rsidRDefault="00EB6B62" w:rsidP="00EB6B6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decay </w:t>
      </w:r>
      <w:r w:rsidR="00374BC2">
        <w:rPr>
          <w:rFonts w:ascii="Arial" w:hAnsi="Arial" w:cs="Arial"/>
        </w:rPr>
        <w:t xml:space="preserve">scheme of </w:t>
      </w:r>
      <w:r w:rsidR="00374BC2" w:rsidRPr="008A46EC">
        <w:rPr>
          <w:rFonts w:ascii="Arial" w:hAnsi="Arial" w:cs="Arial"/>
          <w:vertAlign w:val="superscript"/>
        </w:rPr>
        <w:t>6</w:t>
      </w:r>
      <w:r w:rsidR="00374BC2">
        <w:rPr>
          <w:rFonts w:ascii="Arial" w:hAnsi="Arial" w:cs="Arial"/>
          <w:vertAlign w:val="superscript"/>
        </w:rPr>
        <w:t>0</w:t>
      </w:r>
      <w:r w:rsidR="00374BC2" w:rsidRPr="008A46EC">
        <w:rPr>
          <w:rFonts w:ascii="Arial" w:hAnsi="Arial" w:cs="Arial"/>
        </w:rPr>
        <w:t>Co</w:t>
      </w:r>
      <w:r w:rsidR="00374B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</w:t>
      </w:r>
      <w:r w:rsidR="00525625">
        <w:rPr>
          <w:rFonts w:ascii="Arial" w:hAnsi="Arial" w:cs="Arial"/>
        </w:rPr>
        <w:t>f</w:t>
      </w:r>
      <w:r>
        <w:rPr>
          <w:rFonts w:ascii="Arial" w:hAnsi="Arial" w:cs="Arial"/>
        </w:rPr>
        <w:t>igure</w:t>
      </w:r>
      <w:r w:rsidR="00374BC2">
        <w:rPr>
          <w:rFonts w:ascii="Arial" w:hAnsi="Arial" w:cs="Arial"/>
        </w:rPr>
        <w:t xml:space="preserve"> </w:t>
      </w:r>
      <w:r w:rsidR="00FB3602">
        <w:rPr>
          <w:rFonts w:ascii="Arial" w:hAnsi="Arial" w:cs="Arial"/>
        </w:rPr>
        <w:t>(1)</w:t>
      </w:r>
      <w:r w:rsidR="00374BC2">
        <w:rPr>
          <w:rFonts w:ascii="Arial" w:hAnsi="Arial" w:cs="Arial"/>
        </w:rPr>
        <w:t xml:space="preserve">.  The main Beta-decay, gammas released because of </w:t>
      </w:r>
      <w:r w:rsidR="00374BC2" w:rsidRPr="008A46EC">
        <w:rPr>
          <w:rFonts w:ascii="Arial" w:hAnsi="Arial" w:cs="Arial"/>
          <w:vertAlign w:val="superscript"/>
        </w:rPr>
        <w:t>60</w:t>
      </w:r>
      <w:r w:rsidR="00374BC2">
        <w:rPr>
          <w:rFonts w:ascii="Arial" w:hAnsi="Arial" w:cs="Arial"/>
        </w:rPr>
        <w:t xml:space="preserve">Ni  excited nucleus along with the </w:t>
      </w:r>
      <w:r w:rsidR="002C1BA5">
        <w:rPr>
          <w:rFonts w:ascii="Arial" w:hAnsi="Arial" w:cs="Arial"/>
        </w:rPr>
        <w:t>transitional</w:t>
      </w:r>
      <w:r w:rsidR="00374BC2">
        <w:rPr>
          <w:rFonts w:ascii="Arial" w:hAnsi="Arial" w:cs="Arial"/>
        </w:rPr>
        <w:t xml:space="preserve"> probability [</w:t>
      </w:r>
      <w:r w:rsidR="00E75B7C">
        <w:rPr>
          <w:rFonts w:ascii="Arial" w:hAnsi="Arial" w:cs="Arial"/>
        </w:rPr>
        <w:t>4</w:t>
      </w:r>
      <w:r w:rsidR="00374BC2">
        <w:rPr>
          <w:rFonts w:ascii="Arial" w:hAnsi="Arial" w:cs="Arial"/>
        </w:rPr>
        <w:t xml:space="preserve">]. </w:t>
      </w:r>
      <w:r>
        <w:rPr>
          <w:rFonts w:ascii="Arial" w:hAnsi="Arial" w:cs="Arial"/>
        </w:rPr>
        <w:t xml:space="preserve"> </w:t>
      </w:r>
    </w:p>
    <w:p w14:paraId="7F26202E" w14:textId="77777777" w:rsidR="00EB6B62" w:rsidRDefault="00EB6B62" w:rsidP="00EB6B62">
      <w:pPr>
        <w:spacing w:after="0" w:line="240" w:lineRule="auto"/>
        <w:rPr>
          <w:rFonts w:ascii="Arial" w:hAnsi="Arial" w:cs="Arial"/>
        </w:rPr>
      </w:pPr>
    </w:p>
    <w:p w14:paraId="21D57B4E" w14:textId="77777777" w:rsidR="00184BBE" w:rsidRDefault="00EB6B62" w:rsidP="00184BB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D3C3D56" wp14:editId="6F0D5451">
            <wp:extent cx="2878864" cy="140017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20" cy="140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56CD" w14:textId="46E1B93C" w:rsidR="00184BBE" w:rsidRPr="00DD7FAF" w:rsidRDefault="00184BBE" w:rsidP="00184BBE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DD7FAF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\s 1 </w:instrTex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CD0DB2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</w: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DD7FAF">
        <w:rPr>
          <w:rFonts w:ascii="Arial" w:hAnsi="Arial" w:cs="Arial"/>
          <w:i w:val="0"/>
          <w:iCs w:val="0"/>
          <w:color w:val="auto"/>
          <w:sz w:val="22"/>
          <w:szCs w:val="22"/>
        </w:rPr>
        <w:t>: Decay Diagram of Cobalt 60.</w:t>
      </w:r>
    </w:p>
    <w:p w14:paraId="39592923" w14:textId="5E80AC2E" w:rsidR="00A526DE" w:rsidRDefault="00A526D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4A7D15A9" w14:textId="77777777" w:rsidR="00480FC3" w:rsidRDefault="00480FC3">
      <w:pPr>
        <w:spacing w:after="0" w:line="240" w:lineRule="auto"/>
        <w:rPr>
          <w:rFonts w:ascii="Arial" w:hAnsi="Arial" w:cs="Arial"/>
        </w:rPr>
      </w:pPr>
    </w:p>
    <w:p w14:paraId="40E4CA57" w14:textId="77777777" w:rsidR="00EB6B62" w:rsidRDefault="00EB6B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3766A90" w14:textId="74AD8C1A" w:rsidR="002352BF" w:rsidRDefault="002352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7650">
        <w:rPr>
          <w:rFonts w:ascii="Arial" w:hAnsi="Arial" w:cs="Arial"/>
          <w:b/>
          <w:bCs/>
          <w:sz w:val="24"/>
          <w:szCs w:val="24"/>
        </w:rPr>
        <w:t>Fermi Theory of β decay</w:t>
      </w:r>
    </w:p>
    <w:p w14:paraId="6A5CCB94" w14:textId="59482408" w:rsidR="002352BF" w:rsidRPr="00755CA2" w:rsidRDefault="0048047C">
      <w:pPr>
        <w:spacing w:after="0" w:line="240" w:lineRule="auto"/>
        <w:rPr>
          <w:rFonts w:ascii="Arial" w:hAnsi="Arial" w:cs="Arial"/>
        </w:rPr>
      </w:pPr>
      <w:r w:rsidRPr="00755CA2">
        <w:rPr>
          <w:rFonts w:ascii="Arial" w:hAnsi="Arial" w:cs="Arial"/>
        </w:rPr>
        <w:t>Enrico Fermi proposed a low-energy effective field theory deciphering the interaction of four fermions with one another.  His theory explained the beta decay of a neutron by direct coupling of a neutron with an electron, an anti-</w:t>
      </w:r>
      <w:r w:rsidR="00091DDE" w:rsidRPr="00755CA2">
        <w:rPr>
          <w:rFonts w:ascii="Arial" w:hAnsi="Arial" w:cs="Arial"/>
        </w:rPr>
        <w:t>neutrino,</w:t>
      </w:r>
      <w:r w:rsidRPr="00755CA2">
        <w:rPr>
          <w:rFonts w:ascii="Arial" w:hAnsi="Arial" w:cs="Arial"/>
        </w:rPr>
        <w:t xml:space="preserve"> and a proton.</w:t>
      </w:r>
      <w:r w:rsidR="00091DDE" w:rsidRPr="00755CA2">
        <w:rPr>
          <w:rFonts w:ascii="Arial" w:hAnsi="Arial" w:cs="Arial"/>
        </w:rPr>
        <w:t xml:space="preserve">  The c</w:t>
      </w:r>
      <w:r w:rsidR="002352BF" w:rsidRPr="00755CA2">
        <w:rPr>
          <w:rFonts w:ascii="Arial" w:hAnsi="Arial" w:cs="Arial"/>
        </w:rPr>
        <w:t>alculation of transition probability of the Beta decay</w:t>
      </w:r>
      <w:r w:rsidR="00091DDE" w:rsidRPr="00755CA2">
        <w:rPr>
          <w:rFonts w:ascii="Arial" w:hAnsi="Arial" w:cs="Arial"/>
        </w:rPr>
        <w:t xml:space="preserve"> resulted by the theory </w:t>
      </w:r>
      <w:r w:rsidR="002352BF" w:rsidRPr="00755CA2">
        <w:rPr>
          <w:rFonts w:ascii="Arial" w:hAnsi="Arial" w:cs="Arial"/>
        </w:rPr>
        <w:t>treated the decay-causing interaction as a weak perturbation.</w:t>
      </w:r>
    </w:p>
    <w:p w14:paraId="66359D9B" w14:textId="31EC2444" w:rsidR="002352BF" w:rsidRDefault="002352BF">
      <w:pPr>
        <w:spacing w:after="0" w:line="240" w:lineRule="auto"/>
        <w:rPr>
          <w:rFonts w:ascii="Arial" w:hAnsi="Arial" w:cs="Arial"/>
        </w:rPr>
      </w:pPr>
    </w:p>
    <w:p w14:paraId="4B382031" w14:textId="0984B645" w:rsidR="002352BF" w:rsidRDefault="00564C91" w:rsidP="0092520C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λ = </w:t>
      </w:r>
      <w:r w:rsidR="009F5DD8">
        <w:rPr>
          <w:rFonts w:ascii="Arial" w:hAnsi="Arial" w:cs="Arial"/>
        </w:rPr>
        <w:t>(2π/h) |</w:t>
      </w:r>
      <w:r w:rsidR="009F5DD8" w:rsidRPr="009F5DD8">
        <w:rPr>
          <w:rFonts w:ascii="Arial" w:hAnsi="Arial" w:cs="Arial"/>
          <w:i/>
          <w:iCs/>
        </w:rPr>
        <w:t>v</w:t>
      </w:r>
      <w:r w:rsidR="009F5DD8" w:rsidRPr="009F5DD8">
        <w:rPr>
          <w:rFonts w:ascii="Arial" w:hAnsi="Arial" w:cs="Arial"/>
          <w:i/>
          <w:iCs/>
          <w:vertAlign w:val="subscript"/>
        </w:rPr>
        <w:t>fi</w:t>
      </w:r>
      <w:r w:rsidR="009F5DD8">
        <w:rPr>
          <w:rFonts w:ascii="Arial" w:hAnsi="Arial" w:cs="Arial"/>
        </w:rPr>
        <w:t>|</w:t>
      </w:r>
      <w:r w:rsidR="009F5DD8" w:rsidRPr="009F5DD8">
        <w:rPr>
          <w:rFonts w:ascii="Arial" w:hAnsi="Arial" w:cs="Arial"/>
          <w:vertAlign w:val="superscript"/>
        </w:rPr>
        <w:t>2</w:t>
      </w:r>
      <w:r w:rsidR="009F5DD8">
        <w:rPr>
          <w:rFonts w:ascii="Arial" w:hAnsi="Arial" w:cs="Arial"/>
        </w:rPr>
        <w:t xml:space="preserve"> ρ(E</w:t>
      </w:r>
      <w:r w:rsidR="009F5DD8" w:rsidRPr="009F5DD8">
        <w:rPr>
          <w:rFonts w:ascii="Arial" w:hAnsi="Arial" w:cs="Arial"/>
          <w:vertAlign w:val="subscript"/>
        </w:rPr>
        <w:t>f</w:t>
      </w:r>
      <w:r w:rsidR="009F5DD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   </w:t>
      </w:r>
      <w:r w:rsidR="002352BF">
        <w:rPr>
          <w:rFonts w:ascii="Arial" w:hAnsi="Arial" w:cs="Arial"/>
        </w:rPr>
        <w:t xml:space="preserve"> (</w:t>
      </w:r>
      <w:r w:rsidR="00364BA1">
        <w:rPr>
          <w:rFonts w:ascii="Arial" w:hAnsi="Arial" w:cs="Arial"/>
        </w:rPr>
        <w:t>2</w:t>
      </w:r>
      <w:r w:rsidR="002352BF">
        <w:rPr>
          <w:rFonts w:ascii="Arial" w:hAnsi="Arial" w:cs="Arial"/>
        </w:rPr>
        <w:t>)</w:t>
      </w:r>
    </w:p>
    <w:p w14:paraId="2B75C5ED" w14:textId="77777777" w:rsidR="009F5DD8" w:rsidRDefault="009F5DD8">
      <w:pPr>
        <w:spacing w:after="0" w:line="240" w:lineRule="auto"/>
        <w:rPr>
          <w:rFonts w:ascii="Arial" w:hAnsi="Arial" w:cs="Arial"/>
        </w:rPr>
      </w:pPr>
    </w:p>
    <w:p w14:paraId="34EB2561" w14:textId="5BDD7B98" w:rsidR="009F5DD8" w:rsidRDefault="009F5DD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matrix element |</w:t>
      </w:r>
      <w:r w:rsidRPr="009F5DD8">
        <w:rPr>
          <w:rFonts w:ascii="Arial" w:hAnsi="Arial" w:cs="Arial"/>
          <w:i/>
          <w:iCs/>
        </w:rPr>
        <w:t>v</w:t>
      </w:r>
      <w:r w:rsidRPr="009F5DD8">
        <w:rPr>
          <w:rFonts w:ascii="Arial" w:hAnsi="Arial" w:cs="Arial"/>
          <w:i/>
          <w:iCs/>
          <w:vertAlign w:val="subscript"/>
        </w:rPr>
        <w:t>fi</w:t>
      </w:r>
      <w:r>
        <w:rPr>
          <w:rFonts w:ascii="Arial" w:hAnsi="Arial" w:cs="Arial"/>
        </w:rPr>
        <w:t>|</w:t>
      </w:r>
      <w:r w:rsidRPr="009F5DD8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is the integral of the interaction between the final wave form and the initial wave form of the system.</w:t>
      </w:r>
      <w:r w:rsidR="003E13FA">
        <w:rPr>
          <w:rFonts w:ascii="Arial" w:hAnsi="Arial" w:cs="Arial"/>
        </w:rPr>
        <w:t xml:space="preserve">  This element is evaluated to be a constant after detailed calculation out of scope for this report.</w:t>
      </w:r>
    </w:p>
    <w:p w14:paraId="57126A22" w14:textId="787E8F03" w:rsidR="009F5DD8" w:rsidRDefault="009F5DD8">
      <w:pPr>
        <w:spacing w:after="0" w:line="240" w:lineRule="auto"/>
        <w:rPr>
          <w:rFonts w:ascii="Arial" w:hAnsi="Arial" w:cs="Arial"/>
        </w:rPr>
      </w:pPr>
    </w:p>
    <w:p w14:paraId="2B96A6F9" w14:textId="1B2B7291" w:rsidR="009F5DD8" w:rsidRDefault="009F5DD8" w:rsidP="0092520C">
      <w:pPr>
        <w:spacing w:after="0" w:line="240" w:lineRule="auto"/>
        <w:jc w:val="center"/>
        <w:rPr>
          <w:rFonts w:ascii="Arial" w:eastAsiaTheme="minorEastAsia" w:hAnsi="Arial" w:cs="Arial"/>
        </w:rPr>
      </w:pPr>
      <w:r w:rsidRPr="009F5DD8">
        <w:rPr>
          <w:rFonts w:ascii="Arial" w:hAnsi="Arial" w:cs="Arial"/>
          <w:i/>
          <w:iCs/>
        </w:rPr>
        <w:t>v</w:t>
      </w:r>
      <w:r w:rsidRPr="009F5DD8">
        <w:rPr>
          <w:rFonts w:ascii="Arial" w:hAnsi="Arial" w:cs="Arial"/>
          <w:i/>
          <w:iCs/>
          <w:vertAlign w:val="subscript"/>
        </w:rPr>
        <w:t>fi</w:t>
      </w:r>
      <w:r>
        <w:rPr>
          <w:rFonts w:ascii="Arial" w:hAnsi="Arial" w:cs="Arial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r>
              <w:rPr>
                <w:rFonts w:ascii="Cambria Math" w:hAnsi="Cambria Math" w:cs="Arial"/>
              </w:rPr>
              <m:t>ψf V ψ</m:t>
            </m:r>
          </m:e>
        </m:nary>
        <m:r>
          <w:rPr>
            <w:rFonts w:ascii="Cambria Math" w:hAnsi="Cambria Math" w:cs="Arial"/>
          </w:rPr>
          <m:t>i dv</m:t>
        </m:r>
      </m:oMath>
      <w:r>
        <w:rPr>
          <w:rFonts w:ascii="Arial" w:eastAsiaTheme="minorEastAsia" w:hAnsi="Arial" w:cs="Arial"/>
        </w:rPr>
        <w:t xml:space="preserve">  (</w:t>
      </w:r>
      <w:r w:rsidR="00364BA1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)</w:t>
      </w:r>
    </w:p>
    <w:p w14:paraId="16B9F640" w14:textId="7728AB45" w:rsidR="00F97535" w:rsidRDefault="00F97535" w:rsidP="00F97535">
      <w:pPr>
        <w:spacing w:after="0" w:line="240" w:lineRule="auto"/>
        <w:rPr>
          <w:rFonts w:ascii="Arial" w:hAnsi="Arial" w:cs="Arial"/>
        </w:rPr>
      </w:pPr>
    </w:p>
    <w:p w14:paraId="78A69458" w14:textId="1766DF59" w:rsidR="00091DDE" w:rsidRDefault="0092520C" w:rsidP="00091DD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factor ρ(E</w:t>
      </w:r>
      <w:r w:rsidRPr="009F5DD8">
        <w:rPr>
          <w:rFonts w:ascii="Arial" w:hAnsi="Arial" w:cs="Arial"/>
          <w:vertAlign w:val="subscript"/>
        </w:rPr>
        <w:t>f</w:t>
      </w:r>
      <w:r>
        <w:rPr>
          <w:rFonts w:ascii="Arial" w:hAnsi="Arial" w:cs="Arial"/>
        </w:rPr>
        <w:t>) is the density of final states</w:t>
      </w:r>
      <w:r w:rsidR="001A3771">
        <w:rPr>
          <w:rFonts w:ascii="Arial" w:hAnsi="Arial" w:cs="Arial"/>
        </w:rPr>
        <w:t xml:space="preserve"> is what causes the c</w:t>
      </w:r>
      <w:r w:rsidR="00091DDE">
        <w:rPr>
          <w:rFonts w:ascii="Arial" w:hAnsi="Arial" w:cs="Arial"/>
        </w:rPr>
        <w:t xml:space="preserve">ontinuous distribution of the </w:t>
      </w:r>
      <w:r w:rsidR="001A3771">
        <w:rPr>
          <w:rFonts w:ascii="Arial" w:hAnsi="Arial" w:cs="Arial"/>
        </w:rPr>
        <w:t>beta-</w:t>
      </w:r>
      <w:r w:rsidR="00091DDE">
        <w:rPr>
          <w:rFonts w:ascii="Arial" w:hAnsi="Arial" w:cs="Arial"/>
        </w:rPr>
        <w:t>electron energy</w:t>
      </w:r>
      <w:r w:rsidR="00FB3602">
        <w:rPr>
          <w:rFonts w:ascii="Arial" w:hAnsi="Arial" w:cs="Arial"/>
        </w:rPr>
        <w:t xml:space="preserve"> </w:t>
      </w:r>
      <w:r w:rsidR="003C5B84">
        <w:rPr>
          <w:rFonts w:ascii="Arial" w:hAnsi="Arial" w:cs="Arial"/>
        </w:rPr>
        <w:t>presented in f</w:t>
      </w:r>
      <w:r w:rsidR="00FB3602">
        <w:rPr>
          <w:rFonts w:ascii="Arial" w:hAnsi="Arial" w:cs="Arial"/>
        </w:rPr>
        <w:t xml:space="preserve">igure </w:t>
      </w:r>
      <w:r w:rsidR="001E12C2">
        <w:rPr>
          <w:rFonts w:ascii="Arial" w:hAnsi="Arial" w:cs="Arial"/>
        </w:rPr>
        <w:t>(</w:t>
      </w:r>
      <w:r w:rsidR="00FB3602">
        <w:rPr>
          <w:rFonts w:ascii="Arial" w:hAnsi="Arial" w:cs="Arial"/>
        </w:rPr>
        <w:t>2</w:t>
      </w:r>
      <w:r w:rsidR="001E12C2">
        <w:rPr>
          <w:rFonts w:ascii="Arial" w:hAnsi="Arial" w:cs="Arial"/>
        </w:rPr>
        <w:t>)</w:t>
      </w:r>
      <w:r w:rsidR="00607F1C">
        <w:rPr>
          <w:rFonts w:ascii="Arial" w:hAnsi="Arial" w:cs="Arial"/>
        </w:rPr>
        <w:t xml:space="preserve">, since the </w:t>
      </w:r>
      <w:r w:rsidR="001A3771">
        <w:rPr>
          <w:rFonts w:ascii="Arial" w:hAnsi="Arial" w:cs="Arial"/>
        </w:rPr>
        <w:t>(2π/h) |</w:t>
      </w:r>
      <w:r w:rsidR="001A3771" w:rsidRPr="009F5DD8">
        <w:rPr>
          <w:rFonts w:ascii="Arial" w:hAnsi="Arial" w:cs="Arial"/>
          <w:i/>
          <w:iCs/>
        </w:rPr>
        <w:t>v</w:t>
      </w:r>
      <w:r w:rsidR="001A3771" w:rsidRPr="009F5DD8">
        <w:rPr>
          <w:rFonts w:ascii="Arial" w:hAnsi="Arial" w:cs="Arial"/>
          <w:i/>
          <w:iCs/>
          <w:vertAlign w:val="subscript"/>
        </w:rPr>
        <w:t>fi</w:t>
      </w:r>
      <w:r w:rsidR="001A3771">
        <w:rPr>
          <w:rFonts w:ascii="Arial" w:hAnsi="Arial" w:cs="Arial"/>
        </w:rPr>
        <w:t>|</w:t>
      </w:r>
      <w:r w:rsidR="001A3771" w:rsidRPr="009F5DD8">
        <w:rPr>
          <w:rFonts w:ascii="Arial" w:hAnsi="Arial" w:cs="Arial"/>
          <w:vertAlign w:val="superscript"/>
        </w:rPr>
        <w:t>2</w:t>
      </w:r>
      <w:r w:rsidR="001A3771">
        <w:rPr>
          <w:rFonts w:ascii="Arial" w:hAnsi="Arial" w:cs="Arial"/>
          <w:vertAlign w:val="superscript"/>
        </w:rPr>
        <w:t xml:space="preserve"> </w:t>
      </w:r>
      <w:r w:rsidR="001A3771">
        <w:rPr>
          <w:rFonts w:ascii="Arial" w:hAnsi="Arial" w:cs="Arial"/>
        </w:rPr>
        <w:t xml:space="preserve">portion of the transitional probability </w:t>
      </w:r>
      <w:r w:rsidR="00607F1C">
        <w:rPr>
          <w:rFonts w:ascii="Arial" w:hAnsi="Arial" w:cs="Arial"/>
        </w:rPr>
        <w:t xml:space="preserve">is a </w:t>
      </w:r>
      <w:r w:rsidR="001A3771">
        <w:rPr>
          <w:rFonts w:ascii="Arial" w:hAnsi="Arial" w:cs="Arial"/>
        </w:rPr>
        <w:t xml:space="preserve">constant. </w:t>
      </w:r>
    </w:p>
    <w:p w14:paraId="23CDD54D" w14:textId="77777777" w:rsidR="009F5DD8" w:rsidRDefault="009F5DD8">
      <w:pPr>
        <w:spacing w:after="0" w:line="240" w:lineRule="auto"/>
        <w:rPr>
          <w:rFonts w:ascii="Arial" w:hAnsi="Arial" w:cs="Arial"/>
        </w:rPr>
      </w:pPr>
    </w:p>
    <w:p w14:paraId="5A703D5F" w14:textId="77777777" w:rsidR="00AE3323" w:rsidRDefault="00AE3323">
      <w:pPr>
        <w:spacing w:after="0" w:line="240" w:lineRule="auto"/>
        <w:rPr>
          <w:rFonts w:ascii="Arial" w:hAnsi="Arial" w:cs="Arial"/>
        </w:rPr>
      </w:pPr>
    </w:p>
    <w:p w14:paraId="380D877C" w14:textId="77777777" w:rsidR="0045781C" w:rsidRDefault="0045781C" w:rsidP="0045781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6F19C45" wp14:editId="570C02F8">
            <wp:extent cx="4677241" cy="1912372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604" cy="192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3BCA" w14:textId="59FEF6AD" w:rsidR="00E5522A" w:rsidRPr="0045781C" w:rsidRDefault="0045781C" w:rsidP="0045781C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45781C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\s 1 </w:instrTex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CD0DB2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2</w: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45781C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:  Energy spectrum of </w:t>
      </w:r>
      <w:r w:rsidR="00753C1E">
        <w:rPr>
          <w:rFonts w:ascii="Arial" w:hAnsi="Arial" w:cs="Arial"/>
          <w:i w:val="0"/>
          <w:iCs w:val="0"/>
          <w:color w:val="auto"/>
          <w:sz w:val="22"/>
          <w:szCs w:val="22"/>
        </w:rPr>
        <w:t>released Beta</w:t>
      </w:r>
      <w:r w:rsidRPr="0045781C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simulated with Geant-4</w:t>
      </w:r>
    </w:p>
    <w:p w14:paraId="55983083" w14:textId="77777777" w:rsidR="00E5522A" w:rsidRDefault="00E5522A">
      <w:pPr>
        <w:spacing w:after="0" w:line="240" w:lineRule="auto"/>
        <w:rPr>
          <w:rFonts w:ascii="Arial" w:hAnsi="Arial" w:cs="Arial"/>
        </w:rPr>
      </w:pPr>
    </w:p>
    <w:p w14:paraId="71B59ECA" w14:textId="693794EA" w:rsidR="0045781C" w:rsidRPr="005A6A49" w:rsidRDefault="00771AF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A6A49">
        <w:rPr>
          <w:rFonts w:ascii="Arial" w:hAnsi="Arial" w:cs="Arial"/>
          <w:b/>
          <w:bCs/>
          <w:sz w:val="24"/>
          <w:szCs w:val="24"/>
        </w:rPr>
        <w:t>Q-Value Calculation</w:t>
      </w:r>
    </w:p>
    <w:p w14:paraId="6F457957" w14:textId="229EDD74" w:rsidR="00771AFF" w:rsidRDefault="00771AFF" w:rsidP="001945F7">
      <w:pPr>
        <w:spacing w:after="0" w:line="240" w:lineRule="auto"/>
        <w:rPr>
          <w:rFonts w:ascii="Arial" w:hAnsi="Arial" w:cs="Arial"/>
        </w:rPr>
      </w:pPr>
      <w:r w:rsidRPr="00771AFF">
        <w:rPr>
          <w:rFonts w:ascii="Arial" w:hAnsi="Arial" w:cs="Arial"/>
        </w:rPr>
        <w:t xml:space="preserve">The nuclear reaction presented in equation (1) is used to calculate the Q-value of this </w:t>
      </w:r>
      <w:r>
        <w:rPr>
          <w:rFonts w:ascii="Arial" w:hAnsi="Arial" w:cs="Arial"/>
        </w:rPr>
        <w:t xml:space="preserve">beta-decay </w:t>
      </w:r>
      <w:r w:rsidRPr="00771AFF">
        <w:rPr>
          <w:rFonts w:ascii="Arial" w:hAnsi="Arial" w:cs="Arial"/>
        </w:rPr>
        <w:t xml:space="preserve">to be equal to 0.31739704999 [MeV].  </w:t>
      </w:r>
      <w:r>
        <w:rPr>
          <w:rFonts w:ascii="Arial" w:hAnsi="Arial" w:cs="Arial"/>
        </w:rPr>
        <w:t xml:space="preserve">This is calculated assuming </w:t>
      </w:r>
      <w:r w:rsidR="001945F7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atomic mass </w:t>
      </w:r>
      <w:r w:rsidR="001945F7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 xml:space="preserve">of </w:t>
      </w:r>
      <w:r w:rsidRPr="00771AFF">
        <w:rPr>
          <w:rFonts w:ascii="Arial" w:hAnsi="Arial" w:cs="Arial"/>
          <w:vertAlign w:val="superscript"/>
        </w:rPr>
        <w:t>60</w:t>
      </w:r>
      <w:r w:rsidRPr="00771AFF">
        <w:rPr>
          <w:rFonts w:ascii="Arial" w:hAnsi="Arial" w:cs="Arial"/>
        </w:rPr>
        <w:t xml:space="preserve">Co </w:t>
      </w:r>
      <w:r w:rsidR="001945F7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Pr="00771AFF">
        <w:rPr>
          <w:rFonts w:ascii="Arial" w:hAnsi="Arial" w:cs="Arial"/>
        </w:rPr>
        <w:t>59.9338171</w:t>
      </w:r>
      <w:r w:rsidR="001945F7">
        <w:rPr>
          <w:rFonts w:ascii="Arial" w:hAnsi="Arial" w:cs="Arial"/>
        </w:rPr>
        <w:t xml:space="preserve"> [a.m.u]</w:t>
      </w:r>
      <w:r>
        <w:rPr>
          <w:rFonts w:ascii="Arial" w:hAnsi="Arial" w:cs="Arial"/>
        </w:rPr>
        <w:t xml:space="preserve">, </w:t>
      </w:r>
      <w:r w:rsidRPr="00771AFF">
        <w:rPr>
          <w:rFonts w:ascii="Arial" w:hAnsi="Arial" w:cs="Arial"/>
          <w:vertAlign w:val="superscript"/>
        </w:rPr>
        <w:t>60</w:t>
      </w:r>
      <w:r w:rsidRPr="00771AFF">
        <w:rPr>
          <w:rFonts w:ascii="Arial" w:hAnsi="Arial" w:cs="Arial"/>
        </w:rPr>
        <w:t xml:space="preserve">Ni </w:t>
      </w:r>
      <w:r w:rsidR="001945F7">
        <w:rPr>
          <w:rFonts w:ascii="Arial" w:hAnsi="Arial" w:cs="Arial"/>
        </w:rPr>
        <w:t>is</w:t>
      </w:r>
      <w:r w:rsidRPr="00771AFF">
        <w:rPr>
          <w:rFonts w:ascii="Arial" w:hAnsi="Arial" w:cs="Arial"/>
        </w:rPr>
        <w:t xml:space="preserve"> 59.9307864</w:t>
      </w:r>
      <w:r w:rsidR="001945F7">
        <w:rPr>
          <w:rFonts w:ascii="Arial" w:hAnsi="Arial" w:cs="Arial"/>
        </w:rPr>
        <w:t xml:space="preserve"> [a.m.u], first gamma </w:t>
      </w:r>
      <w:r w:rsidRPr="00771AFF">
        <w:rPr>
          <w:rFonts w:ascii="Arial" w:hAnsi="Arial" w:cs="Arial"/>
        </w:rPr>
        <w:t xml:space="preserve">γ </w:t>
      </w:r>
      <w:r w:rsidR="001945F7">
        <w:rPr>
          <w:rFonts w:ascii="Arial" w:hAnsi="Arial" w:cs="Arial"/>
        </w:rPr>
        <w:t>is</w:t>
      </w:r>
      <w:r w:rsidRPr="00771AFF">
        <w:rPr>
          <w:rFonts w:ascii="Arial" w:hAnsi="Arial" w:cs="Arial"/>
        </w:rPr>
        <w:t xml:space="preserve"> 1.1732 [MeV]</w:t>
      </w:r>
      <w:r w:rsidR="001945F7">
        <w:rPr>
          <w:rFonts w:ascii="Arial" w:hAnsi="Arial" w:cs="Arial"/>
        </w:rPr>
        <w:t xml:space="preserve">, and second gamma </w:t>
      </w:r>
      <w:r w:rsidRPr="00771AFF">
        <w:rPr>
          <w:rFonts w:ascii="Arial" w:hAnsi="Arial" w:cs="Arial"/>
        </w:rPr>
        <w:t xml:space="preserve">γ </w:t>
      </w:r>
      <w:r w:rsidR="001945F7">
        <w:rPr>
          <w:rFonts w:ascii="Arial" w:hAnsi="Arial" w:cs="Arial"/>
        </w:rPr>
        <w:t xml:space="preserve">is </w:t>
      </w:r>
      <w:r w:rsidRPr="00771AFF">
        <w:rPr>
          <w:rFonts w:ascii="Arial" w:hAnsi="Arial" w:cs="Arial"/>
        </w:rPr>
        <w:t>1.3325 [MeV]</w:t>
      </w:r>
      <w:r w:rsidR="001945F7">
        <w:rPr>
          <w:rFonts w:ascii="Arial" w:hAnsi="Arial" w:cs="Arial"/>
        </w:rPr>
        <w:t xml:space="preserve">.  </w:t>
      </w:r>
      <w:r w:rsidR="004113C5">
        <w:rPr>
          <w:rFonts w:ascii="Arial" w:hAnsi="Arial" w:cs="Arial"/>
        </w:rPr>
        <w:t xml:space="preserve">Please note that Geant4’s evaluation of the maximum energy spectrum is within 0.01 percent </w:t>
      </w:r>
      <w:r w:rsidR="00B56BA7">
        <w:rPr>
          <w:rFonts w:ascii="Arial" w:hAnsi="Arial" w:cs="Arial"/>
        </w:rPr>
        <w:t xml:space="preserve">of this value </w:t>
      </w:r>
      <w:r w:rsidR="004113C5">
        <w:rPr>
          <w:rFonts w:ascii="Arial" w:hAnsi="Arial" w:cs="Arial"/>
        </w:rPr>
        <w:t xml:space="preserve">assuming the anti-neutrino does carry any kinetic energy due to its negligible </w:t>
      </w:r>
      <w:r w:rsidR="00B56BA7">
        <w:rPr>
          <w:rFonts w:ascii="Arial" w:hAnsi="Arial" w:cs="Arial"/>
        </w:rPr>
        <w:t xml:space="preserve">stationary </w:t>
      </w:r>
      <w:r w:rsidR="004113C5">
        <w:rPr>
          <w:rFonts w:ascii="Arial" w:hAnsi="Arial" w:cs="Arial"/>
        </w:rPr>
        <w:t>mass comparing to an electron</w:t>
      </w:r>
      <w:r w:rsidR="00B56BA7">
        <w:rPr>
          <w:rFonts w:ascii="Arial" w:hAnsi="Arial" w:cs="Arial"/>
        </w:rPr>
        <w:t>’s stationary mass.</w:t>
      </w:r>
    </w:p>
    <w:p w14:paraId="4C2DAA5B" w14:textId="77777777" w:rsidR="00B56BA7" w:rsidRDefault="00B56BA7" w:rsidP="001945F7">
      <w:pPr>
        <w:spacing w:after="0" w:line="240" w:lineRule="auto"/>
        <w:rPr>
          <w:rFonts w:ascii="Arial" w:hAnsi="Arial" w:cs="Arial"/>
        </w:rPr>
      </w:pPr>
    </w:p>
    <w:p w14:paraId="3FD4C0BE" w14:textId="5726F104" w:rsidR="00B56BA7" w:rsidRPr="00771AFF" w:rsidRDefault="00B56BA7" w:rsidP="001945F7">
      <w:pPr>
        <w:spacing w:after="0" w:line="240" w:lineRule="auto"/>
        <w:rPr>
          <w:rFonts w:ascii="Arial" w:hAnsi="Arial" w:cs="Arial"/>
        </w:rPr>
      </w:pPr>
    </w:p>
    <w:p w14:paraId="76EC436C" w14:textId="07320EA6" w:rsidR="00771AFF" w:rsidRPr="005A6A49" w:rsidRDefault="005A6A4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A6A49">
        <w:rPr>
          <w:rFonts w:ascii="Arial" w:hAnsi="Arial" w:cs="Arial"/>
          <w:b/>
          <w:bCs/>
          <w:sz w:val="24"/>
          <w:szCs w:val="24"/>
        </w:rPr>
        <w:t>The Gamma’s density function</w:t>
      </w:r>
    </w:p>
    <w:p w14:paraId="16606530" w14:textId="2F256291" w:rsidR="005A6A49" w:rsidRDefault="00B128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nuclear reaction presented in equation (1) produces two lines of gamma rays.  The first line of gamma ray has the mean of 1.1792 [MeV] with standard deviation of </w:t>
      </w:r>
      <w:r w:rsidR="0060235C">
        <w:rPr>
          <w:rFonts w:ascii="Arial" w:hAnsi="Arial" w:cs="Arial"/>
        </w:rPr>
        <w:t>1.2499 on a sample size of 1000 gammas</w:t>
      </w:r>
      <w:r w:rsidR="008812BA">
        <w:rPr>
          <w:rFonts w:ascii="Arial" w:hAnsi="Arial" w:cs="Arial"/>
        </w:rPr>
        <w:t xml:space="preserve"> </w:t>
      </w:r>
      <w:r w:rsidR="000A179C">
        <w:rPr>
          <w:rFonts w:ascii="Arial" w:hAnsi="Arial" w:cs="Arial"/>
        </w:rPr>
        <w:t xml:space="preserve">presented in </w:t>
      </w:r>
      <w:r w:rsidR="008812BA">
        <w:rPr>
          <w:rFonts w:ascii="Arial" w:hAnsi="Arial" w:cs="Arial"/>
        </w:rPr>
        <w:t xml:space="preserve">figure </w:t>
      </w:r>
      <w:r w:rsidR="000A179C">
        <w:rPr>
          <w:rFonts w:ascii="Arial" w:hAnsi="Arial" w:cs="Arial"/>
        </w:rPr>
        <w:t>(</w:t>
      </w:r>
      <w:r w:rsidR="00705046">
        <w:rPr>
          <w:rFonts w:ascii="Arial" w:hAnsi="Arial" w:cs="Arial"/>
        </w:rPr>
        <w:t>3</w:t>
      </w:r>
      <w:r w:rsidR="008812BA">
        <w:rPr>
          <w:rFonts w:ascii="Arial" w:hAnsi="Arial" w:cs="Arial"/>
        </w:rPr>
        <w:t>)</w:t>
      </w:r>
      <w:r w:rsidR="0060235C">
        <w:rPr>
          <w:rFonts w:ascii="Arial" w:hAnsi="Arial" w:cs="Arial"/>
        </w:rPr>
        <w:t xml:space="preserve">.  </w:t>
      </w:r>
      <w:r w:rsidR="00FF677F">
        <w:rPr>
          <w:rFonts w:ascii="Arial" w:hAnsi="Arial" w:cs="Arial"/>
        </w:rPr>
        <w:t xml:space="preserve">Geant4 simulation has less </w:t>
      </w:r>
      <w:r w:rsidR="00FF5506">
        <w:rPr>
          <w:rFonts w:ascii="Arial" w:hAnsi="Arial" w:cs="Arial"/>
        </w:rPr>
        <w:t>than</w:t>
      </w:r>
      <w:r w:rsidR="00FF677F">
        <w:rPr>
          <w:rFonts w:ascii="Arial" w:hAnsi="Arial" w:cs="Arial"/>
        </w:rPr>
        <w:t xml:space="preserve"> 0.5 percent margin of </w:t>
      </w:r>
      <w:r w:rsidR="00FF677F">
        <w:rPr>
          <w:rFonts w:ascii="Arial" w:hAnsi="Arial" w:cs="Arial"/>
        </w:rPr>
        <w:lastRenderedPageBreak/>
        <w:t xml:space="preserve">error </w:t>
      </w:r>
      <w:r w:rsidR="00FF5506">
        <w:rPr>
          <w:rFonts w:ascii="Arial" w:hAnsi="Arial" w:cs="Arial"/>
        </w:rPr>
        <w:t>vs</w:t>
      </w:r>
      <w:r w:rsidR="00FF677F">
        <w:rPr>
          <w:rFonts w:ascii="Arial" w:hAnsi="Arial" w:cs="Arial"/>
        </w:rPr>
        <w:t xml:space="preserve"> the observed value in a lab [4].  </w:t>
      </w:r>
      <w:r w:rsidR="0060235C">
        <w:rPr>
          <w:rFonts w:ascii="Arial" w:hAnsi="Arial" w:cs="Arial"/>
        </w:rPr>
        <w:t>The second line of gamma ray has the mean of 1.3289 [MeV</w:t>
      </w:r>
      <w:r w:rsidR="00406C77">
        <w:rPr>
          <w:rFonts w:ascii="Arial" w:hAnsi="Arial" w:cs="Arial"/>
        </w:rPr>
        <w:t>]</w:t>
      </w:r>
      <w:r w:rsidR="0060235C">
        <w:rPr>
          <w:rFonts w:ascii="Arial" w:hAnsi="Arial" w:cs="Arial"/>
        </w:rPr>
        <w:t xml:space="preserve"> with standard deviation of 1.5612 on a sample size of 1000 gammas</w:t>
      </w:r>
      <w:r w:rsidR="00FD1DCA">
        <w:rPr>
          <w:rFonts w:ascii="Arial" w:hAnsi="Arial" w:cs="Arial"/>
        </w:rPr>
        <w:t xml:space="preserve"> </w:t>
      </w:r>
      <w:r w:rsidR="00014A67">
        <w:rPr>
          <w:rFonts w:ascii="Arial" w:hAnsi="Arial" w:cs="Arial"/>
        </w:rPr>
        <w:t xml:space="preserve">presented in </w:t>
      </w:r>
      <w:r w:rsidR="00FD1DCA">
        <w:rPr>
          <w:rFonts w:ascii="Arial" w:hAnsi="Arial" w:cs="Arial"/>
        </w:rPr>
        <w:t xml:space="preserve">figure </w:t>
      </w:r>
      <w:r w:rsidR="00014A67">
        <w:rPr>
          <w:rFonts w:ascii="Arial" w:hAnsi="Arial" w:cs="Arial"/>
        </w:rPr>
        <w:t>(</w:t>
      </w:r>
      <w:r w:rsidR="00705046">
        <w:rPr>
          <w:rFonts w:ascii="Arial" w:hAnsi="Arial" w:cs="Arial"/>
        </w:rPr>
        <w:t>4</w:t>
      </w:r>
      <w:r w:rsidR="00FD1DCA">
        <w:rPr>
          <w:rFonts w:ascii="Arial" w:hAnsi="Arial" w:cs="Arial"/>
        </w:rPr>
        <w:t>)</w:t>
      </w:r>
      <w:r w:rsidR="0060235C">
        <w:rPr>
          <w:rFonts w:ascii="Arial" w:hAnsi="Arial" w:cs="Arial"/>
        </w:rPr>
        <w:t>.</w:t>
      </w:r>
      <w:r w:rsidR="00FF5506">
        <w:rPr>
          <w:rFonts w:ascii="Arial" w:hAnsi="Arial" w:cs="Arial"/>
        </w:rPr>
        <w:t xml:space="preserve">  Geant4 simulation has less the 0.5 percent margin of error vs the observed value in a lab</w:t>
      </w:r>
      <w:r w:rsidR="00406C77">
        <w:rPr>
          <w:rFonts w:ascii="Arial" w:hAnsi="Arial" w:cs="Arial"/>
        </w:rPr>
        <w:t xml:space="preserve"> for </w:t>
      </w:r>
      <w:r w:rsidR="004D1E52">
        <w:rPr>
          <w:rFonts w:ascii="Arial" w:hAnsi="Arial" w:cs="Arial"/>
        </w:rPr>
        <w:t>both gamma</w:t>
      </w:r>
      <w:r w:rsidR="00406C77">
        <w:rPr>
          <w:rFonts w:ascii="Arial" w:hAnsi="Arial" w:cs="Arial"/>
        </w:rPr>
        <w:t xml:space="preserve"> ray lines</w:t>
      </w:r>
      <w:r w:rsidR="00FF5506">
        <w:rPr>
          <w:rFonts w:ascii="Arial" w:hAnsi="Arial" w:cs="Arial"/>
        </w:rPr>
        <w:t xml:space="preserve"> [4].</w:t>
      </w:r>
      <w:r w:rsidR="0060235C">
        <w:rPr>
          <w:rFonts w:ascii="Arial" w:hAnsi="Arial" w:cs="Arial"/>
        </w:rPr>
        <w:t xml:space="preserve">  </w:t>
      </w:r>
    </w:p>
    <w:p w14:paraId="2DA2C7D7" w14:textId="77777777" w:rsidR="0065615C" w:rsidRDefault="0065615C">
      <w:pPr>
        <w:spacing w:after="0" w:line="240" w:lineRule="auto"/>
        <w:rPr>
          <w:rFonts w:ascii="Arial" w:hAnsi="Arial" w:cs="Arial"/>
        </w:rPr>
      </w:pPr>
    </w:p>
    <w:p w14:paraId="260BDEDF" w14:textId="77777777" w:rsidR="0065615C" w:rsidRDefault="0065615C">
      <w:pPr>
        <w:spacing w:after="0" w:line="240" w:lineRule="auto"/>
        <w:rPr>
          <w:rFonts w:ascii="Arial" w:hAnsi="Arial" w:cs="Arial"/>
        </w:rPr>
      </w:pPr>
    </w:p>
    <w:p w14:paraId="1F2B8664" w14:textId="77777777" w:rsidR="008B55D2" w:rsidRDefault="008B55D2" w:rsidP="008B55D2">
      <w:pPr>
        <w:keepNext/>
        <w:spacing w:after="0" w:line="240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0D9B71A4" wp14:editId="2808B113">
            <wp:extent cx="4076700" cy="24098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04" cy="241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B096" w14:textId="3B976927" w:rsidR="0065615C" w:rsidRPr="004663A9" w:rsidRDefault="008B55D2" w:rsidP="008B55D2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4663A9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\s 1 </w:instrTex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CD0DB2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3</w: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4663A9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: Geant4 simulation for gamma ray with average of </w:t>
      </w:r>
      <w:r w:rsidR="00701DA9" w:rsidRPr="004663A9">
        <w:rPr>
          <w:rFonts w:ascii="Arial" w:hAnsi="Arial" w:cs="Arial"/>
          <w:i w:val="0"/>
          <w:iCs w:val="0"/>
          <w:color w:val="auto"/>
          <w:sz w:val="22"/>
          <w:szCs w:val="22"/>
        </w:rPr>
        <w:t>1.1792</w:t>
      </w:r>
      <w:r w:rsidRPr="004663A9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[MeV]</w:t>
      </w:r>
    </w:p>
    <w:p w14:paraId="4DB83614" w14:textId="77777777" w:rsidR="0065615C" w:rsidRDefault="0065615C">
      <w:pPr>
        <w:spacing w:after="0" w:line="240" w:lineRule="auto"/>
        <w:rPr>
          <w:rFonts w:ascii="Arial" w:hAnsi="Arial" w:cs="Arial"/>
        </w:rPr>
      </w:pPr>
    </w:p>
    <w:p w14:paraId="21E72393" w14:textId="77777777" w:rsidR="009341DC" w:rsidRDefault="009341DC" w:rsidP="009341DC">
      <w:pPr>
        <w:keepNext/>
        <w:spacing w:after="0" w:line="240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2A6F05B" wp14:editId="324EFF5C">
            <wp:extent cx="4000231" cy="25810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78" cy="25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2D68" w14:textId="110DA584" w:rsidR="00771AFF" w:rsidRPr="009341DC" w:rsidRDefault="009341DC" w:rsidP="009341DC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9341DC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\s 1 </w:instrTex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CD0DB2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4</w: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9341DC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Geant4 simulation for gamma ray with average of </w:t>
      </w:r>
      <w:r w:rsidR="00701DA9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1.3289 </w:t>
      </w:r>
      <w:r w:rsidRPr="009341DC">
        <w:rPr>
          <w:rFonts w:ascii="Arial" w:hAnsi="Arial" w:cs="Arial"/>
          <w:i w:val="0"/>
          <w:iCs w:val="0"/>
          <w:color w:val="auto"/>
          <w:sz w:val="22"/>
          <w:szCs w:val="22"/>
        </w:rPr>
        <w:t>[MeV]</w:t>
      </w:r>
    </w:p>
    <w:p w14:paraId="709FF27A" w14:textId="77777777" w:rsidR="005A6A49" w:rsidRDefault="005A6A49">
      <w:pPr>
        <w:spacing w:after="0" w:line="240" w:lineRule="auto"/>
        <w:rPr>
          <w:rFonts w:ascii="Arial" w:hAnsi="Arial" w:cs="Arial"/>
        </w:rPr>
      </w:pPr>
    </w:p>
    <w:p w14:paraId="7FDAB95D" w14:textId="41FC0028" w:rsidR="00271FC8" w:rsidRPr="00B35439" w:rsidRDefault="00B3543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35439">
        <w:rPr>
          <w:rFonts w:ascii="Arial" w:hAnsi="Arial" w:cs="Arial"/>
          <w:b/>
          <w:bCs/>
          <w:sz w:val="24"/>
          <w:szCs w:val="24"/>
        </w:rPr>
        <w:t>Monte Carlo (Geant4 Simulation)</w:t>
      </w:r>
    </w:p>
    <w:p w14:paraId="196394BA" w14:textId="0B0D76F2" w:rsidR="00B35439" w:rsidRDefault="00B354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Gean4 version 11.1 toolkit was used to simulate the decay of Cobalt-6</w:t>
      </w:r>
      <w:r w:rsidR="009604F2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.  This simulation was based on two set of codes.  One was to simulate the gamma ray lines and the second to simulate the energy spectrum of the beta decay.  </w:t>
      </w:r>
      <w:r w:rsidR="00CF1B63">
        <w:rPr>
          <w:rFonts w:ascii="Arial" w:hAnsi="Arial" w:cs="Arial"/>
        </w:rPr>
        <w:t>The radioactive decay world object was constructed based on G4Box of size 1.0 by 1.0 by 1.0</w:t>
      </w:r>
      <w:r w:rsidR="007B549C">
        <w:rPr>
          <w:rFonts w:ascii="Arial" w:hAnsi="Arial" w:cs="Arial"/>
        </w:rPr>
        <w:t xml:space="preserve"> [m^3].  </w:t>
      </w:r>
      <w:r w:rsidR="00586E76">
        <w:rPr>
          <w:rFonts w:ascii="Arial" w:hAnsi="Arial" w:cs="Arial"/>
        </w:rPr>
        <w:t xml:space="preserve">The Physics list is </w:t>
      </w:r>
      <w:r w:rsidR="009604F2">
        <w:rPr>
          <w:rFonts w:ascii="Arial" w:hAnsi="Arial" w:cs="Arial"/>
        </w:rPr>
        <w:t>consisting</w:t>
      </w:r>
      <w:r w:rsidR="00586E76">
        <w:rPr>
          <w:rFonts w:ascii="Arial" w:hAnsi="Arial" w:cs="Arial"/>
        </w:rPr>
        <w:t xml:space="preserve"> of G4EmStandardphysics object, G4OpticalPhysics </w:t>
      </w:r>
      <w:r w:rsidR="009604F2">
        <w:rPr>
          <w:rFonts w:ascii="Arial" w:hAnsi="Arial" w:cs="Arial"/>
        </w:rPr>
        <w:t>o</w:t>
      </w:r>
      <w:r w:rsidR="00586E76">
        <w:rPr>
          <w:rFonts w:ascii="Arial" w:hAnsi="Arial" w:cs="Arial"/>
        </w:rPr>
        <w:t xml:space="preserve">bject, G4DecayPhysics </w:t>
      </w:r>
      <w:r w:rsidR="009604F2">
        <w:rPr>
          <w:rFonts w:ascii="Arial" w:hAnsi="Arial" w:cs="Arial"/>
        </w:rPr>
        <w:t>o</w:t>
      </w:r>
      <w:r w:rsidR="00586E76">
        <w:rPr>
          <w:rFonts w:ascii="Arial" w:hAnsi="Arial" w:cs="Arial"/>
        </w:rPr>
        <w:t xml:space="preserve">bject and G4RadioactiveDecayPhysics object.  </w:t>
      </w:r>
      <w:r w:rsidR="009604F2">
        <w:rPr>
          <w:rFonts w:ascii="Arial" w:hAnsi="Arial" w:cs="Arial"/>
        </w:rPr>
        <w:t xml:space="preserve">The particle generator is based on G4Geantino object with proton number of 27 and atomic number of 60.  </w:t>
      </w:r>
      <w:r w:rsidR="00406C77">
        <w:rPr>
          <w:rFonts w:ascii="Arial" w:hAnsi="Arial" w:cs="Arial"/>
        </w:rPr>
        <w:t xml:space="preserve">The photon positions and momentums were </w:t>
      </w:r>
      <w:r w:rsidR="00406C77">
        <w:rPr>
          <w:rFonts w:ascii="Arial" w:hAnsi="Arial" w:cs="Arial"/>
        </w:rPr>
        <w:lastRenderedPageBreak/>
        <w:t xml:space="preserve">calculated using the Tracking information provided by the G4Step object </w:t>
      </w:r>
      <w:r w:rsidR="009604F2">
        <w:rPr>
          <w:rFonts w:ascii="Arial" w:hAnsi="Arial" w:cs="Arial"/>
        </w:rPr>
        <w:t>[2]</w:t>
      </w:r>
      <w:r w:rsidR="00406C77">
        <w:rPr>
          <w:rFonts w:ascii="Arial" w:hAnsi="Arial" w:cs="Arial"/>
        </w:rPr>
        <w:t xml:space="preserve">.  </w:t>
      </w:r>
      <w:r w:rsidR="004D1E52">
        <w:rPr>
          <w:rFonts w:ascii="Arial" w:hAnsi="Arial" w:cs="Arial"/>
        </w:rPr>
        <w:t>Nuclear beta decay (1) is visualized using Geant4 tool and are presented in figure (5), figure (6) and figure (7).</w:t>
      </w:r>
    </w:p>
    <w:p w14:paraId="68676D30" w14:textId="77777777" w:rsidR="004D1E52" w:rsidRDefault="004D1E52">
      <w:pPr>
        <w:spacing w:after="0" w:line="240" w:lineRule="auto"/>
        <w:rPr>
          <w:rFonts w:ascii="Arial" w:hAnsi="Arial" w:cs="Arial"/>
        </w:rPr>
      </w:pPr>
    </w:p>
    <w:p w14:paraId="086A0D6C" w14:textId="77777777" w:rsidR="00C2500E" w:rsidRDefault="00C2500E" w:rsidP="00C2500E">
      <w:pPr>
        <w:keepNext/>
        <w:spacing w:after="0" w:line="240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699E9729" wp14:editId="33E62A21">
            <wp:extent cx="3507709" cy="326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45" cy="326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E965" w14:textId="38E3D34A" w:rsidR="004D1E52" w:rsidRPr="00C2500E" w:rsidRDefault="00C2500E" w:rsidP="00C2500E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C2500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\s 1 </w:instrTex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CD0DB2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5</w:t>
      </w:r>
      <w:r w:rsidR="00CD0DB2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C2500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:  </w:t>
      </w:r>
      <w:r>
        <w:rPr>
          <w:rFonts w:ascii="Arial" w:hAnsi="Arial" w:cs="Arial"/>
          <w:i w:val="0"/>
          <w:iCs w:val="0"/>
          <w:color w:val="auto"/>
          <w:sz w:val="22"/>
          <w:szCs w:val="22"/>
        </w:rPr>
        <w:t>Presenting t</w:t>
      </w:r>
      <w:r w:rsidRPr="00C2500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he Beta decay </w:t>
      </w:r>
      <w:r>
        <w:rPr>
          <w:rFonts w:ascii="Arial" w:hAnsi="Arial" w:cs="Arial"/>
          <w:i w:val="0"/>
          <w:iCs w:val="0"/>
          <w:color w:val="auto"/>
          <w:sz w:val="22"/>
          <w:szCs w:val="22"/>
        </w:rPr>
        <w:t>in blue and</w:t>
      </w:r>
      <w:r w:rsidRPr="00C2500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two photons decay in green.</w:t>
      </w:r>
    </w:p>
    <w:p w14:paraId="02DB1FC6" w14:textId="77777777" w:rsidR="0098221D" w:rsidRDefault="0098221D">
      <w:pPr>
        <w:spacing w:after="0" w:line="240" w:lineRule="auto"/>
        <w:rPr>
          <w:rFonts w:ascii="Arial" w:hAnsi="Arial" w:cs="Arial"/>
        </w:rPr>
      </w:pPr>
    </w:p>
    <w:p w14:paraId="02B6B52E" w14:textId="77777777" w:rsidR="001C1791" w:rsidRDefault="001C1791" w:rsidP="001C1791">
      <w:pPr>
        <w:keepNext/>
        <w:spacing w:after="0" w:line="240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74A1E6A8" wp14:editId="5A781DBC">
            <wp:extent cx="24384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C602" w14:textId="6F7F7B8C" w:rsidR="001C1791" w:rsidRPr="001C1791" w:rsidRDefault="001C1791" w:rsidP="001C1791">
      <w:pPr>
        <w:pStyle w:val="Caption"/>
        <w:jc w:val="center"/>
        <w:rPr>
          <w:rFonts w:ascii="Arial" w:hAnsi="Arial" w:cs="Arial"/>
          <w:i w:val="0"/>
          <w:iCs w:val="0"/>
          <w:sz w:val="22"/>
          <w:szCs w:val="22"/>
        </w:rPr>
      </w:pPr>
      <w:r w:rsidRPr="001C1791">
        <w:rPr>
          <w:rFonts w:ascii="Arial" w:hAnsi="Arial" w:cs="Arial"/>
          <w:i w:val="0"/>
          <w:iCs w:val="0"/>
          <w:sz w:val="22"/>
          <w:szCs w:val="22"/>
        </w:rPr>
        <w:t xml:space="preserve">Figure </w:t>
      </w:r>
      <w:r w:rsidR="00CD0DB2">
        <w:rPr>
          <w:rFonts w:ascii="Arial" w:hAnsi="Arial" w:cs="Arial"/>
          <w:i w:val="0"/>
          <w:iCs w:val="0"/>
          <w:sz w:val="22"/>
          <w:szCs w:val="22"/>
        </w:rPr>
        <w:fldChar w:fldCharType="begin"/>
      </w:r>
      <w:r w:rsidR="00CD0DB2">
        <w:rPr>
          <w:rFonts w:ascii="Arial" w:hAnsi="Arial" w:cs="Arial"/>
          <w:i w:val="0"/>
          <w:iCs w:val="0"/>
          <w:sz w:val="22"/>
          <w:szCs w:val="22"/>
        </w:rPr>
        <w:instrText xml:space="preserve"> SEQ Figure \* ARABIC \s 1 </w:instrText>
      </w:r>
      <w:r w:rsidR="00CD0DB2">
        <w:rPr>
          <w:rFonts w:ascii="Arial" w:hAnsi="Arial" w:cs="Arial"/>
          <w:i w:val="0"/>
          <w:iCs w:val="0"/>
          <w:sz w:val="22"/>
          <w:szCs w:val="22"/>
        </w:rPr>
        <w:fldChar w:fldCharType="separate"/>
      </w:r>
      <w:r w:rsidR="00CD0DB2">
        <w:rPr>
          <w:rFonts w:ascii="Arial" w:hAnsi="Arial" w:cs="Arial"/>
          <w:i w:val="0"/>
          <w:iCs w:val="0"/>
          <w:noProof/>
          <w:sz w:val="22"/>
          <w:szCs w:val="22"/>
        </w:rPr>
        <w:t>6</w:t>
      </w:r>
      <w:r w:rsidR="00CD0DB2">
        <w:rPr>
          <w:rFonts w:ascii="Arial" w:hAnsi="Arial" w:cs="Arial"/>
          <w:i w:val="0"/>
          <w:iCs w:val="0"/>
          <w:sz w:val="22"/>
          <w:szCs w:val="22"/>
        </w:rPr>
        <w:fldChar w:fldCharType="end"/>
      </w:r>
      <w:r w:rsidRPr="001C1791">
        <w:rPr>
          <w:rFonts w:ascii="Arial" w:hAnsi="Arial" w:cs="Arial"/>
          <w:i w:val="0"/>
          <w:iCs w:val="0"/>
          <w:sz w:val="22"/>
          <w:szCs w:val="22"/>
        </w:rPr>
        <w:t>: Presenting the Beta in blue and two photons in green.</w:t>
      </w:r>
    </w:p>
    <w:p w14:paraId="681366C1" w14:textId="77777777" w:rsidR="0098221D" w:rsidRDefault="0098221D">
      <w:pPr>
        <w:spacing w:after="0" w:line="240" w:lineRule="auto"/>
        <w:rPr>
          <w:rFonts w:ascii="Arial" w:hAnsi="Arial" w:cs="Arial"/>
        </w:rPr>
      </w:pPr>
    </w:p>
    <w:p w14:paraId="7606C54B" w14:textId="77777777" w:rsidR="00CD0DB2" w:rsidRDefault="00CD0DB2" w:rsidP="00CD0DB2">
      <w:pPr>
        <w:keepNext/>
        <w:spacing w:after="0" w:line="240" w:lineRule="auto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15A6621" wp14:editId="68E94FD1">
            <wp:extent cx="3533775" cy="3314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DE72" w14:textId="775EAC5E" w:rsidR="001C1791" w:rsidRPr="00D84806" w:rsidRDefault="00CD0DB2" w:rsidP="00CD0DB2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D84806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Pr="00D84806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D84806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\s 1 </w:instrText>
      </w:r>
      <w:r w:rsidRPr="00D84806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Pr="00D84806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7</w:t>
      </w:r>
      <w:r w:rsidRPr="00D84806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D84806">
        <w:rPr>
          <w:rFonts w:ascii="Arial" w:hAnsi="Arial" w:cs="Arial"/>
          <w:i w:val="0"/>
          <w:iCs w:val="0"/>
          <w:color w:val="auto"/>
          <w:sz w:val="22"/>
          <w:szCs w:val="22"/>
        </w:rPr>
        <w:t>: Presenting 100 Beta Decay of Cobalt-60</w:t>
      </w:r>
    </w:p>
    <w:p w14:paraId="55D9479D" w14:textId="77777777" w:rsidR="0098221D" w:rsidRDefault="0098221D">
      <w:pPr>
        <w:spacing w:after="0" w:line="240" w:lineRule="auto"/>
        <w:rPr>
          <w:rFonts w:ascii="Arial" w:hAnsi="Arial" w:cs="Arial"/>
        </w:rPr>
      </w:pPr>
    </w:p>
    <w:p w14:paraId="2A10265F" w14:textId="26B49B14" w:rsidR="0098221D" w:rsidRPr="001A30D8" w:rsidRDefault="004B3C7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30D8">
        <w:rPr>
          <w:rFonts w:ascii="Arial" w:hAnsi="Arial" w:cs="Arial"/>
          <w:b/>
          <w:bCs/>
          <w:sz w:val="24"/>
          <w:szCs w:val="24"/>
        </w:rPr>
        <w:t>Conclusion</w:t>
      </w:r>
    </w:p>
    <w:p w14:paraId="25D00D51" w14:textId="2345A182" w:rsidR="004B3C74" w:rsidRPr="00C855A8" w:rsidRDefault="004B3C7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Comparing the results evaluated using the Geant4 based simulation of Beta decay of Cobalt-60 vs the </w:t>
      </w:r>
      <w:r w:rsidR="00C855A8">
        <w:rPr>
          <w:rFonts w:ascii="Arial" w:hAnsi="Arial" w:cs="Arial"/>
        </w:rPr>
        <w:t xml:space="preserve">Enrico </w:t>
      </w:r>
      <w:r>
        <w:rPr>
          <w:rFonts w:ascii="Arial" w:hAnsi="Arial" w:cs="Arial"/>
        </w:rPr>
        <w:t>Fermi</w:t>
      </w:r>
      <w:r w:rsidR="00C855A8"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</w:t>
      </w:r>
      <w:r w:rsidR="00C855A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ule along with the experimental measurements reveals that Monte Carlo based approximation provides a very accurate model for this phenomenon.  This is based on small margin of 0.1 percent for maximum beta energy calculated using Q-value vs Geant4 approximation.  </w:t>
      </w:r>
      <w:r w:rsidR="00253D1D">
        <w:rPr>
          <w:rFonts w:ascii="Arial" w:hAnsi="Arial" w:cs="Arial"/>
        </w:rPr>
        <w:t xml:space="preserve">It is based on </w:t>
      </w:r>
      <w:r>
        <w:rPr>
          <w:rFonts w:ascii="Arial" w:hAnsi="Arial" w:cs="Arial"/>
        </w:rPr>
        <w:t xml:space="preserve">the experimental energy values of the two gamma ray lines </w:t>
      </w:r>
      <w:r w:rsidR="001A30D8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less th</w:t>
      </w:r>
      <w:r w:rsidR="00253D1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 0.5 percent </w:t>
      </w:r>
      <w:r w:rsidR="001A30D8">
        <w:rPr>
          <w:rFonts w:ascii="Arial" w:hAnsi="Arial" w:cs="Arial"/>
        </w:rPr>
        <w:t xml:space="preserve">different from the value approximated by Geant4.  Finally, </w:t>
      </w:r>
      <w:r w:rsidR="001A30D8" w:rsidRPr="008A46EC">
        <w:rPr>
          <w:rFonts w:ascii="Arial" w:hAnsi="Arial" w:cs="Arial"/>
        </w:rPr>
        <w:t xml:space="preserve">the energy spectrum </w:t>
      </w:r>
      <w:r w:rsidR="001A30D8">
        <w:rPr>
          <w:rFonts w:ascii="Arial" w:hAnsi="Arial" w:cs="Arial"/>
        </w:rPr>
        <w:t xml:space="preserve">(curvature) </w:t>
      </w:r>
      <w:r w:rsidR="001A30D8" w:rsidRPr="008A46EC">
        <w:rPr>
          <w:rFonts w:ascii="Arial" w:hAnsi="Arial" w:cs="Arial"/>
        </w:rPr>
        <w:t xml:space="preserve">of Beta resembles the </w:t>
      </w:r>
      <w:r w:rsidR="001A30D8">
        <w:rPr>
          <w:rFonts w:ascii="Arial" w:hAnsi="Arial" w:cs="Arial"/>
        </w:rPr>
        <w:t xml:space="preserve">impact of the </w:t>
      </w:r>
      <w:r w:rsidR="001A30D8" w:rsidRPr="008A46EC">
        <w:rPr>
          <w:rStyle w:val="ykmvie"/>
          <w:rFonts w:ascii="Arial" w:hAnsi="Arial" w:cs="Arial"/>
        </w:rPr>
        <w:t xml:space="preserve">Coulomb law of </w:t>
      </w:r>
      <w:r w:rsidR="00253D1D" w:rsidRPr="008A46EC">
        <w:rPr>
          <w:rStyle w:val="ykmvie"/>
          <w:rFonts w:ascii="Arial" w:hAnsi="Arial" w:cs="Arial"/>
        </w:rPr>
        <w:t>attraction</w:t>
      </w:r>
      <w:r w:rsidR="00253D1D">
        <w:rPr>
          <w:rStyle w:val="ykmvie"/>
          <w:rFonts w:ascii="Arial" w:hAnsi="Arial" w:cs="Arial"/>
        </w:rPr>
        <w:t xml:space="preserve"> predicted by</w:t>
      </w:r>
      <w:r w:rsidR="00253D1D" w:rsidRPr="00C855A8">
        <w:rPr>
          <w:rStyle w:val="ykmvie"/>
          <w:rFonts w:ascii="Arial" w:hAnsi="Arial" w:cs="Arial"/>
        </w:rPr>
        <w:t xml:space="preserve"> </w:t>
      </w:r>
      <w:r w:rsidR="00C855A8" w:rsidRPr="00C855A8">
        <w:rPr>
          <w:rFonts w:ascii="Arial" w:hAnsi="Arial" w:cs="Arial"/>
        </w:rPr>
        <w:t>Enrico Fermi</w:t>
      </w:r>
      <w:r w:rsidR="00253D1D" w:rsidRPr="00C855A8">
        <w:rPr>
          <w:rStyle w:val="ykmvie"/>
          <w:rFonts w:ascii="Arial" w:hAnsi="Arial" w:cs="Arial"/>
        </w:rPr>
        <w:t xml:space="preserve">’s Beta decay. </w:t>
      </w:r>
    </w:p>
    <w:p w14:paraId="45F1225E" w14:textId="77777777" w:rsidR="0098221D" w:rsidRDefault="0098221D">
      <w:pPr>
        <w:spacing w:after="0" w:line="240" w:lineRule="auto"/>
        <w:rPr>
          <w:rFonts w:ascii="Arial" w:hAnsi="Arial" w:cs="Arial"/>
        </w:rPr>
      </w:pPr>
    </w:p>
    <w:p w14:paraId="41D2015C" w14:textId="77777777" w:rsidR="0098221D" w:rsidRDefault="0098221D">
      <w:pPr>
        <w:spacing w:after="0" w:line="240" w:lineRule="auto"/>
        <w:rPr>
          <w:rFonts w:ascii="Arial" w:hAnsi="Arial" w:cs="Arial"/>
        </w:rPr>
      </w:pPr>
    </w:p>
    <w:p w14:paraId="59D0F81E" w14:textId="77777777" w:rsidR="00271FC8" w:rsidRDefault="00271FC8">
      <w:pPr>
        <w:spacing w:after="0" w:line="240" w:lineRule="auto"/>
        <w:rPr>
          <w:rFonts w:ascii="Arial" w:hAnsi="Arial" w:cs="Arial"/>
        </w:rPr>
      </w:pPr>
    </w:p>
    <w:p w14:paraId="5B023581" w14:textId="77777777" w:rsidR="00AE3323" w:rsidRDefault="00AE3323">
      <w:pPr>
        <w:spacing w:after="0" w:line="240" w:lineRule="auto"/>
        <w:rPr>
          <w:rFonts w:ascii="Arial" w:hAnsi="Arial" w:cs="Arial"/>
        </w:rPr>
      </w:pPr>
    </w:p>
    <w:p w14:paraId="419B88A3" w14:textId="77777777" w:rsidR="00110667" w:rsidRPr="00B14989" w:rsidRDefault="00110667">
      <w:pPr>
        <w:spacing w:after="0" w:line="240" w:lineRule="auto"/>
        <w:rPr>
          <w:rFonts w:ascii="Arial" w:hAnsi="Arial" w:cs="Arial"/>
        </w:rPr>
      </w:pPr>
      <w:r w:rsidRPr="00B14989">
        <w:rPr>
          <w:rFonts w:ascii="Arial" w:hAnsi="Arial" w:cs="Arial"/>
        </w:rPr>
        <w:t>Reference:</w:t>
      </w:r>
    </w:p>
    <w:p w14:paraId="51EA9906" w14:textId="3F674999" w:rsidR="000E41A4" w:rsidRPr="00B14989" w:rsidRDefault="00110667">
      <w:pPr>
        <w:spacing w:after="0" w:line="240" w:lineRule="auto"/>
        <w:rPr>
          <w:rFonts w:ascii="Arial" w:hAnsi="Arial" w:cs="Arial"/>
        </w:rPr>
      </w:pPr>
      <w:r w:rsidRPr="00B14989">
        <w:rPr>
          <w:rFonts w:ascii="Arial" w:hAnsi="Arial" w:cs="Arial"/>
        </w:rPr>
        <w:t xml:space="preserve">[1] </w:t>
      </w:r>
      <w:r w:rsidR="00E66C5E" w:rsidRPr="00B14989">
        <w:rPr>
          <w:rFonts w:ascii="Arial" w:hAnsi="Arial" w:cs="Arial"/>
        </w:rPr>
        <w:t>Krane, Kenneth. “</w:t>
      </w:r>
      <w:r w:rsidR="00A448A9" w:rsidRPr="00B14989">
        <w:rPr>
          <w:rFonts w:ascii="Arial" w:hAnsi="Arial" w:cs="Arial"/>
        </w:rPr>
        <w:t xml:space="preserve">Fermi Theory of </w:t>
      </w:r>
      <w:r w:rsidR="00E66C5E" w:rsidRPr="00B14989">
        <w:rPr>
          <w:rFonts w:ascii="Arial" w:hAnsi="Arial" w:cs="Arial"/>
        </w:rPr>
        <w:t>Beta Decay” Introductory Nuclear Physics, John Wiley and Sons, 1987, pp. 277</w:t>
      </w:r>
    </w:p>
    <w:p w14:paraId="1ABCD375" w14:textId="7A560AFD" w:rsidR="00E66C5E" w:rsidRPr="00B14989" w:rsidRDefault="00E66C5E">
      <w:pPr>
        <w:spacing w:after="0" w:line="240" w:lineRule="auto"/>
        <w:rPr>
          <w:rStyle w:val="markedcontent"/>
          <w:rFonts w:ascii="Arial" w:hAnsi="Arial" w:cs="Arial"/>
        </w:rPr>
      </w:pPr>
      <w:r w:rsidRPr="00B14989">
        <w:rPr>
          <w:rFonts w:ascii="Arial" w:hAnsi="Arial" w:cs="Arial"/>
        </w:rPr>
        <w:t xml:space="preserve">[2] </w:t>
      </w:r>
      <w:hyperlink r:id="rId12" w:history="1">
        <w:r w:rsidR="00D93950" w:rsidRPr="00B14989">
          <w:rPr>
            <w:rStyle w:val="Hyperlink"/>
            <w:rFonts w:ascii="Arial" w:hAnsi="Arial" w:cs="Arial"/>
            <w:color w:val="auto"/>
          </w:rPr>
          <w:t>https://www.geant4.org/</w:t>
        </w:r>
      </w:hyperlink>
    </w:p>
    <w:p w14:paraId="51F078DB" w14:textId="65CF23F3" w:rsidR="00911CA2" w:rsidRPr="00B14989" w:rsidRDefault="00911CA2">
      <w:pPr>
        <w:spacing w:after="0" w:line="240" w:lineRule="auto"/>
        <w:rPr>
          <w:rStyle w:val="Hyperlink"/>
          <w:rFonts w:ascii="Arial" w:hAnsi="Arial" w:cs="Arial"/>
          <w:color w:val="auto"/>
        </w:rPr>
      </w:pPr>
      <w:r w:rsidRPr="00B14989">
        <w:rPr>
          <w:rStyle w:val="markedcontent"/>
          <w:rFonts w:ascii="Arial" w:hAnsi="Arial" w:cs="Arial"/>
        </w:rPr>
        <w:t xml:space="preserve">[3] </w:t>
      </w:r>
      <w:hyperlink r:id="rId13" w:history="1">
        <w:r w:rsidRPr="00B14989">
          <w:rPr>
            <w:rStyle w:val="Hyperlink"/>
            <w:rFonts w:ascii="Arial" w:hAnsi="Arial" w:cs="Arial"/>
            <w:color w:val="auto"/>
          </w:rPr>
          <w:t>https://root.cern/</w:t>
        </w:r>
      </w:hyperlink>
    </w:p>
    <w:p w14:paraId="1A3D4245" w14:textId="3CE234D2" w:rsidR="00E75B7C" w:rsidRPr="00B14989" w:rsidRDefault="00E75B7C">
      <w:pPr>
        <w:spacing w:after="0" w:line="240" w:lineRule="auto"/>
        <w:rPr>
          <w:rStyle w:val="Hyperlink"/>
          <w:rFonts w:ascii="Arial" w:hAnsi="Arial" w:cs="Arial"/>
          <w:color w:val="auto"/>
        </w:rPr>
      </w:pPr>
      <w:r w:rsidRPr="00B14989">
        <w:rPr>
          <w:rStyle w:val="Hyperlink"/>
          <w:rFonts w:ascii="Arial" w:hAnsi="Arial" w:cs="Arial"/>
          <w:color w:val="auto"/>
        </w:rPr>
        <w:t xml:space="preserve">[4] </w:t>
      </w:r>
      <w:hyperlink r:id="rId14" w:history="1">
        <w:r w:rsidRPr="00B14989">
          <w:rPr>
            <w:rStyle w:val="Hyperlink"/>
            <w:rFonts w:ascii="Arial" w:hAnsi="Arial" w:cs="Arial"/>
            <w:color w:val="auto"/>
          </w:rPr>
          <w:t>https://en.wikipedia.org/wiki/Cobalt-60</w:t>
        </w:r>
      </w:hyperlink>
    </w:p>
    <w:p w14:paraId="684046F0" w14:textId="77777777" w:rsidR="00376B58" w:rsidRDefault="00376B58">
      <w:pPr>
        <w:spacing w:after="0" w:line="240" w:lineRule="auto"/>
        <w:rPr>
          <w:rStyle w:val="Hyperlink"/>
          <w:rFonts w:ascii="Arial" w:hAnsi="Arial" w:cs="Arial"/>
        </w:rPr>
      </w:pPr>
    </w:p>
    <w:p w14:paraId="755E39BC" w14:textId="77777777" w:rsidR="00E75B7C" w:rsidRDefault="00E75B7C">
      <w:pPr>
        <w:spacing w:after="0" w:line="240" w:lineRule="auto"/>
        <w:rPr>
          <w:rStyle w:val="markedcontent"/>
          <w:rFonts w:ascii="Arial" w:hAnsi="Arial" w:cs="Arial"/>
        </w:rPr>
      </w:pPr>
    </w:p>
    <w:p w14:paraId="0DE27026" w14:textId="77777777" w:rsidR="00911CA2" w:rsidRPr="00D93950" w:rsidRDefault="00911CA2">
      <w:pPr>
        <w:spacing w:after="0" w:line="240" w:lineRule="auto"/>
        <w:rPr>
          <w:rStyle w:val="markedcontent"/>
          <w:rFonts w:ascii="Arial" w:hAnsi="Arial" w:cs="Arial"/>
        </w:rPr>
      </w:pPr>
    </w:p>
    <w:p w14:paraId="3157587F" w14:textId="77777777" w:rsidR="00D93950" w:rsidRDefault="00D93950">
      <w:pPr>
        <w:spacing w:after="0" w:line="240" w:lineRule="auto"/>
        <w:rPr>
          <w:rFonts w:ascii="Arial" w:hAnsi="Arial" w:cs="Arial"/>
        </w:rPr>
      </w:pPr>
    </w:p>
    <w:sectPr w:rsidR="00D9395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TimesNewRomanPS-BoldM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07"/>
    <w:rsid w:val="00014A67"/>
    <w:rsid w:val="00016307"/>
    <w:rsid w:val="00022B19"/>
    <w:rsid w:val="000533FD"/>
    <w:rsid w:val="0006627F"/>
    <w:rsid w:val="00080FEF"/>
    <w:rsid w:val="00091DDE"/>
    <w:rsid w:val="000A179C"/>
    <w:rsid w:val="000B4ACF"/>
    <w:rsid w:val="000E41A4"/>
    <w:rsid w:val="001065EE"/>
    <w:rsid w:val="00110667"/>
    <w:rsid w:val="00184BBE"/>
    <w:rsid w:val="00193176"/>
    <w:rsid w:val="001945F7"/>
    <w:rsid w:val="001A30D8"/>
    <w:rsid w:val="001A3771"/>
    <w:rsid w:val="001C1791"/>
    <w:rsid w:val="001C70D4"/>
    <w:rsid w:val="001E12C2"/>
    <w:rsid w:val="002013B6"/>
    <w:rsid w:val="00202184"/>
    <w:rsid w:val="00215DCE"/>
    <w:rsid w:val="002352BF"/>
    <w:rsid w:val="00253D1D"/>
    <w:rsid w:val="0026178D"/>
    <w:rsid w:val="002710A4"/>
    <w:rsid w:val="00271FC8"/>
    <w:rsid w:val="002C1BA5"/>
    <w:rsid w:val="002D7A87"/>
    <w:rsid w:val="00306B57"/>
    <w:rsid w:val="00310378"/>
    <w:rsid w:val="00364BA1"/>
    <w:rsid w:val="00374BC2"/>
    <w:rsid w:val="00376B58"/>
    <w:rsid w:val="003A1E24"/>
    <w:rsid w:val="003C5B84"/>
    <w:rsid w:val="003E13FA"/>
    <w:rsid w:val="00402D22"/>
    <w:rsid w:val="00406C77"/>
    <w:rsid w:val="004113C5"/>
    <w:rsid w:val="00411536"/>
    <w:rsid w:val="0045214E"/>
    <w:rsid w:val="0045781C"/>
    <w:rsid w:val="00461D14"/>
    <w:rsid w:val="00463B84"/>
    <w:rsid w:val="004663A9"/>
    <w:rsid w:val="0048047C"/>
    <w:rsid w:val="00480FC3"/>
    <w:rsid w:val="004B3C74"/>
    <w:rsid w:val="004D1E52"/>
    <w:rsid w:val="00501DE9"/>
    <w:rsid w:val="00503022"/>
    <w:rsid w:val="00525625"/>
    <w:rsid w:val="005368BA"/>
    <w:rsid w:val="00564C91"/>
    <w:rsid w:val="00586E76"/>
    <w:rsid w:val="005A6A49"/>
    <w:rsid w:val="0060235C"/>
    <w:rsid w:val="00607F1C"/>
    <w:rsid w:val="0065615C"/>
    <w:rsid w:val="0069052F"/>
    <w:rsid w:val="006B2048"/>
    <w:rsid w:val="006C072A"/>
    <w:rsid w:val="006E0102"/>
    <w:rsid w:val="006E3B00"/>
    <w:rsid w:val="00701DA9"/>
    <w:rsid w:val="00705046"/>
    <w:rsid w:val="0074562A"/>
    <w:rsid w:val="00751F18"/>
    <w:rsid w:val="00753C1E"/>
    <w:rsid w:val="00755CA2"/>
    <w:rsid w:val="00771AFF"/>
    <w:rsid w:val="00785184"/>
    <w:rsid w:val="00796D8B"/>
    <w:rsid w:val="007B549C"/>
    <w:rsid w:val="007B6307"/>
    <w:rsid w:val="007F50BD"/>
    <w:rsid w:val="007F56AD"/>
    <w:rsid w:val="00820E4A"/>
    <w:rsid w:val="008812BA"/>
    <w:rsid w:val="008A46EC"/>
    <w:rsid w:val="008B55D2"/>
    <w:rsid w:val="008E447B"/>
    <w:rsid w:val="00911CA2"/>
    <w:rsid w:val="0092520C"/>
    <w:rsid w:val="009341DC"/>
    <w:rsid w:val="009604F2"/>
    <w:rsid w:val="00967463"/>
    <w:rsid w:val="0098221D"/>
    <w:rsid w:val="0099689D"/>
    <w:rsid w:val="009A5B83"/>
    <w:rsid w:val="009B40ED"/>
    <w:rsid w:val="009C26D6"/>
    <w:rsid w:val="009C3643"/>
    <w:rsid w:val="009F5DD8"/>
    <w:rsid w:val="009F7B8F"/>
    <w:rsid w:val="00A448A9"/>
    <w:rsid w:val="00A526DE"/>
    <w:rsid w:val="00AA7F62"/>
    <w:rsid w:val="00AB73BE"/>
    <w:rsid w:val="00AE3323"/>
    <w:rsid w:val="00B12812"/>
    <w:rsid w:val="00B14989"/>
    <w:rsid w:val="00B17ECB"/>
    <w:rsid w:val="00B35439"/>
    <w:rsid w:val="00B44D3A"/>
    <w:rsid w:val="00B56BA7"/>
    <w:rsid w:val="00B86E8F"/>
    <w:rsid w:val="00B877C2"/>
    <w:rsid w:val="00BB0B80"/>
    <w:rsid w:val="00BD28E7"/>
    <w:rsid w:val="00BE349C"/>
    <w:rsid w:val="00C1543B"/>
    <w:rsid w:val="00C2500E"/>
    <w:rsid w:val="00C26824"/>
    <w:rsid w:val="00C855A8"/>
    <w:rsid w:val="00CD0DB2"/>
    <w:rsid w:val="00CE2647"/>
    <w:rsid w:val="00CE325B"/>
    <w:rsid w:val="00CF1B63"/>
    <w:rsid w:val="00D37DBE"/>
    <w:rsid w:val="00D52A17"/>
    <w:rsid w:val="00D84806"/>
    <w:rsid w:val="00D93950"/>
    <w:rsid w:val="00DD7FAF"/>
    <w:rsid w:val="00DF1832"/>
    <w:rsid w:val="00E36416"/>
    <w:rsid w:val="00E5522A"/>
    <w:rsid w:val="00E66C5E"/>
    <w:rsid w:val="00E75B7C"/>
    <w:rsid w:val="00E81ED1"/>
    <w:rsid w:val="00EB6B62"/>
    <w:rsid w:val="00F650C1"/>
    <w:rsid w:val="00F97535"/>
    <w:rsid w:val="00FA40B7"/>
    <w:rsid w:val="00FB3602"/>
    <w:rsid w:val="00FB7650"/>
    <w:rsid w:val="00FD1DCA"/>
    <w:rsid w:val="00FE1B66"/>
    <w:rsid w:val="00FE3389"/>
    <w:rsid w:val="00FE72BC"/>
    <w:rsid w:val="00FF5506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BFEA"/>
  <w15:docId w15:val="{7791AB70-0417-415C-988D-3C290643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BBE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BBE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46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4F1693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776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markedcontent">
    <w:name w:val="markedcontent"/>
    <w:basedOn w:val="DefaultParagraphFont"/>
    <w:rsid w:val="00D93950"/>
  </w:style>
  <w:style w:type="character" w:styleId="UnresolvedMention">
    <w:name w:val="Unresolved Mention"/>
    <w:basedOn w:val="DefaultParagraphFont"/>
    <w:uiPriority w:val="99"/>
    <w:semiHidden/>
    <w:unhideWhenUsed/>
    <w:rsid w:val="00D93950"/>
    <w:rPr>
      <w:color w:val="605E5C"/>
      <w:shd w:val="clear" w:color="auto" w:fill="E1DFDD"/>
    </w:rPr>
  </w:style>
  <w:style w:type="character" w:customStyle="1" w:styleId="ykmvie">
    <w:name w:val="ykmvie"/>
    <w:basedOn w:val="DefaultParagraphFont"/>
    <w:rsid w:val="008A46EC"/>
  </w:style>
  <w:style w:type="paragraph" w:customStyle="1" w:styleId="Standard">
    <w:name w:val="Standard"/>
    <w:rsid w:val="00771AFF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oot.cer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ant4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Cobalt-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13A25-C893-4B1E-867D-90D996CD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Arad (Contractor)</dc:creator>
  <dc:description/>
  <cp:lastModifiedBy>Faramarz Arad (Contractor)</cp:lastModifiedBy>
  <cp:revision>209</cp:revision>
  <dcterms:created xsi:type="dcterms:W3CDTF">2023-03-09T18:48:00Z</dcterms:created>
  <dcterms:modified xsi:type="dcterms:W3CDTF">2023-05-29T20:00:00Z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