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SahayAI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rtl w:val="0"/>
        </w:rPr>
        <w:t xml:space="preserve">We are solving a very specific problem:</w:t>
      </w:r>
      <w:r w:rsidDel="00000000" w:rsidR="00000000" w:rsidRPr="00000000">
        <w:rPr>
          <w:rtl w:val="0"/>
        </w:rPr>
        <w:t xml:space="preserve">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MSMEs form the backbone of the economy, but they face a massive credit access problem. Traditional lenders rely on collateral such as property, fixed assets, or formal credit history to issue loans. However, most small businesses operate on daily cash flows and do not possess these forms of collateral.</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As a result, even financially healthy MSMEs - those with consistent revenue are unable to secure timely credit. This leads to a significant financing gap, limiting their ability to grow, manage working capital, and sustain operations.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core issue is not the lack of repayment capacity, but the inability of existing systems to recognize and trust cashflow as a valid form of collateral. Additionally, verifying such financial data is slow, manual, and raises concerns around privacy and consent.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Therefore, the problem is: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How can we enable MSMEs to access credit by using their real-time cashflows as a trusted, verifiable, and privacy-preserving form of collateral, without relying on traditional asset-backed lending models?</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Demo - </w:t>
      </w:r>
      <w:hyperlink r:id="rId7">
        <w:r w:rsidDel="00000000" w:rsidR="00000000" w:rsidRPr="00000000">
          <w:rPr>
            <w:color w:val="1155cc"/>
            <w:u w:val="single"/>
            <w:rtl w:val="0"/>
          </w:rPr>
          <w:t xml:space="preserve">https://canva.link/03lbe2f1vii32c9</w:t>
        </w:r>
      </w:hyperlink>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drawing>
          <wp:inline distB="114300" distT="114300" distL="114300" distR="114300">
            <wp:extent cx="6400800" cy="5514975"/>
            <wp:effectExtent b="0" l="0" r="0" t="0"/>
            <wp:docPr id="1" name="image1.png"/>
            <a:graphic>
              <a:graphicData uri="http://schemas.openxmlformats.org/drawingml/2006/picture">
                <pic:pic>
                  <pic:nvPicPr>
                    <pic:cNvPr id="0" name="image1.png"/>
                    <pic:cNvPicPr preferRelativeResize="0"/>
                  </pic:nvPicPr>
                  <pic:blipFill>
                    <a:blip r:embed="rId8"/>
                    <a:srcRect b="11060" l="0" r="0" t="0"/>
                    <a:stretch>
                      <a:fillRect/>
                    </a:stretch>
                  </pic:blipFill>
                  <pic:spPr>
                    <a:xfrm>
                      <a:off x="0" y="0"/>
                      <a:ext cx="640080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drawing>
          <wp:inline distB="114300" distT="114300" distL="114300" distR="114300">
            <wp:extent cx="5943600" cy="4902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902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anva.link/03lbe2f1vii32c9"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EE2OVjCx8PiuIeamA9Lh3mOTCw==">CgMxLjA4AHIhMUFBOUUyZzZoMlRXRTU0dkc4NjV4Q3RoSFdYaUZBNkZX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