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SWTID-2026-8056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Blog 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.3099498926272"/>
        <w:gridCol w:w="1372.0601288475305"/>
        <w:gridCol w:w="1454.1102362204724"/>
        <w:gridCol w:w="1536.1603435934146"/>
        <w:gridCol w:w="1741.2856120257698"/>
        <w:gridCol w:w="1686.5855404438082"/>
        <w:tblGridChange w:id="0">
          <w:tblGrid>
            <w:gridCol w:w="1235.3099498926272"/>
            <w:gridCol w:w="1372.0601288475305"/>
            <w:gridCol w:w="1454.1102362204724"/>
            <w:gridCol w:w="1536.1603435934146"/>
            <w:gridCol w:w="1741.2856120257698"/>
            <w:gridCol w:w="1686.5855404438082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content creator or blog 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Create, edit, organize and publish blog posts efficiently.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Managing multiple drafts, categories and tags manually is time-consuming.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lack a centralized platform with AI-assisted content generation and blog management.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Frustrated and less productive.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blog reader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 relevant articles, read blogs and share opinions through comments.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Finding organized content and interacting with authors can be difficult.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need a platform with organized blog posts, search and comment management.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Inconvenienced and less engaged.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Solution: BlogNest provides AI-powered blog generation, centralized content management, organized categories and tags, user authentication, role-based access and reader comments to address these problems.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