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Light" w:cs="Open Sans Light" w:eastAsia="Open Sans Light" w:hAnsi="Open Sans Light"/>
          <w:color w:val="0000ff"/>
          <w:sz w:val="28"/>
          <w:szCs w:val="28"/>
        </w:rPr>
      </w:pPr>
      <w:r w:rsidDel="00000000" w:rsidR="00000000" w:rsidRPr="00000000">
        <w:rPr>
          <w:rFonts w:ascii="Open Sans Light" w:cs="Open Sans Light" w:eastAsia="Open Sans Light" w:hAnsi="Open Sans Light"/>
          <w:color w:val="0000ff"/>
          <w:sz w:val="28"/>
          <w:szCs w:val="28"/>
          <w:rtl w:val="0"/>
        </w:rPr>
        <w:t xml:space="preserve">UDACITY</w:t>
      </w:r>
    </w:p>
    <w:p w:rsidR="00000000" w:rsidDel="00000000" w:rsidP="00000000" w:rsidRDefault="00000000" w:rsidRPr="00000000" w14:paraId="00000002">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Introduction to Generative AI with AWS</w:t>
      </w:r>
    </w:p>
    <w:p w:rsidR="00000000" w:rsidDel="00000000" w:rsidP="00000000" w:rsidRDefault="00000000" w:rsidRPr="00000000" w14:paraId="00000003">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Documentation Report</w:t>
      </w:r>
    </w:p>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Visit </w:t>
      </w:r>
      <w:hyperlink r:id="rId7">
        <w:r w:rsidDel="00000000" w:rsidR="00000000" w:rsidRPr="00000000">
          <w:rPr>
            <w:color w:val="0000ee"/>
            <w:u w:val="single"/>
            <w:shd w:fill="auto" w:val="clear"/>
            <w:rtl w:val="0"/>
          </w:rPr>
          <w:t xml:space="preserve">UDACITY Introduction to Generative AI with AWS Project Documentation Report</w:t>
        </w:r>
      </w:hyperlink>
      <w:r w:rsidDel="00000000" w:rsidR="00000000" w:rsidRPr="00000000">
        <w:rPr>
          <w:rFonts w:ascii="Open Sans" w:cs="Open Sans" w:eastAsia="Open Sans" w:hAnsi="Open Sans"/>
          <w:rtl w:val="0"/>
        </w:rPr>
        <w:t xml:space="preserve"> to make a copy of this document. </w:t>
      </w:r>
    </w:p>
    <w:p w:rsidR="00000000" w:rsidDel="00000000" w:rsidP="00000000" w:rsidRDefault="00000000" w:rsidRPr="00000000" w14:paraId="00000006">
      <w:pPr>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Complete the answers to the questions below to complete your project report.  Create a PDF of the completed document and submit the PDF with your project.  </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Your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Step 2: Domain Choice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domain did you choose to fine-tune the Meta Llama 2 7B model on? </w:t>
              <w:br w:type="textWrapping"/>
              <w:t xml:space="preserve">Choices: </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Financial</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Healthcare</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b w:val="1"/>
                <w:rtl w:val="0"/>
              </w:rPr>
              <w:t xml:space="preserve">My Domain Choice is</w:t>
            </w:r>
            <w:r w:rsidDel="00000000" w:rsidR="00000000" w:rsidRPr="00000000">
              <w:rPr>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 IT Domain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Step 3: Model Evaluation Section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was the response of the model to your domain-specific input in the </w:t>
            </w:r>
            <w:r w:rsidDel="00000000" w:rsidR="00000000" w:rsidRPr="00000000">
              <w:rPr>
                <w:b w:val="1"/>
                <w:rtl w:val="0"/>
              </w:rPr>
              <w:t xml:space="preserve">model_evaluation.ipynb file</w:t>
            </w:r>
            <w:r w:rsidDel="00000000" w:rsidR="00000000" w:rsidRPr="00000000">
              <w:rPr>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Input - </w:t>
            </w:r>
          </w:p>
          <w:p w:rsidR="00000000" w:rsidDel="00000000" w:rsidP="00000000" w:rsidRDefault="00000000" w:rsidRPr="00000000" w14:paraId="00000019">
            <w:pPr>
              <w:widowControl w:val="0"/>
              <w:spacing w:line="240" w:lineRule="auto"/>
              <w:ind w:left="720" w:firstLine="0"/>
              <w:rPr>
                <w:highlight w:val="white"/>
              </w:rPr>
            </w:pPr>
            <w:r w:rsidDel="00000000" w:rsidR="00000000" w:rsidRPr="00000000">
              <w:rPr>
                <w:highlight w:val="white"/>
                <w:rtl w:val="0"/>
              </w:rPr>
              <w:t xml:space="preserve">“Traditional approaches to data management such as”</w:t>
            </w:r>
          </w:p>
          <w:p w:rsidR="00000000" w:rsidDel="00000000" w:rsidP="00000000" w:rsidRDefault="00000000" w:rsidRPr="00000000" w14:paraId="0000001A">
            <w:pPr>
              <w:widowControl w:val="0"/>
              <w:spacing w:line="240" w:lineRule="auto"/>
              <w:ind w:left="720" w:firstLine="0"/>
              <w:rPr>
                <w:highlight w:val="white"/>
              </w:rPr>
            </w:pPr>
            <w:r w:rsidDel="00000000" w:rsidR="00000000" w:rsidRPr="00000000">
              <w:rPr>
                <w:rtl w:val="0"/>
              </w:rPr>
            </w:r>
          </w:p>
          <w:p w:rsidR="00000000" w:rsidDel="00000000" w:rsidP="00000000" w:rsidRDefault="00000000" w:rsidRPr="00000000" w14:paraId="0000001B">
            <w:pPr>
              <w:widowControl w:val="0"/>
              <w:spacing w:line="240" w:lineRule="auto"/>
              <w:ind w:left="720" w:firstLine="0"/>
              <w:rPr>
                <w:b w:val="1"/>
                <w:highlight w:val="white"/>
              </w:rPr>
            </w:pPr>
            <w:r w:rsidDel="00000000" w:rsidR="00000000" w:rsidRPr="00000000">
              <w:rPr>
                <w:b w:val="1"/>
                <w:highlight w:val="white"/>
                <w:rtl w:val="0"/>
              </w:rPr>
              <w:t xml:space="preserve">Output -</w:t>
            </w:r>
          </w:p>
          <w:p w:rsidR="00000000" w:rsidDel="00000000" w:rsidP="00000000" w:rsidRDefault="00000000" w:rsidRPr="00000000" w14:paraId="0000001C">
            <w:pPr>
              <w:widowControl w:val="0"/>
              <w:spacing w:line="240" w:lineRule="auto"/>
              <w:ind w:left="720" w:firstLine="0"/>
              <w:rPr>
                <w:b w:val="1"/>
                <w:highlight w:val="white"/>
              </w:rPr>
            </w:pPr>
            <w:r w:rsidDel="00000000" w:rsidR="00000000" w:rsidRPr="00000000">
              <w:rPr>
                <w:rtl w:val="0"/>
              </w:rPr>
            </w:r>
          </w:p>
          <w:p w:rsidR="00000000" w:rsidDel="00000000" w:rsidP="00000000" w:rsidRDefault="00000000" w:rsidRPr="00000000" w14:paraId="0000001D">
            <w:pPr>
              <w:widowControl w:val="0"/>
              <w:spacing w:line="240" w:lineRule="auto"/>
              <w:ind w:left="720" w:firstLine="0"/>
              <w:rPr>
                <w:highlight w:val="white"/>
              </w:rPr>
            </w:pPr>
            <w:r w:rsidDel="00000000" w:rsidR="00000000" w:rsidRPr="00000000">
              <w:rPr>
                <w:highlight w:val="white"/>
                <w:rtl w:val="0"/>
              </w:rPr>
              <w:t xml:space="preserve">data warehouses and data marts are unable to provide the speed and flexibility required to support the growing needs of today’s businesses.</w:t>
            </w:r>
          </w:p>
          <w:p w:rsidR="00000000" w:rsidDel="00000000" w:rsidP="00000000" w:rsidRDefault="00000000" w:rsidRPr="00000000" w14:paraId="0000001E">
            <w:pPr>
              <w:widowControl w:val="0"/>
              <w:spacing w:line="240" w:lineRule="auto"/>
              <w:ind w:left="720" w:firstLine="0"/>
              <w:rPr>
                <w:highlight w:val="white"/>
              </w:rPr>
            </w:pPr>
            <w:r w:rsidDel="00000000" w:rsidR="00000000" w:rsidRPr="00000000">
              <w:rPr>
                <w:highlight w:val="white"/>
                <w:rtl w:val="0"/>
              </w:rPr>
              <w:t xml:space="preserve">The Data Lake is an alternative data management model that allows organizations to store all of their data in a central repository, where it can be accessed and analyzed by</w:t>
            </w:r>
          </w:p>
          <w:p w:rsidR="00000000" w:rsidDel="00000000" w:rsidP="00000000" w:rsidRDefault="00000000" w:rsidRPr="00000000" w14:paraId="0000001F">
            <w:pPr>
              <w:widowControl w:val="0"/>
              <w:spacing w:line="240" w:lineRule="auto"/>
              <w:ind w:left="720" w:firstLine="0"/>
              <w:rPr>
                <w:highlight w:val="white"/>
              </w:rPr>
            </w:pPr>
            <w:r w:rsidDel="00000000" w:rsidR="00000000" w:rsidRPr="00000000">
              <w:rPr>
                <w:rtl w:val="0"/>
              </w:rPr>
            </w:r>
          </w:p>
          <w:p w:rsidR="00000000" w:rsidDel="00000000" w:rsidP="00000000" w:rsidRDefault="00000000" w:rsidRPr="00000000" w14:paraId="00000020">
            <w:pPr>
              <w:widowControl w:val="0"/>
              <w:spacing w:line="240" w:lineRule="auto"/>
              <w:ind w:left="720" w:firstLine="0"/>
              <w:rPr>
                <w:b w:val="1"/>
                <w:highlight w:val="white"/>
              </w:rPr>
            </w:pPr>
            <w:r w:rsidDel="00000000" w:rsidR="00000000" w:rsidRPr="00000000">
              <w:rPr>
                <w:rtl w:val="0"/>
              </w:rPr>
            </w:r>
          </w:p>
          <w:p w:rsidR="00000000" w:rsidDel="00000000" w:rsidP="00000000" w:rsidRDefault="00000000" w:rsidRPr="00000000" w14:paraId="00000021">
            <w:pPr>
              <w:widowControl w:val="0"/>
              <w:spacing w:line="240" w:lineRule="auto"/>
              <w:ind w:left="720" w:firstLine="0"/>
              <w:rPr>
                <w:b w:val="1"/>
                <w:highlight w:val="white"/>
              </w:rPr>
            </w:pPr>
            <w:r w:rsidDel="00000000" w:rsidR="00000000" w:rsidRPr="00000000">
              <w:rPr>
                <w:rtl w:val="0"/>
              </w:rPr>
            </w:r>
          </w:p>
          <w:p w:rsidR="00000000" w:rsidDel="00000000" w:rsidP="00000000" w:rsidRDefault="00000000" w:rsidRPr="00000000" w14:paraId="00000022">
            <w:pPr>
              <w:widowControl w:val="0"/>
              <w:spacing w:line="240" w:lineRule="auto"/>
              <w:ind w:left="720" w:firstLine="0"/>
              <w:rPr>
                <w:highlight w:val="whit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Step 4: Fine-Tuning Section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fine-tuning the model, what was the response of the model to your domain-specific input in the </w:t>
            </w:r>
            <w:r w:rsidDel="00000000" w:rsidR="00000000" w:rsidRPr="00000000">
              <w:rPr>
                <w:b w:val="1"/>
                <w:rtl w:val="0"/>
              </w:rPr>
              <w:t xml:space="preserve">model_finetuning.ipynb file</w:t>
            </w:r>
            <w:r w:rsidDel="00000000" w:rsidR="00000000" w:rsidRPr="00000000">
              <w:rPr>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720" w:firstLine="0"/>
              <w:rPr>
                <w:b w:val="1"/>
              </w:rPr>
            </w:pPr>
            <w:r w:rsidDel="00000000" w:rsidR="00000000" w:rsidRPr="00000000">
              <w:rPr>
                <w:b w:val="1"/>
                <w:rtl w:val="0"/>
              </w:rPr>
              <w:t xml:space="preserve">Input - </w:t>
            </w:r>
          </w:p>
          <w:p w:rsidR="00000000" w:rsidDel="00000000" w:rsidP="00000000" w:rsidRDefault="00000000" w:rsidRPr="00000000" w14:paraId="00000029">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2A">
            <w:pPr>
              <w:widowControl w:val="0"/>
              <w:spacing w:line="240" w:lineRule="auto"/>
              <w:ind w:left="720" w:firstLine="0"/>
              <w:rPr>
                <w:highlight w:val="white"/>
              </w:rPr>
            </w:pPr>
            <w:r w:rsidDel="00000000" w:rsidR="00000000" w:rsidRPr="00000000">
              <w:rPr>
                <w:highlight w:val="white"/>
                <w:rtl w:val="0"/>
              </w:rPr>
              <w:t xml:space="preserve">“Traditional approaches to data management such as”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Output -</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E">
            <w:pPr>
              <w:widowControl w:val="0"/>
              <w:spacing w:line="240" w:lineRule="auto"/>
              <w:ind w:left="720" w:firstLine="0"/>
              <w:rPr>
                <w:highlight w:val="white"/>
              </w:rPr>
            </w:pPr>
            <w:r w:rsidDel="00000000" w:rsidR="00000000" w:rsidRPr="00000000">
              <w:rPr>
                <w:highlight w:val="white"/>
                <w:rtl w:val="0"/>
              </w:rPr>
              <w:t xml:space="preserve">[{'generated_text': " relational databases and data warehouses have become obsolete in today's dynamic business environment.\nThe NoSQL movement has grown in response to the need for more agile data management systems that can adapt to changing business needs.\nNoSQL is a term used to describe a class of non-rel"}]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kqRy-gVGZjwl9r03hqMeWSm-D6hEY8KWuxz4GO0vdOw/co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gZx5nnA5G626KXUQhkuNDir/oQ==">CgMxLjA4AHIhMVVaaTE4V1djNXl5STZ0LWRJTVRUUkUxWDRzcWpDeHAz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