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 Light" w:cs="Open Sans Light" w:eastAsia="Open Sans Light" w:hAnsi="Open Sans Light"/>
          <w:color w:val="0000ff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ff"/>
          <w:sz w:val="28"/>
          <w:szCs w:val="28"/>
          <w:rtl w:val="0"/>
        </w:rPr>
        <w:t xml:space="preserve">UDACITY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Introduction to Generative AI with AWS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Project Documentation Report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Visit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UDACITY Introduction to Generative AI with AWS Project Documentation Report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to make a copy of this document.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Complete the answers to the questions below to complete your project report.  Create a PDF of the completed document and submit the PDF with your project.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Your 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2: Domain Choice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domain did you choose to fine-tune the Meta Llama 2 7B model on? </w:t>
              <w:br w:type="textWrapping"/>
              <w:t xml:space="preserve">Choices: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Healthcare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 Domain Choice is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Financial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3: Model Evaluation Section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model_evaluation.ipynb file</w:t>
            </w:r>
            <w:r w:rsidDel="00000000" w:rsidR="00000000" w:rsidRPr="00000000">
              <w:rPr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-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“The results for the short in the money options”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 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results for the short in the money options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  are also shown in Table 3.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Table 3. Results for the short in the money options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results for the short in the money options are also shown in Table 3.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Table 3. Results for the short in the money options (continued)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Table 4. Results for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4: Fine-Tuning Section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fine-tuning the model, 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model_finetuning.ipynb file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-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“The results for the short in the money options”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results for the short in the money options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 [{'generated_text': ' are shown in Table 16.2.\nTable 16.2. Short In the Money Option Results\nPurchase Price (0.60)\nSale Price (1.40)\nGain (Loss) ($0.80)\nThe results for the long'}]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kqRy-gVGZjwl9r03hqMeWSm-D6hEY8KWuxz4GO0vdOw/co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uO3v4TjYt+DK31Bwy7kQE028Ew==">CgMxLjA4AHIhMU1jTERoNlVXNTRCRW1udEpNN2ZzTDhLXzJHU0hMQmRE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