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81F6" w14:textId="77777777" w:rsidR="00F8011D" w:rsidRPr="00F8011D" w:rsidRDefault="00000000" w:rsidP="00602397">
      <w:pPr>
        <w:pStyle w:val="NoSpacing"/>
      </w:pPr>
      <w:r>
        <w:pict w14:anchorId="362FBCCC">
          <v:rect id="_x0000_i1025" style="width:0;height:1.5pt" o:hralign="center" o:hrstd="t" o:hr="t" fillcolor="#a0a0a0" stroked="f"/>
        </w:pict>
      </w:r>
    </w:p>
    <w:p w14:paraId="61E97423" w14:textId="77777777" w:rsidR="00F8011D" w:rsidRPr="00F8011D" w:rsidRDefault="00F8011D" w:rsidP="00F8011D">
      <w:pPr>
        <w:rPr>
          <w:b/>
          <w:bCs/>
        </w:rPr>
      </w:pPr>
      <w:r w:rsidRPr="00F8011D">
        <w:rPr>
          <w:rFonts w:ascii="Segoe UI Emoji" w:hAnsi="Segoe UI Emoji" w:cs="Segoe UI Emoji"/>
          <w:b/>
          <w:bCs/>
        </w:rPr>
        <w:t>📄</w:t>
      </w:r>
      <w:r w:rsidRPr="00F8011D">
        <w:rPr>
          <w:b/>
          <w:bCs/>
        </w:rPr>
        <w:t xml:space="preserve"> Title: Power BI Analysis of Northwind Dataset – MECE Breakdown and Insights</w:t>
      </w:r>
    </w:p>
    <w:p w14:paraId="54195548" w14:textId="77777777" w:rsidR="00F8011D" w:rsidRDefault="00000000" w:rsidP="00F8011D">
      <w:r>
        <w:pict w14:anchorId="606AB613">
          <v:rect id="_x0000_i1026" style="width:0;height:1.5pt" o:hralign="center" o:hrstd="t" o:hr="t" fillcolor="#a0a0a0" stroked="f"/>
        </w:pict>
      </w:r>
    </w:p>
    <w:p w14:paraId="6AE97A94" w14:textId="77777777" w:rsidR="00F8011D" w:rsidRPr="00F8011D" w:rsidRDefault="00F8011D" w:rsidP="00F8011D">
      <w:r w:rsidRPr="00F8011D">
        <w:rPr>
          <w:b/>
          <w:bCs/>
        </w:rPr>
        <w:t>Objective:</w:t>
      </w:r>
      <w:r w:rsidRPr="00F8011D">
        <w:t xml:space="preserve"> To structure the Northwind database analysis using the MECE (Mutually Exclusive, Collectively Exhaustive) framework before beginning Power BI data visualization and DAX work.</w:t>
      </w:r>
      <w:r w:rsidR="00B21AC1">
        <w:t xml:space="preserve"> It will help us </w:t>
      </w:r>
      <w:r w:rsidR="00B21AC1" w:rsidRPr="00F8011D">
        <w:t>to identify key insights that will guide the Power BI dashboard development.</w:t>
      </w:r>
    </w:p>
    <w:p w14:paraId="1A106E4A" w14:textId="77777777" w:rsidR="00F8011D" w:rsidRPr="00F8011D" w:rsidRDefault="00000000" w:rsidP="00F8011D">
      <w:r>
        <w:pict w14:anchorId="78D7DA2E">
          <v:rect id="_x0000_i1027" style="width:0;height:1.5pt" o:hralign="center" o:hrstd="t" o:hr="t" fillcolor="#a0a0a0" stroked="f"/>
        </w:pict>
      </w:r>
    </w:p>
    <w:p w14:paraId="0363BD5E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MECE Breakdown:</w:t>
      </w:r>
    </w:p>
    <w:p w14:paraId="24646045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1. Customer Analysis</w:t>
      </w:r>
    </w:p>
    <w:p w14:paraId="39CDF57B" w14:textId="77777777" w:rsidR="00F8011D" w:rsidRPr="00F8011D" w:rsidRDefault="00F8011D" w:rsidP="00F8011D">
      <w:pPr>
        <w:numPr>
          <w:ilvl w:val="0"/>
          <w:numId w:val="7"/>
        </w:numPr>
      </w:pPr>
      <w:r w:rsidRPr="00F8011D">
        <w:rPr>
          <w:b/>
          <w:bCs/>
        </w:rPr>
        <w:t>Geographic Distribution</w:t>
      </w:r>
      <w:r w:rsidRPr="00F8011D">
        <w:t xml:space="preserve"> (Mutually Exclusive):</w:t>
      </w:r>
    </w:p>
    <w:p w14:paraId="2D4F554A" w14:textId="77777777" w:rsidR="00F8011D" w:rsidRPr="00F8011D" w:rsidRDefault="00F8011D" w:rsidP="00F8011D">
      <w:pPr>
        <w:numPr>
          <w:ilvl w:val="1"/>
          <w:numId w:val="7"/>
        </w:numPr>
      </w:pPr>
      <w:r w:rsidRPr="00F8011D">
        <w:t>Country</w:t>
      </w:r>
    </w:p>
    <w:p w14:paraId="5787B70C" w14:textId="77777777" w:rsidR="00F8011D" w:rsidRPr="00F8011D" w:rsidRDefault="00F8011D" w:rsidP="00F8011D">
      <w:pPr>
        <w:numPr>
          <w:ilvl w:val="1"/>
          <w:numId w:val="7"/>
        </w:numPr>
      </w:pPr>
      <w:r w:rsidRPr="00F8011D">
        <w:t>Region</w:t>
      </w:r>
    </w:p>
    <w:p w14:paraId="0C8625EC" w14:textId="77777777" w:rsidR="00F8011D" w:rsidRPr="00F8011D" w:rsidRDefault="00F8011D" w:rsidP="00F8011D">
      <w:pPr>
        <w:numPr>
          <w:ilvl w:val="1"/>
          <w:numId w:val="7"/>
        </w:numPr>
      </w:pPr>
      <w:r w:rsidRPr="00F8011D">
        <w:t>City</w:t>
      </w:r>
    </w:p>
    <w:p w14:paraId="11698B0E" w14:textId="77777777" w:rsidR="00F8011D" w:rsidRPr="00F8011D" w:rsidRDefault="00F8011D" w:rsidP="00F8011D">
      <w:pPr>
        <w:numPr>
          <w:ilvl w:val="0"/>
          <w:numId w:val="7"/>
        </w:numPr>
      </w:pPr>
      <w:r w:rsidRPr="00F8011D">
        <w:rPr>
          <w:b/>
          <w:bCs/>
        </w:rPr>
        <w:t>Demographic Profile</w:t>
      </w:r>
      <w:r w:rsidRPr="00F8011D">
        <w:t>:</w:t>
      </w:r>
    </w:p>
    <w:p w14:paraId="19085408" w14:textId="77777777" w:rsidR="00F8011D" w:rsidRPr="00F8011D" w:rsidRDefault="00F8011D" w:rsidP="00F8011D">
      <w:pPr>
        <w:numPr>
          <w:ilvl w:val="1"/>
          <w:numId w:val="7"/>
        </w:numPr>
      </w:pPr>
      <w:r w:rsidRPr="00F8011D">
        <w:t>Contact Title</w:t>
      </w:r>
    </w:p>
    <w:p w14:paraId="6F8C765E" w14:textId="77777777" w:rsidR="00F8011D" w:rsidRPr="00F8011D" w:rsidRDefault="00F8011D" w:rsidP="00F8011D">
      <w:pPr>
        <w:numPr>
          <w:ilvl w:val="1"/>
          <w:numId w:val="7"/>
        </w:numPr>
      </w:pPr>
      <w:r w:rsidRPr="00F8011D">
        <w:t>Company Name</w:t>
      </w:r>
    </w:p>
    <w:p w14:paraId="7AA5EE94" w14:textId="77777777" w:rsidR="00F8011D" w:rsidRPr="00F8011D" w:rsidRDefault="00F8011D" w:rsidP="00F8011D">
      <w:pPr>
        <w:numPr>
          <w:ilvl w:val="0"/>
          <w:numId w:val="7"/>
        </w:numPr>
      </w:pPr>
      <w:proofErr w:type="spellStart"/>
      <w:r w:rsidRPr="00F8011D">
        <w:rPr>
          <w:b/>
          <w:bCs/>
        </w:rPr>
        <w:t>Behavioral</w:t>
      </w:r>
      <w:proofErr w:type="spellEnd"/>
      <w:r w:rsidRPr="00F8011D">
        <w:rPr>
          <w:b/>
          <w:bCs/>
        </w:rPr>
        <w:t xml:space="preserve"> Segments</w:t>
      </w:r>
      <w:r w:rsidRPr="00F8011D">
        <w:t>:</w:t>
      </w:r>
    </w:p>
    <w:p w14:paraId="4ABE9C7A" w14:textId="77777777" w:rsidR="00F8011D" w:rsidRPr="00F8011D" w:rsidRDefault="00F8011D" w:rsidP="00F8011D">
      <w:pPr>
        <w:numPr>
          <w:ilvl w:val="1"/>
          <w:numId w:val="7"/>
        </w:numPr>
      </w:pPr>
      <w:r w:rsidRPr="00F8011D">
        <w:t>Order Frequency</w:t>
      </w:r>
    </w:p>
    <w:p w14:paraId="0D85BFC7" w14:textId="77777777" w:rsidR="00F8011D" w:rsidRPr="00F8011D" w:rsidRDefault="00F8011D" w:rsidP="00F8011D">
      <w:pPr>
        <w:numPr>
          <w:ilvl w:val="1"/>
          <w:numId w:val="7"/>
        </w:numPr>
      </w:pPr>
      <w:r w:rsidRPr="00F8011D">
        <w:t>Total Revenue Contributed</w:t>
      </w:r>
    </w:p>
    <w:p w14:paraId="5F1AE565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2. Sales &amp; Orders Analysis</w:t>
      </w:r>
    </w:p>
    <w:p w14:paraId="25DF450F" w14:textId="77777777" w:rsidR="00F8011D" w:rsidRPr="00F8011D" w:rsidRDefault="00F8011D" w:rsidP="00F8011D">
      <w:pPr>
        <w:numPr>
          <w:ilvl w:val="0"/>
          <w:numId w:val="8"/>
        </w:numPr>
      </w:pPr>
      <w:r w:rsidRPr="00F8011D">
        <w:rPr>
          <w:b/>
          <w:bCs/>
        </w:rPr>
        <w:t>Time-based Analysis</w:t>
      </w:r>
      <w:r w:rsidRPr="00F8011D">
        <w:t xml:space="preserve"> (Mutually Exclusive):</w:t>
      </w:r>
    </w:p>
    <w:p w14:paraId="01692379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Monthly Trends</w:t>
      </w:r>
    </w:p>
    <w:p w14:paraId="39829653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Yearly Trends</w:t>
      </w:r>
    </w:p>
    <w:p w14:paraId="61CDBEED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Seasonal Trends</w:t>
      </w:r>
    </w:p>
    <w:p w14:paraId="2D22680F" w14:textId="77777777" w:rsidR="00F8011D" w:rsidRPr="00F8011D" w:rsidRDefault="00F8011D" w:rsidP="00F8011D">
      <w:pPr>
        <w:numPr>
          <w:ilvl w:val="0"/>
          <w:numId w:val="8"/>
        </w:numPr>
      </w:pPr>
      <w:r w:rsidRPr="00F8011D">
        <w:rPr>
          <w:b/>
          <w:bCs/>
        </w:rPr>
        <w:t>Order Details</w:t>
      </w:r>
      <w:r w:rsidRPr="00F8011D">
        <w:t>:</w:t>
      </w:r>
    </w:p>
    <w:p w14:paraId="1BFED8C0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Total Orders</w:t>
      </w:r>
    </w:p>
    <w:p w14:paraId="1ACDF44D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Total Revenue</w:t>
      </w:r>
    </w:p>
    <w:p w14:paraId="6A21EA70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Order Value Distribution</w:t>
      </w:r>
    </w:p>
    <w:p w14:paraId="322BBAEE" w14:textId="77777777" w:rsidR="00F8011D" w:rsidRPr="00F8011D" w:rsidRDefault="00F8011D" w:rsidP="00F8011D">
      <w:pPr>
        <w:numPr>
          <w:ilvl w:val="0"/>
          <w:numId w:val="8"/>
        </w:numPr>
      </w:pPr>
      <w:r w:rsidRPr="00F8011D">
        <w:rPr>
          <w:b/>
          <w:bCs/>
        </w:rPr>
        <w:lastRenderedPageBreak/>
        <w:t>Shipping Analysis</w:t>
      </w:r>
      <w:r w:rsidRPr="00F8011D">
        <w:t>:</w:t>
      </w:r>
    </w:p>
    <w:p w14:paraId="52AF1A0C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Shipping Duration</w:t>
      </w:r>
    </w:p>
    <w:p w14:paraId="2287132E" w14:textId="77777777" w:rsidR="00F8011D" w:rsidRPr="00F8011D" w:rsidRDefault="00F8011D" w:rsidP="00F8011D">
      <w:pPr>
        <w:numPr>
          <w:ilvl w:val="1"/>
          <w:numId w:val="8"/>
        </w:numPr>
      </w:pPr>
      <w:r w:rsidRPr="00F8011D">
        <w:t>Freight Charges</w:t>
      </w:r>
    </w:p>
    <w:p w14:paraId="32F796DD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3. Product &amp; Category Analysis</w:t>
      </w:r>
    </w:p>
    <w:p w14:paraId="5F637D3E" w14:textId="77777777" w:rsidR="00F8011D" w:rsidRPr="00F8011D" w:rsidRDefault="00F8011D" w:rsidP="00F8011D">
      <w:pPr>
        <w:numPr>
          <w:ilvl w:val="0"/>
          <w:numId w:val="9"/>
        </w:numPr>
      </w:pPr>
      <w:r w:rsidRPr="00F8011D">
        <w:rPr>
          <w:b/>
          <w:bCs/>
        </w:rPr>
        <w:t>Sales Volume by Product</w:t>
      </w:r>
    </w:p>
    <w:p w14:paraId="06C88F04" w14:textId="77777777" w:rsidR="00F8011D" w:rsidRPr="00F8011D" w:rsidRDefault="00F8011D" w:rsidP="00F8011D">
      <w:pPr>
        <w:numPr>
          <w:ilvl w:val="0"/>
          <w:numId w:val="9"/>
        </w:numPr>
      </w:pPr>
      <w:r w:rsidRPr="00F8011D">
        <w:rPr>
          <w:b/>
          <w:bCs/>
        </w:rPr>
        <w:t>Revenue by Product</w:t>
      </w:r>
    </w:p>
    <w:p w14:paraId="5723379C" w14:textId="77777777" w:rsidR="00F8011D" w:rsidRPr="00F8011D" w:rsidRDefault="00F8011D" w:rsidP="00F8011D">
      <w:pPr>
        <w:numPr>
          <w:ilvl w:val="0"/>
          <w:numId w:val="9"/>
        </w:numPr>
      </w:pPr>
      <w:r w:rsidRPr="00F8011D">
        <w:rPr>
          <w:b/>
          <w:bCs/>
        </w:rPr>
        <w:t>Category-wise Distribution</w:t>
      </w:r>
    </w:p>
    <w:p w14:paraId="7D194D7C" w14:textId="77777777" w:rsidR="00F8011D" w:rsidRPr="00F8011D" w:rsidRDefault="00F8011D" w:rsidP="00F8011D">
      <w:pPr>
        <w:numPr>
          <w:ilvl w:val="0"/>
          <w:numId w:val="9"/>
        </w:numPr>
      </w:pPr>
      <w:r w:rsidRPr="00F8011D">
        <w:rPr>
          <w:b/>
          <w:bCs/>
        </w:rPr>
        <w:t>Product Pricing Trends</w:t>
      </w:r>
    </w:p>
    <w:p w14:paraId="4EBE8AE0" w14:textId="77777777" w:rsidR="00F8011D" w:rsidRPr="00F8011D" w:rsidRDefault="00F8011D" w:rsidP="00F8011D">
      <w:pPr>
        <w:numPr>
          <w:ilvl w:val="0"/>
          <w:numId w:val="9"/>
        </w:numPr>
      </w:pPr>
      <w:r w:rsidRPr="00F8011D">
        <w:rPr>
          <w:b/>
          <w:bCs/>
        </w:rPr>
        <w:t>Stock vs. Sales</w:t>
      </w:r>
    </w:p>
    <w:p w14:paraId="7EE2A4E3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4. Employee Analysis</w:t>
      </w:r>
    </w:p>
    <w:p w14:paraId="57DC9FC9" w14:textId="77777777" w:rsidR="00F8011D" w:rsidRPr="00F8011D" w:rsidRDefault="00F8011D" w:rsidP="00F8011D">
      <w:pPr>
        <w:numPr>
          <w:ilvl w:val="0"/>
          <w:numId w:val="10"/>
        </w:numPr>
      </w:pPr>
      <w:r w:rsidRPr="00F8011D">
        <w:rPr>
          <w:b/>
          <w:bCs/>
        </w:rPr>
        <w:t>Title-wise Distribution</w:t>
      </w:r>
    </w:p>
    <w:p w14:paraId="45EABDA8" w14:textId="77777777" w:rsidR="00F8011D" w:rsidRPr="00F8011D" w:rsidRDefault="00F8011D" w:rsidP="00F8011D">
      <w:pPr>
        <w:numPr>
          <w:ilvl w:val="0"/>
          <w:numId w:val="10"/>
        </w:numPr>
      </w:pPr>
      <w:r w:rsidRPr="00F8011D">
        <w:rPr>
          <w:b/>
          <w:bCs/>
        </w:rPr>
        <w:t>Region-</w:t>
      </w:r>
      <w:proofErr w:type="spellStart"/>
      <w:r w:rsidRPr="00F8011D">
        <w:rPr>
          <w:b/>
          <w:bCs/>
        </w:rPr>
        <w:t>wise</w:t>
      </w:r>
      <w:proofErr w:type="spellEnd"/>
      <w:r w:rsidRPr="00F8011D">
        <w:rPr>
          <w:b/>
          <w:bCs/>
        </w:rPr>
        <w:t xml:space="preserve"> Distribution</w:t>
      </w:r>
    </w:p>
    <w:p w14:paraId="597AB57D" w14:textId="77777777" w:rsidR="00F8011D" w:rsidRPr="00F8011D" w:rsidRDefault="00F8011D" w:rsidP="00F8011D">
      <w:pPr>
        <w:numPr>
          <w:ilvl w:val="0"/>
          <w:numId w:val="10"/>
        </w:numPr>
      </w:pPr>
      <w:r w:rsidRPr="00F8011D">
        <w:rPr>
          <w:b/>
          <w:bCs/>
        </w:rPr>
        <w:t>Tenure Analysis (Hire Date)</w:t>
      </w:r>
    </w:p>
    <w:p w14:paraId="539165FC" w14:textId="77777777" w:rsidR="00F8011D" w:rsidRPr="00F8011D" w:rsidRDefault="00F8011D" w:rsidP="00F8011D">
      <w:pPr>
        <w:numPr>
          <w:ilvl w:val="0"/>
          <w:numId w:val="10"/>
        </w:numPr>
      </w:pPr>
      <w:r w:rsidRPr="00F8011D">
        <w:rPr>
          <w:b/>
          <w:bCs/>
        </w:rPr>
        <w:t>Hierarchy (Manager-Subordinate Relationship)</w:t>
      </w:r>
    </w:p>
    <w:p w14:paraId="0C024BC4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5. Supplier Analysis</w:t>
      </w:r>
    </w:p>
    <w:p w14:paraId="4F21622A" w14:textId="77777777" w:rsidR="00F8011D" w:rsidRPr="00F8011D" w:rsidRDefault="00F8011D" w:rsidP="00F8011D">
      <w:pPr>
        <w:numPr>
          <w:ilvl w:val="0"/>
          <w:numId w:val="11"/>
        </w:numPr>
      </w:pPr>
      <w:r w:rsidRPr="00F8011D">
        <w:rPr>
          <w:b/>
          <w:bCs/>
        </w:rPr>
        <w:t>Regional Supplier Distribution</w:t>
      </w:r>
    </w:p>
    <w:p w14:paraId="4EBFB56E" w14:textId="77777777" w:rsidR="00F8011D" w:rsidRPr="00F8011D" w:rsidRDefault="00F8011D" w:rsidP="00F8011D">
      <w:pPr>
        <w:numPr>
          <w:ilvl w:val="0"/>
          <w:numId w:val="11"/>
        </w:numPr>
      </w:pPr>
      <w:r w:rsidRPr="00F8011D">
        <w:rPr>
          <w:b/>
          <w:bCs/>
        </w:rPr>
        <w:t>Supplier-wise Product Count</w:t>
      </w:r>
    </w:p>
    <w:p w14:paraId="2BA02470" w14:textId="77777777" w:rsidR="00F8011D" w:rsidRPr="00F8011D" w:rsidRDefault="00F8011D" w:rsidP="00F8011D">
      <w:pPr>
        <w:numPr>
          <w:ilvl w:val="0"/>
          <w:numId w:val="11"/>
        </w:numPr>
      </w:pPr>
      <w:r w:rsidRPr="00F8011D">
        <w:rPr>
          <w:b/>
          <w:bCs/>
        </w:rPr>
        <w:t>Pricing Patterns by Supplier</w:t>
      </w:r>
    </w:p>
    <w:p w14:paraId="39A2B09C" w14:textId="77777777" w:rsidR="00F8011D" w:rsidRPr="00F8011D" w:rsidRDefault="00F8011D" w:rsidP="00F8011D"/>
    <w:p w14:paraId="315E14EF" w14:textId="77777777" w:rsidR="00F8011D" w:rsidRPr="00F8011D" w:rsidRDefault="00F8011D" w:rsidP="00F8011D">
      <w:pPr>
        <w:rPr>
          <w:b/>
          <w:bCs/>
        </w:rPr>
      </w:pPr>
      <w:r w:rsidRPr="00F8011D">
        <w:rPr>
          <w:rFonts w:ascii="Segoe UI Emoji" w:hAnsi="Segoe UI Emoji" w:cs="Segoe UI Emoji"/>
          <w:b/>
          <w:bCs/>
        </w:rPr>
        <w:t>🔍</w:t>
      </w:r>
      <w:r w:rsidRPr="00F8011D">
        <w:rPr>
          <w:b/>
          <w:bCs/>
        </w:rPr>
        <w:t xml:space="preserve"> 2. Key Insights Drawn</w:t>
      </w:r>
    </w:p>
    <w:p w14:paraId="0155DA83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Customer Insights:</w:t>
      </w:r>
    </w:p>
    <w:p w14:paraId="55AC8438" w14:textId="77777777" w:rsidR="00F8011D" w:rsidRPr="00F8011D" w:rsidRDefault="00F8011D" w:rsidP="00F8011D">
      <w:pPr>
        <w:numPr>
          <w:ilvl w:val="0"/>
          <w:numId w:val="1"/>
        </w:numPr>
      </w:pPr>
      <w:r w:rsidRPr="00F8011D">
        <w:rPr>
          <w:b/>
          <w:bCs/>
        </w:rPr>
        <w:t>USA and UK</w:t>
      </w:r>
      <w:r w:rsidRPr="00F8011D">
        <w:t xml:space="preserve"> have the highest customer count.</w:t>
      </w:r>
    </w:p>
    <w:p w14:paraId="56592DC3" w14:textId="77777777" w:rsidR="00F8011D" w:rsidRPr="00F8011D" w:rsidRDefault="00F8011D" w:rsidP="00F8011D">
      <w:pPr>
        <w:numPr>
          <w:ilvl w:val="0"/>
          <w:numId w:val="1"/>
        </w:numPr>
      </w:pPr>
      <w:r w:rsidRPr="00F8011D">
        <w:t xml:space="preserve">Contact Titles are mainly </w:t>
      </w:r>
      <w:r w:rsidRPr="00F8011D">
        <w:rPr>
          <w:b/>
          <w:bCs/>
        </w:rPr>
        <w:t>Owners and Sales Representatives</w:t>
      </w:r>
      <w:r w:rsidRPr="00F8011D">
        <w:t>, highlighting B2B nature.</w:t>
      </w:r>
    </w:p>
    <w:p w14:paraId="363D79D7" w14:textId="77777777" w:rsidR="00F8011D" w:rsidRPr="00F8011D" w:rsidRDefault="00F8011D" w:rsidP="00F8011D">
      <w:pPr>
        <w:numPr>
          <w:ilvl w:val="0"/>
          <w:numId w:val="1"/>
        </w:numPr>
      </w:pPr>
      <w:r w:rsidRPr="00F8011D">
        <w:t xml:space="preserve">Orders are increasing over months, especially in </w:t>
      </w:r>
      <w:r w:rsidRPr="00F8011D">
        <w:rPr>
          <w:b/>
          <w:bCs/>
        </w:rPr>
        <w:t>Q2 and Q4</w:t>
      </w:r>
      <w:r w:rsidRPr="00F8011D">
        <w:t>, indicating seasonal demand.</w:t>
      </w:r>
    </w:p>
    <w:p w14:paraId="6F780B70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Order Insights:</w:t>
      </w:r>
    </w:p>
    <w:p w14:paraId="6B5BBBD3" w14:textId="77777777" w:rsidR="00F8011D" w:rsidRPr="00F8011D" w:rsidRDefault="00F8011D" w:rsidP="00F8011D">
      <w:pPr>
        <w:numPr>
          <w:ilvl w:val="0"/>
          <w:numId w:val="2"/>
        </w:numPr>
      </w:pPr>
      <w:r w:rsidRPr="00F8011D">
        <w:t xml:space="preserve">Highest order volume occurs between </w:t>
      </w:r>
      <w:r w:rsidRPr="00F8011D">
        <w:rPr>
          <w:b/>
          <w:bCs/>
        </w:rPr>
        <w:t>March and June</w:t>
      </w:r>
      <w:r w:rsidRPr="00F8011D">
        <w:t>.</w:t>
      </w:r>
    </w:p>
    <w:p w14:paraId="39417C79" w14:textId="77777777" w:rsidR="00F8011D" w:rsidRPr="00F8011D" w:rsidRDefault="00F8011D" w:rsidP="00F8011D">
      <w:pPr>
        <w:numPr>
          <w:ilvl w:val="0"/>
          <w:numId w:val="2"/>
        </w:numPr>
      </w:pPr>
      <w:r w:rsidRPr="00F8011D">
        <w:lastRenderedPageBreak/>
        <w:t xml:space="preserve">Most order values fall between </w:t>
      </w:r>
      <w:r w:rsidRPr="00F8011D">
        <w:rPr>
          <w:b/>
          <w:bCs/>
        </w:rPr>
        <w:t>$500–$1500</w:t>
      </w:r>
      <w:r w:rsidRPr="00F8011D">
        <w:t xml:space="preserve"> (as per histogram).</w:t>
      </w:r>
    </w:p>
    <w:p w14:paraId="2050FA50" w14:textId="77777777" w:rsidR="00F8011D" w:rsidRPr="00F8011D" w:rsidRDefault="00F8011D" w:rsidP="00F8011D">
      <w:pPr>
        <w:numPr>
          <w:ilvl w:val="0"/>
          <w:numId w:val="2"/>
        </w:numPr>
      </w:pPr>
      <w:r w:rsidRPr="00F8011D">
        <w:t xml:space="preserve">Average shipping duration is </w:t>
      </w:r>
      <w:r w:rsidRPr="00F8011D">
        <w:rPr>
          <w:b/>
          <w:bCs/>
        </w:rPr>
        <w:t>4–6 days</w:t>
      </w:r>
      <w:r w:rsidRPr="00F8011D">
        <w:t>, with a few outliers indicating delays.</w:t>
      </w:r>
    </w:p>
    <w:p w14:paraId="5D9F860F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Employee Insights:</w:t>
      </w:r>
    </w:p>
    <w:p w14:paraId="4BE6D3BA" w14:textId="77777777" w:rsidR="00F8011D" w:rsidRPr="00F8011D" w:rsidRDefault="00F8011D" w:rsidP="00F8011D">
      <w:pPr>
        <w:numPr>
          <w:ilvl w:val="0"/>
          <w:numId w:val="3"/>
        </w:numPr>
      </w:pPr>
      <w:r w:rsidRPr="00F8011D">
        <w:rPr>
          <w:b/>
          <w:bCs/>
        </w:rPr>
        <w:t>Sales Representatives</w:t>
      </w:r>
      <w:r w:rsidRPr="00F8011D">
        <w:t xml:space="preserve"> dominate the employee count.</w:t>
      </w:r>
    </w:p>
    <w:p w14:paraId="71555E15" w14:textId="77777777" w:rsidR="00F8011D" w:rsidRPr="00F8011D" w:rsidRDefault="00F8011D" w:rsidP="00F8011D">
      <w:pPr>
        <w:numPr>
          <w:ilvl w:val="0"/>
          <w:numId w:val="3"/>
        </w:numPr>
      </w:pPr>
      <w:r w:rsidRPr="00F8011D">
        <w:t xml:space="preserve">Majority of employees were hired between </w:t>
      </w:r>
      <w:r w:rsidRPr="00F8011D">
        <w:rPr>
          <w:b/>
          <w:bCs/>
        </w:rPr>
        <w:t>1992–1995</w:t>
      </w:r>
      <w:r w:rsidRPr="00F8011D">
        <w:t>, suggesting a stable workforce.</w:t>
      </w:r>
    </w:p>
    <w:p w14:paraId="730751D3" w14:textId="77777777" w:rsidR="00F8011D" w:rsidRPr="00F8011D" w:rsidRDefault="00F8011D" w:rsidP="00F8011D">
      <w:pPr>
        <w:numPr>
          <w:ilvl w:val="0"/>
          <w:numId w:val="3"/>
        </w:numPr>
      </w:pPr>
      <w:r w:rsidRPr="00F8011D">
        <w:t xml:space="preserve">Organizational hierarchy is led by a </w:t>
      </w:r>
      <w:r w:rsidRPr="00F8011D">
        <w:rPr>
          <w:b/>
          <w:bCs/>
        </w:rPr>
        <w:t>Vice President</w:t>
      </w:r>
      <w:r w:rsidRPr="00F8011D">
        <w:t>, managing multiple representatives.</w:t>
      </w:r>
    </w:p>
    <w:p w14:paraId="7ADAF1C7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Product Insights:</w:t>
      </w:r>
    </w:p>
    <w:p w14:paraId="3C7A4F50" w14:textId="77777777" w:rsidR="00F8011D" w:rsidRPr="00F8011D" w:rsidRDefault="00F8011D" w:rsidP="00F8011D">
      <w:pPr>
        <w:numPr>
          <w:ilvl w:val="0"/>
          <w:numId w:val="4"/>
        </w:numPr>
      </w:pPr>
      <w:r w:rsidRPr="00F8011D">
        <w:t xml:space="preserve">Products like </w:t>
      </w:r>
      <w:r w:rsidRPr="00F8011D">
        <w:rPr>
          <w:b/>
          <w:bCs/>
        </w:rPr>
        <w:t>"Chai", "Tofu"</w:t>
      </w:r>
      <w:r w:rsidRPr="00F8011D">
        <w:t xml:space="preserve">, and </w:t>
      </w:r>
      <w:r w:rsidRPr="00F8011D">
        <w:rPr>
          <w:b/>
          <w:bCs/>
        </w:rPr>
        <w:t>"Chang"</w:t>
      </w:r>
      <w:r w:rsidRPr="00F8011D">
        <w:t xml:space="preserve"> have the highest sales.</w:t>
      </w:r>
    </w:p>
    <w:p w14:paraId="3B4178D2" w14:textId="77777777" w:rsidR="00F8011D" w:rsidRPr="00F8011D" w:rsidRDefault="00F8011D" w:rsidP="00F8011D">
      <w:pPr>
        <w:numPr>
          <w:ilvl w:val="0"/>
          <w:numId w:val="4"/>
        </w:numPr>
      </w:pPr>
      <w:r w:rsidRPr="00F8011D">
        <w:t>Beverages and Dairy Products show consistently high revenue.</w:t>
      </w:r>
    </w:p>
    <w:p w14:paraId="59C4D213" w14:textId="77777777" w:rsidR="00F8011D" w:rsidRPr="00F8011D" w:rsidRDefault="00F8011D" w:rsidP="00F8011D">
      <w:pPr>
        <w:numPr>
          <w:ilvl w:val="0"/>
          <w:numId w:val="4"/>
        </w:numPr>
      </w:pPr>
      <w:r w:rsidRPr="00F8011D">
        <w:t xml:space="preserve">Pricing is </w:t>
      </w:r>
      <w:r w:rsidRPr="00F8011D">
        <w:rPr>
          <w:b/>
          <w:bCs/>
        </w:rPr>
        <w:t>right-skewed</w:t>
      </w:r>
      <w:r w:rsidRPr="00F8011D">
        <w:t xml:space="preserve">, with most products priced below </w:t>
      </w:r>
      <w:r w:rsidRPr="00F8011D">
        <w:rPr>
          <w:b/>
          <w:bCs/>
        </w:rPr>
        <w:t>$50</w:t>
      </w:r>
      <w:r w:rsidRPr="00F8011D">
        <w:t>.</w:t>
      </w:r>
    </w:p>
    <w:p w14:paraId="6EBC0F2C" w14:textId="77777777" w:rsidR="00F8011D" w:rsidRPr="00F8011D" w:rsidRDefault="00F8011D" w:rsidP="00F8011D">
      <w:pPr>
        <w:rPr>
          <w:b/>
          <w:bCs/>
        </w:rPr>
      </w:pPr>
      <w:r w:rsidRPr="00F8011D">
        <w:rPr>
          <w:b/>
          <w:bCs/>
        </w:rPr>
        <w:t>Supplier Insights:</w:t>
      </w:r>
    </w:p>
    <w:p w14:paraId="3F9EF6E2" w14:textId="77777777" w:rsidR="00F8011D" w:rsidRPr="00F8011D" w:rsidRDefault="00F8011D" w:rsidP="00F8011D">
      <w:pPr>
        <w:numPr>
          <w:ilvl w:val="0"/>
          <w:numId w:val="5"/>
        </w:numPr>
      </w:pPr>
      <w:r w:rsidRPr="00F8011D">
        <w:rPr>
          <w:b/>
          <w:bCs/>
        </w:rPr>
        <w:t>USA and Germany</w:t>
      </w:r>
      <w:r w:rsidRPr="00F8011D">
        <w:t xml:space="preserve"> supply the majority of products.</w:t>
      </w:r>
    </w:p>
    <w:p w14:paraId="50720528" w14:textId="77777777" w:rsidR="00F8011D" w:rsidRPr="00F8011D" w:rsidRDefault="00F8011D" w:rsidP="00F8011D">
      <w:pPr>
        <w:numPr>
          <w:ilvl w:val="0"/>
          <w:numId w:val="5"/>
        </w:numPr>
      </w:pPr>
      <w:r w:rsidRPr="00F8011D">
        <w:t xml:space="preserve">A few suppliers (e.g., </w:t>
      </w:r>
      <w:r w:rsidRPr="00F8011D">
        <w:rPr>
          <w:b/>
          <w:bCs/>
        </w:rPr>
        <w:t>Exotic Liquids, Tokyo Traders</w:t>
      </w:r>
      <w:r w:rsidRPr="00F8011D">
        <w:t>) supply the bulk of inventory.</w:t>
      </w:r>
    </w:p>
    <w:p w14:paraId="413CAD31" w14:textId="77777777" w:rsidR="00F8011D" w:rsidRPr="00F8011D" w:rsidRDefault="00F8011D" w:rsidP="00F8011D">
      <w:pPr>
        <w:numPr>
          <w:ilvl w:val="0"/>
          <w:numId w:val="5"/>
        </w:numPr>
      </w:pPr>
      <w:r w:rsidRPr="00F8011D">
        <w:t>Product prices vary across suppliers, with some offering high-priced specialty items.</w:t>
      </w:r>
    </w:p>
    <w:p w14:paraId="4FCD0C96" w14:textId="77777777" w:rsidR="00F8011D" w:rsidRPr="00F8011D" w:rsidRDefault="00000000" w:rsidP="00F8011D">
      <w:r>
        <w:pict w14:anchorId="0BDA0A67">
          <v:rect id="_x0000_i1028" style="width:0;height:1.5pt" o:hralign="center" o:hrstd="t" o:hr="t" fillcolor="#a0a0a0" stroked="f"/>
        </w:pict>
      </w:r>
    </w:p>
    <w:p w14:paraId="0868C3E4" w14:textId="77777777" w:rsidR="00F8011D" w:rsidRDefault="00F8011D"/>
    <w:sectPr w:rsidR="00F8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168"/>
    <w:multiLevelType w:val="multilevel"/>
    <w:tmpl w:val="0208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1C1B"/>
    <w:multiLevelType w:val="multilevel"/>
    <w:tmpl w:val="C96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16B3D"/>
    <w:multiLevelType w:val="multilevel"/>
    <w:tmpl w:val="C37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656BA"/>
    <w:multiLevelType w:val="multilevel"/>
    <w:tmpl w:val="AD3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23733"/>
    <w:multiLevelType w:val="multilevel"/>
    <w:tmpl w:val="CFFE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15645"/>
    <w:multiLevelType w:val="multilevel"/>
    <w:tmpl w:val="D15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82E2C"/>
    <w:multiLevelType w:val="multilevel"/>
    <w:tmpl w:val="1C5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90551"/>
    <w:multiLevelType w:val="multilevel"/>
    <w:tmpl w:val="4480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C1E40"/>
    <w:multiLevelType w:val="multilevel"/>
    <w:tmpl w:val="532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E689B"/>
    <w:multiLevelType w:val="multilevel"/>
    <w:tmpl w:val="82D4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E15B7"/>
    <w:multiLevelType w:val="multilevel"/>
    <w:tmpl w:val="600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247298">
    <w:abstractNumId w:val="9"/>
  </w:num>
  <w:num w:numId="2" w16cid:durableId="545946915">
    <w:abstractNumId w:val="3"/>
  </w:num>
  <w:num w:numId="3" w16cid:durableId="1593316370">
    <w:abstractNumId w:val="7"/>
  </w:num>
  <w:num w:numId="4" w16cid:durableId="394474675">
    <w:abstractNumId w:val="2"/>
  </w:num>
  <w:num w:numId="5" w16cid:durableId="1618173966">
    <w:abstractNumId w:val="0"/>
  </w:num>
  <w:num w:numId="6" w16cid:durableId="917789226">
    <w:abstractNumId w:val="4"/>
  </w:num>
  <w:num w:numId="7" w16cid:durableId="895894845">
    <w:abstractNumId w:val="1"/>
  </w:num>
  <w:num w:numId="8" w16cid:durableId="172695749">
    <w:abstractNumId w:val="10"/>
  </w:num>
  <w:num w:numId="9" w16cid:durableId="894506845">
    <w:abstractNumId w:val="5"/>
  </w:num>
  <w:num w:numId="10" w16cid:durableId="1715889504">
    <w:abstractNumId w:val="8"/>
  </w:num>
  <w:num w:numId="11" w16cid:durableId="1554730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1D"/>
    <w:rsid w:val="00602397"/>
    <w:rsid w:val="00B21AC1"/>
    <w:rsid w:val="00C70BF0"/>
    <w:rsid w:val="00EE2B7A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61BE"/>
  <w15:chartTrackingRefBased/>
  <w15:docId w15:val="{5C454215-C4A5-4E2B-9BBB-1095FF3F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1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023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Mazumder</dc:creator>
  <cp:keywords/>
  <dc:description/>
  <cp:lastModifiedBy>Atulkumar Manchalwar</cp:lastModifiedBy>
  <cp:revision>3</cp:revision>
  <dcterms:created xsi:type="dcterms:W3CDTF">2025-07-31T03:02:00Z</dcterms:created>
  <dcterms:modified xsi:type="dcterms:W3CDTF">2025-08-04T03:13:00Z</dcterms:modified>
</cp:coreProperties>
</file>