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8.png" ContentType="image/png"/>
  <Override PartName="/word/media/rId62.png" ContentType="image/png"/>
  <Override PartName="/word/media/rId77.png" ContentType="image/png"/>
  <Override PartName="/word/media/rId34.png" ContentType="image/png"/>
  <Override PartName="/word/media/rId68.png" ContentType="image/png"/>
  <Override PartName="/word/media/rId58.png" ContentType="image/png"/>
  <Override PartName="/word/media/rId7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Uncertainty-Gated</w:t>
      </w:r>
      <w:r>
        <w:t xml:space="preserve"> </w:t>
      </w:r>
      <w:r>
        <w:t xml:space="preserve">Fusion</w:t>
      </w:r>
      <w:r>
        <w:t xml:space="preserve"> </w:t>
      </w:r>
      <w:r>
        <w:t xml:space="preserve">of</w:t>
      </w:r>
      <w:r>
        <w:t xml:space="preserve"> </w:t>
      </w:r>
      <w:r>
        <w:t xml:space="preserve">EfficientNet-B3</w:t>
      </w:r>
      <w:r>
        <w:t xml:space="preserve"> </w:t>
      </w:r>
      <w:r>
        <w:t xml:space="preserve">and</w:t>
      </w:r>
      <w:r>
        <w:t xml:space="preserve"> </w:t>
      </w:r>
      <w:r>
        <w:t xml:space="preserve">a</w:t>
      </w:r>
      <w:r>
        <w:t xml:space="preserve"> </w:t>
      </w:r>
      <w:r>
        <w:t xml:space="preserve">Multi-Scale</w:t>
      </w:r>
      <w:r>
        <w:t xml:space="preserve"> </w:t>
      </w:r>
      <w:r>
        <w:t xml:space="preserve">Graph</w:t>
      </w:r>
      <w:r>
        <w:t xml:space="preserve"> </w:t>
      </w:r>
      <w:r>
        <w:t xml:space="preserve">Pyramid</w:t>
      </w:r>
      <w:r>
        <w:t xml:space="preserve"> </w:t>
      </w:r>
      <w:r>
        <w:t xml:space="preserve">for</w:t>
      </w:r>
      <w:r>
        <w:t xml:space="preserve"> </w:t>
      </w:r>
      <w:r>
        <w:t xml:space="preserve">Four-Class</w:t>
      </w:r>
      <w:r>
        <w:t xml:space="preserve"> </w:t>
      </w:r>
      <w:r>
        <w:t xml:space="preserve">Brain</w:t>
      </w:r>
      <w:r>
        <w:t xml:space="preserve"> </w:t>
      </w:r>
      <w:r>
        <w:t xml:space="preserve">Tumour</w:t>
      </w:r>
      <w:r>
        <w:t xml:space="preserve"> </w:t>
      </w:r>
      <w:r>
        <w:t xml:space="preserve">MRI</w:t>
      </w:r>
      <w:r>
        <w:t xml:space="preserve"> </w:t>
      </w:r>
      <w:r>
        <w:t xml:space="preserve">Classification:</w:t>
      </w:r>
      <w:r>
        <w:t xml:space="preserve"> </w:t>
      </w:r>
      <w:r>
        <w:t xml:space="preserve">A</w:t>
      </w:r>
      <w:r>
        <w:t xml:space="preserve"> </w:t>
      </w:r>
      <w:r>
        <w:t xml:space="preserve">Duplicate-Aware</w:t>
      </w:r>
      <w:r>
        <w:t xml:space="preserve"> </w:t>
      </w:r>
      <w:r>
        <w:t xml:space="preserve">Cross-Validation</w:t>
      </w:r>
      <w:r>
        <w:t xml:space="preserve"> </w:t>
      </w:r>
      <w:r>
        <w:t xml:space="preserve">Study</w:t>
      </w:r>
    </w:p>
    <w:p>
      <w:pPr>
        <w:pStyle w:val="Author"/>
      </w:pPr>
      <w:r>
        <w:t xml:space="preserve">Arafat</w:t>
      </w:r>
      <w:r>
        <w:t xml:space="preserve"> </w:t>
      </w:r>
      <w:r>
        <w:t xml:space="preserve">Rahman</w:t>
      </w:r>
    </w:p>
    <w:p>
      <w:pPr>
        <w:pStyle w:val="Author"/>
      </w:pPr>
      <w:r>
        <w:t xml:space="preserve">Md</w:t>
      </w:r>
      <w:r>
        <w:t xml:space="preserve"> </w:t>
      </w:r>
      <w:r>
        <w:t xml:space="preserve">Assaduzzaman</w:t>
      </w:r>
    </w:p>
    <w:p>
      <w:pPr>
        <w:pStyle w:val="Date"/>
      </w:pP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Daffodil</w:t>
      </w:r>
      <w:r>
        <w:t xml:space="preserve"> </w:t>
      </w:r>
      <w:r>
        <w:t xml:space="preserve">International</w:t>
      </w:r>
      <w:r>
        <w:t xml:space="preserve"> </w:t>
      </w:r>
      <w:r>
        <w:t xml:space="preserve">University,</w:t>
      </w:r>
      <w:r>
        <w:t xml:space="preserve"> </w:t>
      </w:r>
      <w:r>
        <w:t xml:space="preserve">Dhaka,</w:t>
      </w:r>
      <w:r>
        <w:t xml:space="preserve"> </w:t>
      </w:r>
      <w:r>
        <w:t xml:space="preserve">Bangladesh.</w:t>
      </w:r>
      <w:r>
        <w:t xml:space="preserve"> </w:t>
      </w:r>
      <w:r>
        <w:t xml:space="preserve">Corresponding</w:t>
      </w:r>
      <w:r>
        <w:t xml:space="preserve"> </w:t>
      </w:r>
      <w:r>
        <w:t xml:space="preserve">author:</w:t>
      </w:r>
      <w:r>
        <w:t xml:space="preserve"> </w:t>
      </w:r>
      <w:r>
        <w:t xml:space="preserve">Arafat</w:t>
      </w:r>
      <w:r>
        <w:t xml:space="preserve"> </w:t>
      </w:r>
      <w:r>
        <w:t xml:space="preserve">Rahman</w:t>
      </w:r>
      <w:r>
        <w:t xml:space="preserve"> </w:t>
      </w:r>
      <w:r>
        <w:t xml:space="preserve">(arafat2001noor@gmail.com)</w:t>
      </w:r>
    </w:p>
    <w:p>
      <w:pPr>
        <w:pStyle w:val="AbstractTitle"/>
      </w:pPr>
      <w:r>
        <w:t xml:space="preserve">Abstract</w:t>
      </w:r>
    </w:p>
    <w:p>
      <w:pPr>
        <w:pStyle w:val="Abstract"/>
      </w:pPr>
      <w:r>
        <w:t xml:space="preserve">Deep</w:t>
      </w:r>
      <w:r>
        <w:t xml:space="preserve"> </w:t>
      </w:r>
      <w:r>
        <w:t xml:space="preserve">networks</w:t>
      </w:r>
      <w:r>
        <w:t xml:space="preserve"> </w:t>
      </w:r>
      <w:r>
        <w:t xml:space="preserve">often</w:t>
      </w:r>
      <w:r>
        <w:t xml:space="preserve"> </w:t>
      </w:r>
      <w:r>
        <w:t xml:space="preserve">report</w:t>
      </w:r>
      <w:r>
        <w:t xml:space="preserve"> </w:t>
      </w:r>
      <w:r>
        <w:t xml:space="preserve">near-perfect</w:t>
      </w:r>
      <w:r>
        <w:t xml:space="preserve"> </w:t>
      </w:r>
      <w:r>
        <w:t xml:space="preserve">accuracy</w:t>
      </w:r>
      <w:r>
        <w:t xml:space="preserve"> </w:t>
      </w:r>
      <w:r>
        <w:t xml:space="preserve">on</w:t>
      </w:r>
      <w:r>
        <w:t xml:space="preserve"> </w:t>
      </w:r>
      <w:r>
        <w:t xml:space="preserve">public</w:t>
      </w:r>
      <w:r>
        <w:t xml:space="preserve"> </w:t>
      </w:r>
      <w:r>
        <w:t xml:space="preserve">brain</w:t>
      </w:r>
      <w:r>
        <w:t xml:space="preserve"> </w:t>
      </w:r>
      <w:r>
        <w:t xml:space="preserve">tumour</w:t>
      </w:r>
      <w:r>
        <w:t xml:space="preserve"> </w:t>
      </w:r>
      <w:r>
        <w:t xml:space="preserve">MRI</w:t>
      </w:r>
      <w:r>
        <w:t xml:space="preserve"> </w:t>
      </w:r>
      <w:r>
        <w:t xml:space="preserve">collections,</w:t>
      </w:r>
      <w:r>
        <w:t xml:space="preserve"> </w:t>
      </w:r>
      <w:r>
        <w:t xml:space="preserve">yet</w:t>
      </w:r>
      <w:r>
        <w:t xml:space="preserve"> </w:t>
      </w:r>
      <w:r>
        <w:t xml:space="preserve">these</w:t>
      </w:r>
      <w:r>
        <w:t xml:space="preserve"> </w:t>
      </w:r>
      <w:r>
        <w:t xml:space="preserve">collections</w:t>
      </w:r>
      <w:r>
        <w:t xml:space="preserve"> </w:t>
      </w:r>
      <w:r>
        <w:t xml:space="preserve">contain</w:t>
      </w:r>
      <w:r>
        <w:t xml:space="preserve"> </w:t>
      </w:r>
      <w:r>
        <w:t xml:space="preserve">offline-augmented</w:t>
      </w:r>
      <w:r>
        <w:t xml:space="preserve"> </w:t>
      </w:r>
      <w:r>
        <w:t xml:space="preserve">copies</w:t>
      </w:r>
      <w:r>
        <w:t xml:space="preserve"> </w:t>
      </w:r>
      <w:r>
        <w:t xml:space="preserve">and</w:t>
      </w:r>
      <w:r>
        <w:t xml:space="preserve"> </w:t>
      </w:r>
      <w:r>
        <w:t xml:space="preserve">near-duplicate</w:t>
      </w:r>
      <w:r>
        <w:t xml:space="preserve"> </w:t>
      </w:r>
      <w:r>
        <w:t xml:space="preserve">slices</w:t>
      </w:r>
      <w:r>
        <w:t xml:space="preserve"> </w:t>
      </w:r>
      <w:r>
        <w:t xml:space="preserve">that</w:t>
      </w:r>
      <w:r>
        <w:t xml:space="preserve"> </w:t>
      </w:r>
      <w:r>
        <w:t xml:space="preserve">can</w:t>
      </w:r>
      <w:r>
        <w:t xml:space="preserve"> </w:t>
      </w:r>
      <w:r>
        <w:t xml:space="preserve">fall</w:t>
      </w:r>
      <w:r>
        <w:t xml:space="preserve"> </w:t>
      </w:r>
      <w:r>
        <w:t xml:space="preserve">on</w:t>
      </w:r>
      <w:r>
        <w:t xml:space="preserve"> </w:t>
      </w:r>
      <w:r>
        <w:t xml:space="preserve">both</w:t>
      </w:r>
      <w:r>
        <w:t xml:space="preserve"> </w:t>
      </w:r>
      <w:r>
        <w:t xml:space="preserve">sides</w:t>
      </w:r>
      <w:r>
        <w:t xml:space="preserve"> </w:t>
      </w:r>
      <w:r>
        <w:t xml:space="preserve">of</w:t>
      </w:r>
      <w:r>
        <w:t xml:space="preserve"> </w:t>
      </w:r>
      <w:r>
        <w:t xml:space="preserve">an</w:t>
      </w:r>
      <w:r>
        <w:t xml:space="preserve"> </w:t>
      </w:r>
      <w:r>
        <w:t xml:space="preserve">image-level</w:t>
      </w:r>
      <w:r>
        <w:t xml:space="preserve"> </w:t>
      </w:r>
      <w:r>
        <w:t xml:space="preserve">split.</w:t>
      </w:r>
      <w:r>
        <w:t xml:space="preserve"> </w:t>
      </w:r>
      <w:r>
        <w:t xml:space="preserve">We</w:t>
      </w:r>
      <w:r>
        <w:t xml:space="preserve"> </w:t>
      </w:r>
      <w:r>
        <w:t xml:space="preserve">propose</w:t>
      </w:r>
      <w:r>
        <w:t xml:space="preserve"> </w:t>
      </w:r>
      <w:r>
        <w:t xml:space="preserve">a</w:t>
      </w:r>
      <w:r>
        <w:t xml:space="preserve"> </w:t>
      </w:r>
      <w:r>
        <w:t xml:space="preserve">dual-stream</w:t>
      </w:r>
      <w:r>
        <w:t xml:space="preserve"> </w:t>
      </w:r>
      <w:r>
        <w:t xml:space="preserve">classifier</w:t>
      </w:r>
      <w:r>
        <w:t xml:space="preserve"> </w:t>
      </w:r>
      <w:r>
        <w:t xml:space="preserve">that</w:t>
      </w:r>
      <w:r>
        <w:t xml:space="preserve"> </w:t>
      </w:r>
      <w:r>
        <w:t xml:space="preserve">pairs</w:t>
      </w:r>
      <w:r>
        <w:t xml:space="preserve"> </w:t>
      </w:r>
      <w:r>
        <w:t xml:space="preserve">an</w:t>
      </w:r>
      <w:r>
        <w:t xml:space="preserve"> </w:t>
      </w:r>
      <w:r>
        <w:t xml:space="preserve">ImageNet-pretrained</w:t>
      </w:r>
      <w:r>
        <w:t xml:space="preserve"> </w:t>
      </w:r>
      <w:r>
        <w:t xml:space="preserve">EfficientNet-B3</w:t>
      </w:r>
      <w:r>
        <w:t xml:space="preserve"> </w:t>
      </w:r>
      <w:r>
        <w:t xml:space="preserve">with</w:t>
      </w:r>
      <w:r>
        <w:t xml:space="preserve"> </w:t>
      </w:r>
      <w:r>
        <w:t xml:space="preserve">a</w:t>
      </w:r>
      <w:r>
        <w:t xml:space="preserve"> </w:t>
      </w:r>
      <w:r>
        <w:t xml:space="preserve">three-level</w:t>
      </w:r>
      <w:r>
        <w:t xml:space="preserve"> </w:t>
      </w:r>
      <w:r>
        <w:t xml:space="preserve">graph</w:t>
      </w:r>
      <w:r>
        <w:t xml:space="preserve"> </w:t>
      </w:r>
      <w:r>
        <w:t xml:space="preserve">pyramid</w:t>
      </w:r>
      <w:r>
        <w:t xml:space="preserve"> </w:t>
      </w:r>
      <w:r>
        <w:t xml:space="preserve">of</w:t>
      </w:r>
      <w:r>
        <w:t xml:space="preserve"> </w:t>
      </w:r>
      <w:r>
        <w:t xml:space="preserve">336</w:t>
      </w:r>
      <w:r>
        <w:t xml:space="preserve"> </w:t>
      </w:r>
      <w:r>
        <w:t xml:space="preserve">regional</w:t>
      </w:r>
      <w:r>
        <w:t xml:space="preserve"> </w:t>
      </w:r>
      <w:r>
        <w:t xml:space="preserve">nodes</w:t>
      </w:r>
      <w:r>
        <w:t xml:space="preserve"> </w:t>
      </w:r>
      <w:r>
        <w:t xml:space="preserve">processed</w:t>
      </w:r>
      <w:r>
        <w:t xml:space="preserve"> </w:t>
      </w:r>
      <w:r>
        <w:t xml:space="preserve">by</w:t>
      </w:r>
      <w:r>
        <w:t xml:space="preserve"> </w:t>
      </w:r>
      <w:r>
        <w:t xml:space="preserve">parallel</w:t>
      </w:r>
      <w:r>
        <w:t xml:space="preserve"> </w:t>
      </w:r>
      <w:r>
        <w:t xml:space="preserve">GCN,</w:t>
      </w:r>
      <w:r>
        <w:t xml:space="preserve"> </w:t>
      </w:r>
      <w:r>
        <w:t xml:space="preserve">GAT</w:t>
      </w:r>
      <w:r>
        <w:t xml:space="preserve"> </w:t>
      </w:r>
      <w:r>
        <w:t xml:space="preserve">and</w:t>
      </w:r>
      <w:r>
        <w:t xml:space="preserve"> </w:t>
      </w:r>
      <w:r>
        <w:t xml:space="preserve">TransformerConv</w:t>
      </w:r>
      <w:r>
        <w:t xml:space="preserve"> </w:t>
      </w:r>
      <w:r>
        <w:t xml:space="preserve">paths.</w:t>
      </w:r>
      <w:r>
        <w:t xml:space="preserve"> </w:t>
      </w:r>
      <w:r>
        <w:t xml:space="preserve">The</w:t>
      </w:r>
      <w:r>
        <w:t xml:space="preserve"> </w:t>
      </w:r>
      <w:r>
        <w:t xml:space="preserve">two</w:t>
      </w:r>
      <w:r>
        <w:t xml:space="preserve"> </w:t>
      </w:r>
      <w:r>
        <w:t xml:space="preserve">384-dimensional</w:t>
      </w:r>
      <w:r>
        <w:t xml:space="preserve"> </w:t>
      </w:r>
      <w:r>
        <w:t xml:space="preserve">embeddings</w:t>
      </w:r>
      <w:r>
        <w:t xml:space="preserve"> </w:t>
      </w:r>
      <w:r>
        <w:t xml:space="preserve">are</w:t>
      </w:r>
      <w:r>
        <w:t xml:space="preserve"> </w:t>
      </w:r>
      <w:r>
        <w:t xml:space="preserve">refined</w:t>
      </w:r>
      <w:r>
        <w:t xml:space="preserve"> </w:t>
      </w:r>
      <w:r>
        <w:t xml:space="preserve">by</w:t>
      </w:r>
      <w:r>
        <w:t xml:space="preserve"> </w:t>
      </w:r>
      <w:r>
        <w:t xml:space="preserve">dynamic</w:t>
      </w:r>
      <w:r>
        <w:t xml:space="preserve"> </w:t>
      </w:r>
      <w:r>
        <w:t xml:space="preserve">recalibration</w:t>
      </w:r>
      <w:r>
        <w:t xml:space="preserve"> </w:t>
      </w:r>
      <w:r>
        <w:t xml:space="preserve">and</w:t>
      </w:r>
      <w:r>
        <w:t xml:space="preserve"> </w:t>
      </w:r>
      <w:r>
        <w:t xml:space="preserve">a</w:t>
      </w:r>
      <w:r>
        <w:t xml:space="preserve"> </w:t>
      </w:r>
      <w:r>
        <w:t xml:space="preserve">two-token</w:t>
      </w:r>
      <w:r>
        <w:t xml:space="preserve"> </w:t>
      </w:r>
      <w:r>
        <w:t xml:space="preserve">cross-modal</w:t>
      </w:r>
      <w:r>
        <w:t xml:space="preserve"> </w:t>
      </w:r>
      <w:r>
        <w:t xml:space="preserve">transformer,</w:t>
      </w:r>
      <w:r>
        <w:t xml:space="preserve"> </w:t>
      </w:r>
      <w:r>
        <w:t xml:space="preserve">and</w:t>
      </w:r>
      <w:r>
        <w:t xml:space="preserve"> </w:t>
      </w:r>
      <w:r>
        <w:t xml:space="preserve">fused</w:t>
      </w:r>
      <w:r>
        <w:t xml:space="preserve"> </w:t>
      </w:r>
      <w:r>
        <w:t xml:space="preserve">by</w:t>
      </w:r>
      <w:r>
        <w:t xml:space="preserve"> </w:t>
      </w:r>
      <w:r>
        <w:t xml:space="preserve">a</w:t>
      </w:r>
      <w:r>
        <w:t xml:space="preserve"> </w:t>
      </w:r>
      <w:r>
        <w:t xml:space="preserve">gate</w:t>
      </w:r>
      <w:r>
        <w:t xml:space="preserve"> </w:t>
      </w:r>
      <w:r>
        <w:t xml:space="preserve">driven</w:t>
      </w:r>
      <w:r>
        <w:t xml:space="preserve"> </w:t>
      </w:r>
      <w:r>
        <w:t xml:space="preserve">by</w:t>
      </w:r>
      <w:r>
        <w:t xml:space="preserve"> </w:t>
      </w:r>
      <w:r>
        <w:t xml:space="preserve">Monte</w:t>
      </w:r>
      <w:r>
        <w:t xml:space="preserve"> </w:t>
      </w:r>
      <w:r>
        <w:t xml:space="preserve">Carlo</w:t>
      </w:r>
      <w:r>
        <w:t xml:space="preserve"> </w:t>
      </w:r>
      <w:r>
        <w:t xml:space="preserve">(MC)</w:t>
      </w:r>
      <w:r>
        <w:t xml:space="preserve"> </w:t>
      </w:r>
      <w:r>
        <w:t xml:space="preserve">dropout</w:t>
      </w:r>
      <w:r>
        <w:t xml:space="preserve"> </w:t>
      </w:r>
      <w:r>
        <w:t xml:space="preserve">uncertainty.</w:t>
      </w:r>
      <w:r>
        <w:t xml:space="preserve"> </w:t>
      </w:r>
      <w:r>
        <w:t xml:space="preserve">The</w:t>
      </w:r>
      <w:r>
        <w:t xml:space="preserve"> </w:t>
      </w:r>
      <w:r>
        <w:t xml:space="preserve">model</w:t>
      </w:r>
      <w:r>
        <w:t xml:space="preserve"> </w:t>
      </w:r>
      <w:r>
        <w:t xml:space="preserve">(19.35 M</w:t>
      </w:r>
      <w:r>
        <w:t xml:space="preserve"> </w:t>
      </w:r>
      <w:r>
        <w:t xml:space="preserve">parameters)</w:t>
      </w:r>
      <w:r>
        <w:t xml:space="preserve"> </w:t>
      </w:r>
      <w:r>
        <w:t xml:space="preserve">was</w:t>
      </w:r>
      <w:r>
        <w:t xml:space="preserve"> </w:t>
      </w:r>
      <w:r>
        <w:t xml:space="preserve">evaluated</w:t>
      </w:r>
      <w:r>
        <w:t xml:space="preserve"> </w:t>
      </w:r>
      <w:r>
        <w:t xml:space="preserve">on</w:t>
      </w:r>
      <w:r>
        <w:t xml:space="preserve"> </w:t>
      </w:r>
      <w:r>
        <w:t xml:space="preserve">a</w:t>
      </w:r>
      <w:r>
        <w:t xml:space="preserve"> </w:t>
      </w:r>
      <w:r>
        <w:t xml:space="preserve">public</w:t>
      </w:r>
      <w:r>
        <w:t xml:space="preserve"> </w:t>
      </w:r>
      <w:r>
        <w:t xml:space="preserve">four-class</w:t>
      </w:r>
      <w:r>
        <w:t xml:space="preserve"> </w:t>
      </w:r>
      <w:r>
        <w:t xml:space="preserve">dataset</w:t>
      </w:r>
      <w:r>
        <w:t xml:space="preserve"> </w:t>
      </w:r>
      <w:r>
        <w:t xml:space="preserve">of</w:t>
      </w:r>
      <w:r>
        <w:t xml:space="preserve"> </w:t>
      </w:r>
      <w:r>
        <w:t xml:space="preserve">12,064</w:t>
      </w:r>
      <w:r>
        <w:t xml:space="preserve"> </w:t>
      </w:r>
      <w:r>
        <w:t xml:space="preserve">images</w:t>
      </w:r>
      <w:r>
        <w:t xml:space="preserve"> </w:t>
      </w:r>
      <w:r>
        <w:t xml:space="preserve">with</w:t>
      </w:r>
      <w:r>
        <w:t xml:space="preserve"> </w:t>
      </w:r>
      <w:r>
        <w:t xml:space="preserve">duplicate-aware</w:t>
      </w:r>
      <w:r>
        <w:t xml:space="preserve"> </w:t>
      </w:r>
      <w:r>
        <w:t xml:space="preserve">five-fold</w:t>
      </w:r>
      <w:r>
        <w:t xml:space="preserve"> </w:t>
      </w:r>
      <w:r>
        <w:t xml:space="preserve">cross-validation:</w:t>
      </w:r>
      <w:r>
        <w:t xml:space="preserve"> </w:t>
      </w:r>
      <w:r>
        <w:t xml:space="preserve">offline-augmented</w:t>
      </w:r>
      <w:r>
        <w:t xml:space="preserve"> </w:t>
      </w:r>
      <w:r>
        <w:t xml:space="preserve">copies</w:t>
      </w:r>
      <w:r>
        <w:t xml:space="preserve"> </w:t>
      </w:r>
      <w:r>
        <w:t xml:space="preserve">and</w:t>
      </w:r>
      <w:r>
        <w:t xml:space="preserve"> </w:t>
      </w:r>
      <w:r>
        <w:t xml:space="preserve">perceptual-hash</w:t>
      </w:r>
      <w:r>
        <w:t xml:space="preserve"> </w:t>
      </w:r>
      <w:r>
        <w:t xml:space="preserve">near-duplicates</w:t>
      </w:r>
      <w:r>
        <w:t xml:space="preserve"> </w:t>
      </w:r>
      <w:r>
        <w:t xml:space="preserve">were</w:t>
      </w:r>
      <w:r>
        <w:t xml:space="preserve"> </w:t>
      </w:r>
      <w:r>
        <w:t xml:space="preserve">merged</w:t>
      </w:r>
      <w:r>
        <w:t xml:space="preserve"> </w:t>
      </w:r>
      <w:r>
        <w:t xml:space="preserve">into</w:t>
      </w:r>
      <w:r>
        <w:t xml:space="preserve"> </w:t>
      </w:r>
      <w:r>
        <w:t xml:space="preserve">3,873</w:t>
      </w:r>
      <w:r>
        <w:t xml:space="preserve"> </w:t>
      </w:r>
      <w:r>
        <w:t xml:space="preserve">groups,</w:t>
      </w:r>
      <w:r>
        <w:t xml:space="preserve"> </w:t>
      </w:r>
      <w:r>
        <w:t xml:space="preserve">and</w:t>
      </w:r>
      <w:r>
        <w:t xml:space="preserve"> </w:t>
      </w:r>
      <w:r>
        <w:t xml:space="preserve">no</w:t>
      </w:r>
      <w:r>
        <w:t xml:space="preserve"> </w:t>
      </w:r>
      <w:r>
        <w:t xml:space="preserve">group</w:t>
      </w:r>
      <w:r>
        <w:t xml:space="preserve"> </w:t>
      </w:r>
      <w:r>
        <w:t xml:space="preserve">was</w:t>
      </w:r>
      <w:r>
        <w:t xml:space="preserve"> </w:t>
      </w:r>
      <w:r>
        <w:t xml:space="preserve">shared</w:t>
      </w:r>
      <w:r>
        <w:t xml:space="preserve"> </w:t>
      </w:r>
      <w:r>
        <w:t xml:space="preserve">between</w:t>
      </w:r>
      <w:r>
        <w:t xml:space="preserve"> </w:t>
      </w:r>
      <w:r>
        <w:t xml:space="preserve">training,</w:t>
      </w:r>
      <w:r>
        <w:t xml:space="preserve"> </w:t>
      </w:r>
      <w:r>
        <w:t xml:space="preserve">validation</w:t>
      </w:r>
      <w:r>
        <w:t xml:space="preserve"> </w:t>
      </w:r>
      <w:r>
        <w:t xml:space="preserve">and</w:t>
      </w:r>
      <w:r>
        <w:t xml:space="preserve"> </w:t>
      </w:r>
      <w:r>
        <w:t xml:space="preserve">test</w:t>
      </w:r>
      <w:r>
        <w:t xml:space="preserve"> </w:t>
      </w:r>
      <w:r>
        <w:t xml:space="preserve">data.</w:t>
      </w:r>
      <w:r>
        <w:t xml:space="preserve"> </w:t>
      </w:r>
      <w:r>
        <w:t xml:space="preserve">Accuracy</w:t>
      </w:r>
      <w:r>
        <w:t xml:space="preserve"> </w:t>
      </w:r>
      <w:r>
        <w:t xml:space="preserve">was</w:t>
      </w:r>
      <w:r>
        <w:t xml:space="preserve"> </w:t>
      </w:r>
      <m:oMath>
        <m:r>
          <m:t>96.54</m:t>
        </m:r>
        <m:r>
          <m:rPr>
            <m:sty m:val="p"/>
          </m:rPr>
          <m:t>±</m:t>
        </m:r>
        <m:r>
          <m:t>1.71</m:t>
        </m:r>
        <m:r>
          <m:rPr>
            <m:sty m:val="p"/>
          </m:rPr>
          <m:t>%</m:t>
        </m:r>
      </m:oMath>
      <w:r>
        <w:t xml:space="preserve"> </w:t>
      </w:r>
      <w:r>
        <w:t xml:space="preserve">(range</w:t>
      </w:r>
      <w:r>
        <w:t xml:space="preserve"> </w:t>
      </w:r>
      <w:r>
        <w:t xml:space="preserve">94.34–98.16%)</w:t>
      </w:r>
      <w:r>
        <w:t xml:space="preserve"> </w:t>
      </w:r>
      <w:r>
        <w:t xml:space="preserve">and</w:t>
      </w:r>
      <w:r>
        <w:t xml:space="preserve"> </w:t>
      </w:r>
      <w:r>
        <w:t xml:space="preserve">macro-F1</w:t>
      </w:r>
      <w:r>
        <w:t xml:space="preserve"> </w:t>
      </w:r>
      <m:oMath>
        <m:r>
          <m:t>96.36</m:t>
        </m:r>
        <m:r>
          <m:rPr>
            <m:sty m:val="p"/>
          </m:rPr>
          <m:t>±</m:t>
        </m:r>
        <m:r>
          <m:t>1.81</m:t>
        </m:r>
        <m:r>
          <m:rPr>
            <m:sty m:val="p"/>
          </m:rPr>
          <m:t>%</m:t>
        </m:r>
      </m:oMath>
      <w:r>
        <w:t xml:space="preserve">;</w:t>
      </w:r>
      <w:r>
        <w:t xml:space="preserve"> </w:t>
      </w:r>
      <w:r>
        <w:t xml:space="preserve">pooled</w:t>
      </w:r>
      <w:r>
        <w:t xml:space="preserve"> </w:t>
      </w:r>
      <w:r>
        <w:t xml:space="preserve">out-of-fold</w:t>
      </w:r>
      <w:r>
        <w:t xml:space="preserve"> </w:t>
      </w:r>
      <w:r>
        <w:t xml:space="preserve">accuracy</w:t>
      </w:r>
      <w:r>
        <w:t xml:space="preserve"> </w:t>
      </w:r>
      <w:r>
        <w:t xml:space="preserve">was</w:t>
      </w:r>
      <w:r>
        <w:t xml:space="preserve"> </w:t>
      </w:r>
      <w:r>
        <w:t xml:space="preserve">96.49%</w:t>
      </w:r>
      <w:r>
        <w:t xml:space="preserve"> </w:t>
      </w:r>
      <w:r>
        <w:t xml:space="preserve">(95%</w:t>
      </w:r>
      <w:r>
        <w:t xml:space="preserve"> </w:t>
      </w:r>
      <w:r>
        <w:t xml:space="preserve">group-bootstrap</w:t>
      </w:r>
      <w:r>
        <w:t xml:space="preserve"> </w:t>
      </w:r>
      <w:r>
        <w:t xml:space="preserve">CI</w:t>
      </w:r>
      <w:r>
        <w:t xml:space="preserve"> </w:t>
      </w:r>
      <w:r>
        <w:t xml:space="preserve">95.50–97.37%),</w:t>
      </w:r>
      <w:r>
        <w:t xml:space="preserve"> </w:t>
      </w:r>
      <w:r>
        <w:t xml:space="preserve">with</w:t>
      </w:r>
      <w:r>
        <w:t xml:space="preserve"> </w:t>
      </w:r>
      <w:r>
        <w:t xml:space="preserve">a</w:t>
      </w:r>
      <w:r>
        <w:t xml:space="preserve"> </w:t>
      </w:r>
      <w:r>
        <w:t xml:space="preserve">pooled</w:t>
      </w:r>
      <w:r>
        <w:t xml:space="preserve"> </w:t>
      </w:r>
      <w:r>
        <w:t xml:space="preserve">expected</w:t>
      </w:r>
      <w:r>
        <w:t xml:space="preserve"> </w:t>
      </w:r>
      <w:r>
        <w:t xml:space="preserve">calibration</w:t>
      </w:r>
      <w:r>
        <w:t xml:space="preserve"> </w:t>
      </w:r>
      <w:r>
        <w:t xml:space="preserve">error</w:t>
      </w:r>
      <w:r>
        <w:t xml:space="preserve"> </w:t>
      </w:r>
      <w:r>
        <w:t xml:space="preserve">of</w:t>
      </w:r>
      <w:r>
        <w:t xml:space="preserve"> </w:t>
      </w:r>
      <w:r>
        <w:t xml:space="preserve">0.012.</w:t>
      </w:r>
      <w:r>
        <w:t xml:space="preserve"> </w:t>
      </w:r>
      <w:r>
        <w:t xml:space="preserve">The</w:t>
      </w:r>
      <w:r>
        <w:t xml:space="preserve"> </w:t>
      </w:r>
      <w:r>
        <w:t xml:space="preserve">same</w:t>
      </w:r>
      <w:r>
        <w:t xml:space="preserve"> </w:t>
      </w:r>
      <w:r>
        <w:t xml:space="preserve">architecture</w:t>
      </w:r>
      <w:r>
        <w:t xml:space="preserve"> </w:t>
      </w:r>
      <w:r>
        <w:t xml:space="preserve">reached</w:t>
      </w:r>
      <w:r>
        <w:t xml:space="preserve"> </w:t>
      </w:r>
      <m:oMath>
        <m:r>
          <m:t>99.15</m:t>
        </m:r>
        <m:r>
          <m:rPr>
            <m:sty m:val="p"/>
          </m:rPr>
          <m:t>±</m:t>
        </m:r>
        <m:r>
          <m:t>0.39</m:t>
        </m:r>
        <m:r>
          <m:rPr>
            <m:sty m:val="p"/>
          </m:rPr>
          <m:t>%</m:t>
        </m:r>
      </m:oMath>
      <w:r>
        <w:t xml:space="preserve"> </w:t>
      </w:r>
      <w:r>
        <w:t xml:space="preserve">under</w:t>
      </w:r>
      <w:r>
        <w:t xml:space="preserve"> </w:t>
      </w:r>
      <w:r>
        <w:t xml:space="preserve">an</w:t>
      </w:r>
      <w:r>
        <w:t xml:space="preserve"> </w:t>
      </w:r>
      <w:r>
        <w:t xml:space="preserve">image-level</w:t>
      </w:r>
      <w:r>
        <w:t xml:space="preserve"> </w:t>
      </w:r>
      <w:r>
        <w:t xml:space="preserve">split,</w:t>
      </w:r>
      <w:r>
        <w:t xml:space="preserve"> </w:t>
      </w:r>
      <w:r>
        <w:t xml:space="preserve">so</w:t>
      </w:r>
      <w:r>
        <w:t xml:space="preserve"> </w:t>
      </w:r>
      <w:r>
        <w:t xml:space="preserve">duplicate</w:t>
      </w:r>
      <w:r>
        <w:t xml:space="preserve"> </w:t>
      </w:r>
      <w:r>
        <w:t xml:space="preserve">leakage</w:t>
      </w:r>
      <w:r>
        <w:t xml:space="preserve"> </w:t>
      </w:r>
      <w:r>
        <w:t xml:space="preserve">inflated</w:t>
      </w:r>
      <w:r>
        <w:t xml:space="preserve"> </w:t>
      </w:r>
      <w:r>
        <w:t xml:space="preserve">accuracy</w:t>
      </w:r>
      <w:r>
        <w:t xml:space="preserve"> </w:t>
      </w:r>
      <w:r>
        <w:t xml:space="preserve">by</w:t>
      </w:r>
      <w:r>
        <w:t xml:space="preserve"> </w:t>
      </w:r>
      <w:r>
        <w:t xml:space="preserve">about</w:t>
      </w:r>
      <w:r>
        <w:t xml:space="preserve"> </w:t>
      </w:r>
      <w:r>
        <w:t xml:space="preserve">2.6</w:t>
      </w:r>
      <w:r>
        <w:t xml:space="preserve"> </w:t>
      </w:r>
      <w:r>
        <w:t xml:space="preserve">percentage</w:t>
      </w:r>
      <w:r>
        <w:t xml:space="preserve"> </w:t>
      </w:r>
      <w:r>
        <w:t xml:space="preserve">points;</w:t>
      </w:r>
      <w:r>
        <w:t xml:space="preserve"> </w:t>
      </w:r>
      <w:r>
        <w:t xml:space="preserve">the</w:t>
      </w:r>
      <w:r>
        <w:t xml:space="preserve"> </w:t>
      </w:r>
      <w:r>
        <w:t xml:space="preserve">error</w:t>
      </w:r>
      <w:r>
        <w:t xml:space="preserve"> </w:t>
      </w:r>
      <w:r>
        <w:t xml:space="preserve">rate</w:t>
      </w:r>
      <w:r>
        <w:t xml:space="preserve"> </w:t>
      </w:r>
      <w:r>
        <w:t xml:space="preserve">of</w:t>
      </w:r>
      <w:r>
        <w:t xml:space="preserve"> </w:t>
      </w:r>
      <w:r>
        <w:t xml:space="preserve">the</w:t>
      </w:r>
      <w:r>
        <w:t xml:space="preserve"> </w:t>
      </w:r>
      <w:r>
        <w:t xml:space="preserve">augmented-copy</w:t>
      </w:r>
      <w:r>
        <w:t xml:space="preserve"> </w:t>
      </w:r>
      <w:r>
        <w:t xml:space="preserve">family</w:t>
      </w:r>
      <w:r>
        <w:t xml:space="preserve"> </w:t>
      </w:r>
      <w:r>
        <w:t xml:space="preserve">rose</w:t>
      </w:r>
      <w:r>
        <w:t xml:space="preserve"> </w:t>
      </w:r>
      <w:r>
        <w:t xml:space="preserve">from</w:t>
      </w:r>
      <w:r>
        <w:t xml:space="preserve"> </w:t>
      </w:r>
      <w:r>
        <w:t xml:space="preserve">0.85%</w:t>
      </w:r>
      <w:r>
        <w:t xml:space="preserve"> </w:t>
      </w:r>
      <w:r>
        <w:t xml:space="preserve">to</w:t>
      </w:r>
      <w:r>
        <w:t xml:space="preserve"> </w:t>
      </w:r>
      <w:r>
        <w:t xml:space="preserve">5.89%.</w:t>
      </w:r>
      <w:r>
        <w:t xml:space="preserve"> </w:t>
      </w:r>
      <w:r>
        <w:t xml:space="preserve">Errors</w:t>
      </w:r>
      <w:r>
        <w:t xml:space="preserve"> </w:t>
      </w:r>
      <w:r>
        <w:t xml:space="preserve">were</w:t>
      </w:r>
      <w:r>
        <w:t xml:space="preserve"> </w:t>
      </w:r>
      <w:r>
        <w:t xml:space="preserve">concentrated</w:t>
      </w:r>
      <w:r>
        <w:t xml:space="preserve"> </w:t>
      </w:r>
      <w:r>
        <w:t xml:space="preserve">in</w:t>
      </w:r>
      <w:r>
        <w:t xml:space="preserve"> </w:t>
      </w:r>
      <w:r>
        <w:t xml:space="preserve">a</w:t>
      </w:r>
      <w:r>
        <w:t xml:space="preserve"> </w:t>
      </w:r>
      <w:r>
        <w:t xml:space="preserve">few</w:t>
      </w:r>
      <w:r>
        <w:t xml:space="preserve"> </w:t>
      </w:r>
      <w:r>
        <w:t xml:space="preserve">source</w:t>
      </w:r>
      <w:r>
        <w:t xml:space="preserve"> </w:t>
      </w:r>
      <w:r>
        <w:t xml:space="preserve">slices,</w:t>
      </w:r>
      <w:r>
        <w:t xml:space="preserve"> </w:t>
      </w:r>
      <w:r>
        <w:t xml:space="preserve">whose</w:t>
      </w:r>
      <w:r>
        <w:t xml:space="preserve"> </w:t>
      </w:r>
      <w:r>
        <w:t xml:space="preserve">copies</w:t>
      </w:r>
      <w:r>
        <w:t xml:space="preserve"> </w:t>
      </w:r>
      <w:r>
        <w:t xml:space="preserve">were</w:t>
      </w:r>
      <w:r>
        <w:t xml:space="preserve"> </w:t>
      </w:r>
      <w:r>
        <w:t xml:space="preserve">misclassified</w:t>
      </w:r>
      <w:r>
        <w:t xml:space="preserve"> </w:t>
      </w:r>
      <w:r>
        <w:t xml:space="preserve">together,</w:t>
      </w:r>
      <w:r>
        <w:t xml:space="preserve"> </w:t>
      </w:r>
      <w:r>
        <w:t xml:space="preserve">and</w:t>
      </w:r>
      <w:r>
        <w:t xml:space="preserve"> </w:t>
      </w:r>
      <w:r>
        <w:t xml:space="preserve">in</w:t>
      </w:r>
      <w:r>
        <w:t xml:space="preserve"> </w:t>
      </w:r>
      <w:r>
        <w:t xml:space="preserve">one</w:t>
      </w:r>
      <w:r>
        <w:t xml:space="preserve"> </w:t>
      </w:r>
      <w:r>
        <w:t xml:space="preserve">public</w:t>
      </w:r>
      <w:r>
        <w:t xml:space="preserve"> </w:t>
      </w:r>
      <w:r>
        <w:t xml:space="preserve">sub-collection</w:t>
      </w:r>
      <w:r>
        <w:t xml:space="preserve"> </w:t>
      </w:r>
      <w:r>
        <w:t xml:space="preserve">with</w:t>
      </w:r>
      <w:r>
        <w:t xml:space="preserve"> </w:t>
      </w:r>
      <w:r>
        <w:t xml:space="preserve">an</w:t>
      </w:r>
      <w:r>
        <w:t xml:space="preserve"> </w:t>
      </w:r>
      <w:r>
        <w:t xml:space="preserve">18.5%</w:t>
      </w:r>
      <w:r>
        <w:t xml:space="preserve"> </w:t>
      </w:r>
      <w:r>
        <w:t xml:space="preserve">error</w:t>
      </w:r>
      <w:r>
        <w:t xml:space="preserve"> </w:t>
      </w:r>
      <w:r>
        <w:t xml:space="preserve">rate.</w:t>
      </w:r>
      <w:r>
        <w:t xml:space="preserve"> </w:t>
      </w:r>
      <w:r>
        <w:t xml:space="preserve">The</w:t>
      </w:r>
      <w:r>
        <w:t xml:space="preserve"> </w:t>
      </w:r>
      <w:r>
        <w:t xml:space="preserve">audit</w:t>
      </w:r>
      <w:r>
        <w:t xml:space="preserve"> </w:t>
      </w:r>
      <w:r>
        <w:t xml:space="preserve">also</w:t>
      </w:r>
      <w:r>
        <w:t xml:space="preserve"> </w:t>
      </w:r>
      <w:r>
        <w:t xml:space="preserve">found</w:t>
      </w:r>
      <w:r>
        <w:t xml:space="preserve"> </w:t>
      </w:r>
      <w:r>
        <w:t xml:space="preserve">108</w:t>
      </w:r>
      <w:r>
        <w:t xml:space="preserve"> </w:t>
      </w:r>
      <w:r>
        <w:t xml:space="preserve">near-duplicate</w:t>
      </w:r>
      <w:r>
        <w:t xml:space="preserve"> </w:t>
      </w:r>
      <w:r>
        <w:t xml:space="preserve">pairs</w:t>
      </w:r>
      <w:r>
        <w:t xml:space="preserve"> </w:t>
      </w:r>
      <w:r>
        <w:t xml:space="preserve">with</w:t>
      </w:r>
      <w:r>
        <w:t xml:space="preserve"> </w:t>
      </w:r>
      <w:r>
        <w:t xml:space="preserve">conflicting</w:t>
      </w:r>
      <w:r>
        <w:t xml:space="preserve"> </w:t>
      </w:r>
      <w:r>
        <w:t xml:space="preserve">labels,</w:t>
      </w:r>
      <w:r>
        <w:t xml:space="preserve"> </w:t>
      </w:r>
      <w:r>
        <w:t xml:space="preserve">four</w:t>
      </w:r>
      <w:r>
        <w:t xml:space="preserve"> </w:t>
      </w:r>
      <w:r>
        <w:t xml:space="preserve">of</w:t>
      </w:r>
      <w:r>
        <w:t xml:space="preserve"> </w:t>
      </w:r>
      <w:r>
        <w:t xml:space="preserve">them</w:t>
      </w:r>
      <w:r>
        <w:t xml:space="preserve"> </w:t>
      </w:r>
      <w:r>
        <w:t xml:space="preserve">identical</w:t>
      </w:r>
      <w:r>
        <w:t xml:space="preserve"> </w:t>
      </w:r>
      <w:r>
        <w:t xml:space="preserve">images</w:t>
      </w:r>
      <w:r>
        <w:t xml:space="preserve"> </w:t>
      </w:r>
      <w:r>
        <w:t xml:space="preserve">filed</w:t>
      </w:r>
      <w:r>
        <w:t xml:space="preserve"> </w:t>
      </w:r>
      <w:r>
        <w:t xml:space="preserve">under</w:t>
      </w:r>
      <w:r>
        <w:t xml:space="preserve"> </w:t>
      </w:r>
      <w:r>
        <w:t xml:space="preserve">two</w:t>
      </w:r>
      <w:r>
        <w:t xml:space="preserve"> </w:t>
      </w:r>
      <w:r>
        <w:t xml:space="preserve">classes.</w:t>
      </w:r>
      <w:r>
        <w:t xml:space="preserve"> </w:t>
      </w:r>
      <w:r>
        <w:t xml:space="preserve">The</w:t>
      </w:r>
      <w:r>
        <w:t xml:space="preserve"> </w:t>
      </w:r>
      <w:r>
        <w:t xml:space="preserve">image</w:t>
      </w:r>
      <w:r>
        <w:t xml:space="preserve"> </w:t>
      </w:r>
      <w:r>
        <w:t xml:space="preserve">stream</w:t>
      </w:r>
      <w:r>
        <w:t xml:space="preserve"> </w:t>
      </w:r>
      <w:r>
        <w:t xml:space="preserve">received</w:t>
      </w:r>
      <w:r>
        <w:t xml:space="preserve"> </w:t>
      </w:r>
      <w:r>
        <w:t xml:space="preserve">most</w:t>
      </w:r>
      <w:r>
        <w:t xml:space="preserve"> </w:t>
      </w:r>
      <w:r>
        <w:t xml:space="preserve">of</w:t>
      </w:r>
      <w:r>
        <w:t xml:space="preserve"> </w:t>
      </w:r>
      <w:r>
        <w:t xml:space="preserve">the</w:t>
      </w:r>
      <w:r>
        <w:t xml:space="preserve"> </w:t>
      </w:r>
      <w:r>
        <w:t xml:space="preserve">fusion</w:t>
      </w:r>
      <w:r>
        <w:t xml:space="preserve"> </w:t>
      </w:r>
      <w:r>
        <w:t xml:space="preserve">weight</w:t>
      </w:r>
      <w:r>
        <w:t xml:space="preserve"> </w:t>
      </w:r>
      <w:r>
        <w:t xml:space="preserve">(mean</w:t>
      </w:r>
      <w:r>
        <w:t xml:space="preserve"> </w:t>
      </w:r>
      <w:r>
        <w:t xml:space="preserve">0.73),</w:t>
      </w:r>
      <w:r>
        <w:t xml:space="preserve"> </w:t>
      </w:r>
      <w:r>
        <w:t xml:space="preserve">and</w:t>
      </w:r>
      <w:r>
        <w:t xml:space="preserve"> </w:t>
      </w:r>
      <w:r>
        <w:t xml:space="preserve">the</w:t>
      </w:r>
      <w:r>
        <w:t xml:space="preserve"> </w:t>
      </w:r>
      <w:r>
        <w:t xml:space="preserve">three</w:t>
      </w:r>
      <w:r>
        <w:t xml:space="preserve"> </w:t>
      </w:r>
      <w:r>
        <w:t xml:space="preserve">graph</w:t>
      </w:r>
      <w:r>
        <w:t xml:space="preserve"> </w:t>
      </w:r>
      <w:r>
        <w:t xml:space="preserve">operators</w:t>
      </w:r>
      <w:r>
        <w:t xml:space="preserve"> </w:t>
      </w:r>
      <w:r>
        <w:t xml:space="preserve">kept</w:t>
      </w:r>
      <w:r>
        <w:t xml:space="preserve"> </w:t>
      </w:r>
      <w:r>
        <w:t xml:space="preserve">equal</w:t>
      </w:r>
      <w:r>
        <w:t xml:space="preserve"> </w:t>
      </w:r>
      <w:r>
        <w:t xml:space="preserve">weights</w:t>
      </w:r>
      <w:r>
        <w:t xml:space="preserve"> </w:t>
      </w:r>
      <w:r>
        <w:t xml:space="preserve">in</w:t>
      </w:r>
      <w:r>
        <w:t xml:space="preserve"> </w:t>
      </w:r>
      <w:r>
        <w:t xml:space="preserve">every</w:t>
      </w:r>
      <w:r>
        <w:t xml:space="preserve"> </w:t>
      </w:r>
      <w:r>
        <w:t xml:space="preserve">fold.</w:t>
      </w:r>
      <w:r>
        <w:t xml:space="preserve"> </w:t>
      </w:r>
      <w:r>
        <w:t xml:space="preserve">A</w:t>
      </w:r>
      <w:r>
        <w:t xml:space="preserve"> </w:t>
      </w:r>
      <w:r>
        <w:t xml:space="preserve">four-model</w:t>
      </w:r>
      <w:r>
        <w:t xml:space="preserve"> </w:t>
      </w:r>
      <w:r>
        <w:t xml:space="preserve">ablation</w:t>
      </w:r>
      <w:r>
        <w:t xml:space="preserve"> </w:t>
      </w:r>
      <w:r>
        <w:t xml:space="preserve">on</w:t>
      </w:r>
      <w:r>
        <w:t xml:space="preserve"> </w:t>
      </w:r>
      <w:r>
        <w:t xml:space="preserve">the</w:t>
      </w:r>
      <w:r>
        <w:t xml:space="preserve"> </w:t>
      </w:r>
      <w:r>
        <w:t xml:space="preserve">same</w:t>
      </w:r>
      <w:r>
        <w:t xml:space="preserve"> </w:t>
      </w:r>
      <w:r>
        <w:t xml:space="preserve">folds</w:t>
      </w:r>
      <w:r>
        <w:t xml:space="preserve"> </w:t>
      </w:r>
      <w:r>
        <w:t xml:space="preserve">showed</w:t>
      </w:r>
      <w:r>
        <w:t xml:space="preserve"> </w:t>
      </w:r>
      <w:r>
        <w:t xml:space="preserve">that</w:t>
      </w:r>
      <w:r>
        <w:t xml:space="preserve"> </w:t>
      </w:r>
      <w:r>
        <w:t xml:space="preserve">the</w:t>
      </w:r>
      <w:r>
        <w:t xml:space="preserve"> </w:t>
      </w:r>
      <w:r>
        <w:t xml:space="preserve">EfficientNet-B3</w:t>
      </w:r>
      <w:r>
        <w:t xml:space="preserve"> </w:t>
      </w:r>
      <w:r>
        <w:t xml:space="preserve">stream</w:t>
      </w:r>
      <w:r>
        <w:t xml:space="preserve"> </w:t>
      </w:r>
      <w:r>
        <w:t xml:space="preserve">alone</w:t>
      </w:r>
      <w:r>
        <w:t xml:space="preserve"> </w:t>
      </w:r>
      <w:r>
        <w:t xml:space="preserve">was</w:t>
      </w:r>
      <w:r>
        <w:t xml:space="preserve"> </w:t>
      </w:r>
      <w:r>
        <w:t xml:space="preserve">as</w:t>
      </w:r>
      <w:r>
        <w:t xml:space="preserve"> </w:t>
      </w:r>
      <w:r>
        <w:t xml:space="preserve">accurate</w:t>
      </w:r>
      <w:r>
        <w:t xml:space="preserve"> </w:t>
      </w:r>
      <w:r>
        <w:t xml:space="preserve">as</w:t>
      </w:r>
      <w:r>
        <w:t xml:space="preserve"> </w:t>
      </w:r>
      <w:r>
        <w:t xml:space="preserve">the</w:t>
      </w:r>
      <w:r>
        <w:t xml:space="preserve"> </w:t>
      </w:r>
      <w:r>
        <w:t xml:space="preserve">complete</w:t>
      </w:r>
      <w:r>
        <w:t xml:space="preserve"> </w:t>
      </w:r>
      <w:r>
        <w:t xml:space="preserve">framework</w:t>
      </w:r>
      <w:r>
        <w:t xml:space="preserve"> </w:t>
      </w:r>
      <w:r>
        <w:t xml:space="preserve">(</w:t>
      </w:r>
      <m:oMath>
        <m:r>
          <m:t>96.58</m:t>
        </m:r>
        <m:r>
          <m:rPr>
            <m:sty m:val="p"/>
          </m:rPr>
          <m:t>±</m:t>
        </m:r>
        <m:r>
          <m:t>1.44</m:t>
        </m:r>
        <m:r>
          <m:rPr>
            <m:sty m:val="p"/>
          </m:rPr>
          <m:t>%</m:t>
        </m:r>
      </m:oMath>
      <w:r>
        <w:t xml:space="preserve">;</w:t>
      </w:r>
      <w:r>
        <w:t xml:space="preserve"> </w:t>
      </w:r>
      <w:r>
        <w:t xml:space="preserve">McNemar</w:t>
      </w:r>
      <w:r>
        <w:t xml:space="preserve"> </w:t>
      </w:r>
      <m:oMath>
        <m:r>
          <m:t>p</m:t>
        </m:r>
        <m:r>
          <m:rPr>
            <m:sty m:val="p"/>
          </m:rPr>
          <m:t>=</m:t>
        </m:r>
        <m:r>
          <m:t>0.72</m:t>
        </m:r>
      </m:oMath>
      <w:r>
        <w:t xml:space="preserve">),</w:t>
      </w:r>
      <w:r>
        <w:t xml:space="preserve"> </w:t>
      </w:r>
      <w:r>
        <w:t xml:space="preserve">whereas</w:t>
      </w:r>
      <w:r>
        <w:t xml:space="preserve"> </w:t>
      </w:r>
      <w:r>
        <w:t xml:space="preserve">the</w:t>
      </w:r>
      <w:r>
        <w:t xml:space="preserve"> </w:t>
      </w:r>
      <w:r>
        <w:t xml:space="preserve">graph</w:t>
      </w:r>
      <w:r>
        <w:t xml:space="preserve"> </w:t>
      </w:r>
      <w:r>
        <w:t xml:space="preserve">stream</w:t>
      </w:r>
      <w:r>
        <w:t xml:space="preserve"> </w:t>
      </w:r>
      <w:r>
        <w:t xml:space="preserve">alone</w:t>
      </w:r>
      <w:r>
        <w:t xml:space="preserve"> </w:t>
      </w:r>
      <w:r>
        <w:t xml:space="preserve">reached</w:t>
      </w:r>
      <w:r>
        <w:t xml:space="preserve"> </w:t>
      </w:r>
      <w:r>
        <w:t xml:space="preserve">only</w:t>
      </w:r>
      <w:r>
        <w:t xml:space="preserve"> </w:t>
      </w:r>
      <m:oMath>
        <m:r>
          <m:t>87.48</m:t>
        </m:r>
        <m:r>
          <m:rPr>
            <m:sty m:val="p"/>
          </m:rPr>
          <m:t>%</m:t>
        </m:r>
      </m:oMath>
      <w:r>
        <w:t xml:space="preserve">.</w:t>
      </w:r>
      <w:r>
        <w:t xml:space="preserve"> </w:t>
      </w:r>
      <w:r>
        <w:t xml:space="preserve">Patient</w:t>
      </w:r>
      <w:r>
        <w:t xml:space="preserve"> </w:t>
      </w:r>
      <w:r>
        <w:t xml:space="preserve">identifiers</w:t>
      </w:r>
      <w:r>
        <w:t xml:space="preserve"> </w:t>
      </w:r>
      <w:r>
        <w:t xml:space="preserve">are</w:t>
      </w:r>
      <w:r>
        <w:t xml:space="preserve"> </w:t>
      </w:r>
      <w:r>
        <w:t xml:space="preserve">unavailable,</w:t>
      </w:r>
      <w:r>
        <w:t xml:space="preserve"> </w:t>
      </w:r>
      <w:r>
        <w:t xml:space="preserve">so</w:t>
      </w:r>
      <w:r>
        <w:t xml:space="preserve"> </w:t>
      </w:r>
      <w:r>
        <w:t xml:space="preserve">these</w:t>
      </w:r>
      <w:r>
        <w:t xml:space="preserve"> </w:t>
      </w:r>
      <w:r>
        <w:t xml:space="preserve">remain</w:t>
      </w:r>
      <w:r>
        <w:t xml:space="preserve"> </w:t>
      </w:r>
      <w:r>
        <w:t xml:space="preserve">slice-level</w:t>
      </w:r>
      <w:r>
        <w:t xml:space="preserve"> </w:t>
      </w:r>
      <w:r>
        <w:t xml:space="preserve">estimates</w:t>
      </w:r>
      <w:r>
        <w:t xml:space="preserve"> </w:t>
      </w:r>
      <w:r>
        <w:t xml:space="preserve">on</w:t>
      </w:r>
      <w:r>
        <w:t xml:space="preserve"> </w:t>
      </w:r>
      <w:r>
        <w:t xml:space="preserve">one</w:t>
      </w:r>
      <w:r>
        <w:t xml:space="preserve"> </w:t>
      </w:r>
      <w:r>
        <w:t xml:space="preserve">compiled</w:t>
      </w:r>
      <w:r>
        <w:t xml:space="preserve"> </w:t>
      </w:r>
      <w:r>
        <w:t xml:space="preserve">dataset.</w:t>
      </w:r>
    </w:p>
    <w:p>
      <w:pPr>
        <w:pStyle w:val="FirstParagraph"/>
      </w:pPr>
      <w:r>
        <w:rPr>
          <w:iCs/>
          <w:i/>
        </w:rPr>
        <w:t xml:space="preserve">Index Terms</w:t>
      </w:r>
      <w:r>
        <w:t xml:space="preserve">—</w:t>
      </w:r>
      <w:r>
        <w:t xml:space="preserve"> </w:t>
      </w:r>
      <w:r>
        <w:t xml:space="preserve">Brain tumour classification, magnetic resonance imaging, graph neural networks, EfficientNet, multimodal fusion, Monte Carlo dropout, calibration, data leakage, cross-validation.</w:t>
      </w:r>
    </w:p>
    <w:bookmarkStart w:id="20" w:name="i.-introduction"/>
    <w:p>
      <w:pPr>
        <w:pStyle w:val="Heading1"/>
      </w:pPr>
      <w:r>
        <w:t xml:space="preserve">I. Introduction</w:t>
      </w:r>
    </w:p>
    <w:p>
      <w:pPr>
        <w:pStyle w:val="FirstParagraph"/>
      </w:pPr>
      <w:r>
        <w:t xml:space="preserve">Gliomas, meningiomas and pituitary tumours differ in origin, treatment and prognosis, and their distinction on MRI shapes the first clinical decisions </w:t>
      </w:r>
      <w:hyperlink w:anchor="ref-louis2021who">
        <w:r>
          <w:rPr>
            <w:rStyle w:val="Hyperlink"/>
          </w:rPr>
          <w:t xml:space="preserve">[1]</w:t>
        </w:r>
      </w:hyperlink>
      <w:r>
        <w:t xml:space="preserve">. Contrast-enhanced T1-weighted images form the basis of the most widely used public datasets for this task </w:t>
      </w:r>
      <w:hyperlink w:anchor="ref-cheng2015enhanced">
        <w:r>
          <w:rPr>
            <w:rStyle w:val="Hyperlink"/>
          </w:rPr>
          <w:t xml:space="preserve">[2]</w:t>
        </w:r>
      </w:hyperlink>
      <w:r>
        <w:t xml:space="preserve">. Automated classification of these tumour types, with or without a tumour-free class, is a widely studied triage and second-reader task </w:t>
      </w:r>
      <w:hyperlink w:anchor="ref-cheng2015enhanced">
        <w:r>
          <w:rPr>
            <w:rStyle w:val="Hyperlink"/>
          </w:rPr>
          <w:t xml:space="preserve">[2]</w:t>
        </w:r>
      </w:hyperlink>
      <w:r>
        <w:t xml:space="preserve">,</w:t>
      </w:r>
      <w:r>
        <w:t xml:space="preserve"> </w:t>
      </w:r>
      <w:hyperlink w:anchor="ref-deepak2019brain">
        <w:r>
          <w:rPr>
            <w:rStyle w:val="Hyperlink"/>
          </w:rPr>
          <w:t xml:space="preserve">[3]</w:t>
        </w:r>
      </w:hyperlink>
      <w:r>
        <w:t xml:space="preserve">,</w:t>
      </w:r>
      <w:r>
        <w:t xml:space="preserve"> </w:t>
      </w:r>
      <w:hyperlink w:anchor="ref-swati2019brain">
        <w:r>
          <w:rPr>
            <w:rStyle w:val="Hyperlink"/>
          </w:rPr>
          <w:t xml:space="preserve">[4]</w:t>
        </w:r>
      </w:hyperlink>
      <w:r>
        <w:t xml:space="preserve">,</w:t>
      </w:r>
      <w:r>
        <w:t xml:space="preserve"> </w:t>
      </w:r>
      <w:hyperlink w:anchor="ref-badza2020classification">
        <w:r>
          <w:rPr>
            <w:rStyle w:val="Hyperlink"/>
          </w:rPr>
          <w:t xml:space="preserve">[5]</w:t>
        </w:r>
      </w:hyperlink>
      <w:r>
        <w:t xml:space="preserve">,</w:t>
      </w:r>
      <w:r>
        <w:t xml:space="preserve"> </w:t>
      </w:r>
      <w:hyperlink w:anchor="ref-tummala2022classification">
        <w:r>
          <w:rPr>
            <w:rStyle w:val="Hyperlink"/>
          </w:rPr>
          <w:t xml:space="preserve">[6]</w:t>
        </w:r>
      </w:hyperlink>
      <w:r>
        <w:t xml:space="preserve">.</w:t>
      </w:r>
    </w:p>
    <w:p>
      <w:pPr>
        <w:pStyle w:val="BodyText"/>
      </w:pPr>
      <w:r>
        <w:t xml:space="preserve">Convolutional neural networks (CNNs) with transfer learning dominate this task and typically report accuracies in the mid- to high-90 percent range on public collections </w:t>
      </w:r>
      <w:hyperlink w:anchor="ref-deepak2019brain">
        <w:r>
          <w:rPr>
            <w:rStyle w:val="Hyperlink"/>
          </w:rPr>
          <w:t xml:space="preserve">[3]</w:t>
        </w:r>
      </w:hyperlink>
      <w:r>
        <w:t xml:space="preserve">,</w:t>
      </w:r>
      <w:r>
        <w:t xml:space="preserve"> </w:t>
      </w:r>
      <w:hyperlink w:anchor="ref-swati2019brain">
        <w:r>
          <w:rPr>
            <w:rStyle w:val="Hyperlink"/>
          </w:rPr>
          <w:t xml:space="preserve">[4]</w:t>
        </w:r>
      </w:hyperlink>
      <w:r>
        <w:t xml:space="preserve">,</w:t>
      </w:r>
      <w:r>
        <w:t xml:space="preserve"> </w:t>
      </w:r>
      <w:hyperlink w:anchor="ref-badza2020classification">
        <w:r>
          <w:rPr>
            <w:rStyle w:val="Hyperlink"/>
          </w:rPr>
          <w:t xml:space="preserve">[5]</w:t>
        </w:r>
      </w:hyperlink>
      <w:r>
        <w:t xml:space="preserve">. Vision transformers report similar figures </w:t>
      </w:r>
      <w:hyperlink w:anchor="ref-tummala2022classification">
        <w:r>
          <w:rPr>
            <w:rStyle w:val="Hyperlink"/>
          </w:rPr>
          <w:t xml:space="preserve">[6]</w:t>
        </w:r>
      </w:hyperlink>
      <w:r>
        <w:t xml:space="preserve">. Two properties of these models remain under-examined. First, a CNN pools local evidence into one global vector, so explicit relations between distant regions are learned only implicitly. Graph formulations make such relations explicit, and hybrid CNN–graph models have recently been applied to brain tumour MRI </w:t>
      </w:r>
      <w:hyperlink w:anchor="ref-gursoy2024braingcn">
        <w:r>
          <w:rPr>
            <w:rStyle w:val="Hyperlink"/>
          </w:rPr>
          <w:t xml:space="preserve">[7]</w:t>
        </w:r>
      </w:hyperlink>
      <w:r>
        <w:t xml:space="preserve">. Second, most systems output a single softmax vector without checking whether its confidence is trustworthy, although calibration is central to clinical use </w:t>
      </w:r>
      <w:hyperlink w:anchor="ref-guo2017calibration">
        <w:r>
          <w:rPr>
            <w:rStyle w:val="Hyperlink"/>
          </w:rPr>
          <w:t xml:space="preserve">[8]</w:t>
        </w:r>
      </w:hyperlink>
      <w:r>
        <w:t xml:space="preserve">,</w:t>
      </w:r>
      <w:r>
        <w:t xml:space="preserve"> </w:t>
      </w:r>
      <w:hyperlink w:anchor="ref-gal2016dropout">
        <w:r>
          <w:rPr>
            <w:rStyle w:val="Hyperlink"/>
          </w:rPr>
          <w:t xml:space="preserve">[9]</w:t>
        </w:r>
      </w:hyperlink>
      <w:r>
        <w:t xml:space="preserve">.</w:t>
      </w:r>
    </w:p>
    <w:p>
      <w:pPr>
        <w:pStyle w:val="BodyText"/>
      </w:pPr>
      <w:r>
        <w:t xml:space="preserve">Evaluation practice is a third, larger concern. Public brain tumour collections are often compiled from earlier datasets and can contain offline-augmented copies and near-duplicate slices. When images rather than patients or source slices are split, related images can fall on both sides of a split. Such leakage is a documented cause of over-optimistic results in medical machine learning </w:t>
      </w:r>
      <w:hyperlink w:anchor="ref-roberts2021pitfalls">
        <w:r>
          <w:rPr>
            <w:rStyle w:val="Hyperlink"/>
          </w:rPr>
          <w:t xml:space="preserve">[10]</w:t>
        </w:r>
      </w:hyperlink>
      <w:r>
        <w:t xml:space="preserve">,</w:t>
      </w:r>
      <w:r>
        <w:t xml:space="preserve"> </w:t>
      </w:r>
      <w:hyperlink w:anchor="ref-varoquaux2022failures">
        <w:r>
          <w:rPr>
            <w:rStyle w:val="Hyperlink"/>
          </w:rPr>
          <w:t xml:space="preserve">[11]</w:t>
        </w:r>
      </w:hyperlink>
      <w:r>
        <w:t xml:space="preserve">,</w:t>
      </w:r>
      <w:r>
        <w:t xml:space="preserve"> </w:t>
      </w:r>
      <w:hyperlink w:anchor="ref-kapoor2023leakage">
        <w:r>
          <w:rPr>
            <w:rStyle w:val="Hyperlink"/>
          </w:rPr>
          <w:t xml:space="preserve">[12]</w:t>
        </w:r>
      </w:hyperlink>
      <w:r>
        <w:t xml:space="preserve">,</w:t>
      </w:r>
      <w:r>
        <w:t xml:space="preserve"> </w:t>
      </w:r>
      <w:hyperlink w:anchor="ref-wen2020alzheimer">
        <w:r>
          <w:rPr>
            <w:rStyle w:val="Hyperlink"/>
          </w:rPr>
          <w:t xml:space="preserve">[13]</w:t>
        </w:r>
      </w:hyperlink>
      <w:r>
        <w:t xml:space="preserve">. A near-perfect accuracy is only interpretable together with an account of how the data were split and what the split could not prevent.</w:t>
      </w:r>
    </w:p>
    <w:p>
      <w:pPr>
        <w:pStyle w:val="BodyText"/>
      </w:pPr>
      <w:r>
        <w:t xml:space="preserve">This study addresses all three points. We combine an EfficientNet-B3 image stream </w:t>
      </w:r>
      <w:hyperlink w:anchor="ref-tan2019efficientnet">
        <w:r>
          <w:rPr>
            <w:rStyle w:val="Hyperlink"/>
          </w:rPr>
          <w:t xml:space="preserve">[14]</w:t>
        </w:r>
      </w:hyperlink>
      <w:r>
        <w:t xml:space="preserve"> </w:t>
      </w:r>
      <w:r>
        <w:t xml:space="preserve">with a multi-scale graph stream and fuse them through recalibration, a cross-modal transformer and an uncertainty-guided gate based on MC dropout </w:t>
      </w:r>
      <w:hyperlink w:anchor="ref-gal2016dropout">
        <w:r>
          <w:rPr>
            <w:rStyle w:val="Hyperlink"/>
          </w:rPr>
          <w:t xml:space="preserve">[9]</w:t>
        </w:r>
      </w:hyperlink>
      <w:r>
        <w:t xml:space="preserve">. We then evaluate the model with a duplicate-aware protocol: augmented copies and near-duplicate slices are grouped before splitting, every metric is recomputed from saved per-image predictions, calibration is analysed bin by bin, and the same architecture is also evaluated under a conventional image-level split to measure how much leakage inflates accuracy. We ask three research questions:</w:t>
      </w:r>
    </w:p>
    <w:p>
      <w:pPr>
        <w:numPr>
          <w:ilvl w:val="0"/>
          <w:numId w:val="1001"/>
        </w:numPr>
      </w:pPr>
      <w:r>
        <w:rPr>
          <w:bCs/>
          <w:b/>
        </w:rPr>
        <w:t xml:space="preserve">RQ1:</w:t>
      </w:r>
      <w:r>
        <w:t xml:space="preserve"> </w:t>
      </w:r>
      <w:r>
        <w:t xml:space="preserve">How accurate is a dual-stream CNN–graph model with uncertainty-gated fusion on four-class brain tumour MRI classification when no near-duplicate group is shared between training and test data?</w:t>
      </w:r>
    </w:p>
    <w:p>
      <w:pPr>
        <w:numPr>
          <w:ilvl w:val="0"/>
          <w:numId w:val="1001"/>
        </w:numPr>
      </w:pPr>
      <w:r>
        <w:rPr>
          <w:bCs/>
          <w:b/>
        </w:rPr>
        <w:t xml:space="preserve">RQ2:</w:t>
      </w:r>
      <w:r>
        <w:t xml:space="preserve"> </w:t>
      </w:r>
      <w:r>
        <w:t xml:space="preserve">How well calibrated are its probability estimates, and which design choices shape that calibration?</w:t>
      </w:r>
    </w:p>
    <w:p>
      <w:pPr>
        <w:numPr>
          <w:ilvl w:val="0"/>
          <w:numId w:val="1001"/>
        </w:numPr>
      </w:pPr>
      <w:r>
        <w:rPr>
          <w:bCs/>
          <w:b/>
        </w:rPr>
        <w:t xml:space="preserve">RQ3:</w:t>
      </w:r>
      <w:r>
        <w:t xml:space="preserve"> </w:t>
      </w:r>
      <w:r>
        <w:t xml:space="preserve">How much of the dataset consists of duplicated slices, and how much does an image-level split that ignores them inflate accuracy?</w:t>
      </w:r>
    </w:p>
    <w:p>
      <w:pPr>
        <w:pStyle w:val="FirstParagraph"/>
      </w:pPr>
      <w:r>
        <w:t xml:space="preserve">The contributions of this paper are as follows:</w:t>
      </w:r>
    </w:p>
    <w:p>
      <w:pPr>
        <w:numPr>
          <w:ilvl w:val="0"/>
          <w:numId w:val="1002"/>
        </w:numPr>
      </w:pPr>
      <w:r>
        <w:t xml:space="preserve">A dual-stream architecture that couples EfficientNet-B3 with a three-level graph pyramid processed by GCN, GAT and TransformerConv paths, fused by dynamic recalibration, a two-token transformer and an MC-dropout uncertainty gate (Section IV).</w:t>
      </w:r>
    </w:p>
    <w:p>
      <w:pPr>
        <w:numPr>
          <w:ilvl w:val="0"/>
          <w:numId w:val="1002"/>
        </w:numPr>
      </w:pPr>
      <w:r>
        <w:t xml:space="preserve">A duplicate-aware five-fold evaluation, with groups formed from file-name stems and perceptual-hash near-duplicates: fold-wise and pooled out-of-fold metrics, group-bootstrap confidence intervals, per-class sensitivity and specificity, and a reliability analysis (Section VI).</w:t>
      </w:r>
    </w:p>
    <w:p>
      <w:pPr>
        <w:numPr>
          <w:ilvl w:val="0"/>
          <w:numId w:val="1002"/>
        </w:numPr>
      </w:pPr>
      <w:r>
        <w:t xml:space="preserve">A direct measurement of duplicate leakage, by comparing the same architecture under image-level and grouped splits, and an audit that identifies label conflicts between near-duplicate images (Section VII-A).</w:t>
      </w:r>
    </w:p>
    <w:p>
      <w:pPr>
        <w:numPr>
          <w:ilvl w:val="0"/>
          <w:numId w:val="1002"/>
        </w:numPr>
      </w:pPr>
      <w:r>
        <w:t xml:space="preserve">A four-model ablation on identical folds (image only, graph only, concatenation and the full framework), together with an analysis of the trained fusion parameters and gate weights, which shows how much each stream contributes in practice (Sections VI-G, VI-F and VII-D).</w:t>
      </w:r>
    </w:p>
    <w:p>
      <w:pPr>
        <w:numPr>
          <w:ilvl w:val="0"/>
          <w:numId w:val="1002"/>
        </w:numPr>
      </w:pPr>
      <w:r>
        <w:t xml:space="preserve">Release of the training code, group and fold assignments and per-image out-of-fold predictions for independent re-analysis.</w:t>
      </w:r>
    </w:p>
    <w:bookmarkEnd w:id="20"/>
    <w:bookmarkStart w:id="26" w:name="ii.-related-work"/>
    <w:p>
      <w:pPr>
        <w:pStyle w:val="Heading1"/>
      </w:pPr>
      <w:r>
        <w:t xml:space="preserve">II. Related Work</w:t>
      </w:r>
    </w:p>
    <w:bookmarkStart w:id="21" w:name="Xb4abdccf20d91d1b512ae00ed25560007bf26d0"/>
    <w:p>
      <w:pPr>
        <w:pStyle w:val="Heading2"/>
      </w:pPr>
      <w:r>
        <w:t xml:space="preserve">A. CNNs and Transformers for Brain Tumour MRI</w:t>
      </w:r>
    </w:p>
    <w:p>
      <w:pPr>
        <w:pStyle w:val="FirstParagraph"/>
      </w:pPr>
      <w:r>
        <w:t xml:space="preserve">Cheng</w:t>
      </w:r>
      <w:r>
        <w:t xml:space="preserve"> </w:t>
      </w:r>
      <w:r>
        <w:rPr>
          <w:iCs/>
          <w:i/>
        </w:rPr>
        <w:t xml:space="preserve">et al.</w:t>
      </w:r>
      <w:r>
        <w:t xml:space="preserve"> </w:t>
      </w:r>
      <w:r>
        <w:t xml:space="preserve">released the 3,064-slice, 233-patient figshare collection and classified it with region augmentation and handcrafted features </w:t>
      </w:r>
      <w:hyperlink w:anchor="ref-cheng2015enhanced">
        <w:r>
          <w:rPr>
            <w:rStyle w:val="Hyperlink"/>
          </w:rPr>
          <w:t xml:space="preserve">[2]</w:t>
        </w:r>
      </w:hyperlink>
      <w:r>
        <w:t xml:space="preserve">. Transfer learning with pretrained CNNs became the standard approach on this and similar collections </w:t>
      </w:r>
      <w:hyperlink w:anchor="ref-deepak2019brain">
        <w:r>
          <w:rPr>
            <w:rStyle w:val="Hyperlink"/>
          </w:rPr>
          <w:t xml:space="preserve">[3]</w:t>
        </w:r>
      </w:hyperlink>
      <w:r>
        <w:t xml:space="preserve">,</w:t>
      </w:r>
      <w:r>
        <w:t xml:space="preserve"> </w:t>
      </w:r>
      <w:hyperlink w:anchor="ref-swati2019brain">
        <w:r>
          <w:rPr>
            <w:rStyle w:val="Hyperlink"/>
          </w:rPr>
          <w:t xml:space="preserve">[4]</w:t>
        </w:r>
      </w:hyperlink>
      <w:r>
        <w:t xml:space="preserve">,</w:t>
      </w:r>
      <w:r>
        <w:t xml:space="preserve"> </w:t>
      </w:r>
      <w:hyperlink w:anchor="ref-badza2020classification">
        <w:r>
          <w:rPr>
            <w:rStyle w:val="Hyperlink"/>
          </w:rPr>
          <w:t xml:space="preserve">[5]</w:t>
        </w:r>
      </w:hyperlink>
      <w:r>
        <w:t xml:space="preserve">. EfficientNet scales depth, width and resolution jointly and offers a strong accuracy-to-cost ratio </w:t>
      </w:r>
      <w:hyperlink w:anchor="ref-tan2019efficientnet">
        <w:r>
          <w:rPr>
            <w:rStyle w:val="Hyperlink"/>
          </w:rPr>
          <w:t xml:space="preserve">[14]</w:t>
        </w:r>
      </w:hyperlink>
      <w:r>
        <w:t xml:space="preserve">. Vision transformers </w:t>
      </w:r>
      <w:hyperlink w:anchor="ref-dosovitskiy2021vit">
        <w:r>
          <w:rPr>
            <w:rStyle w:val="Hyperlink"/>
          </w:rPr>
          <w:t xml:space="preserve">[15]</w:t>
        </w:r>
      </w:hyperlink>
      <w:r>
        <w:t xml:space="preserve"> </w:t>
      </w:r>
      <w:r>
        <w:t xml:space="preserve">and their ensembles report about 98.7% accuracy on the three-class figshare data </w:t>
      </w:r>
      <w:hyperlink w:anchor="ref-tummala2022classification">
        <w:r>
          <w:rPr>
            <w:rStyle w:val="Hyperlink"/>
          </w:rPr>
          <w:t xml:space="preserve">[6]</w:t>
        </w:r>
      </w:hyperlink>
      <w:r>
        <w:t xml:space="preserve">. Results across papers are seldom comparable, because datasets, class sets and split protocols differ.</w:t>
      </w:r>
    </w:p>
    <w:bookmarkEnd w:id="21"/>
    <w:bookmarkStart w:id="22" w:name="b.-graph-representations"/>
    <w:p>
      <w:pPr>
        <w:pStyle w:val="Heading2"/>
      </w:pPr>
      <w:r>
        <w:t xml:space="preserve">B. Graph Representations</w:t>
      </w:r>
    </w:p>
    <w:p>
      <w:pPr>
        <w:pStyle w:val="FirstParagraph"/>
      </w:pPr>
      <w:r>
        <w:t xml:space="preserve">Graph convolution aggregates neighbour features through a normalised adjacency </w:t>
      </w:r>
      <w:hyperlink w:anchor="ref-kipf2017gcn">
        <w:r>
          <w:rPr>
            <w:rStyle w:val="Hyperlink"/>
          </w:rPr>
          <w:t xml:space="preserve">[16]</w:t>
        </w:r>
      </w:hyperlink>
      <w:r>
        <w:t xml:space="preserve">, graph attention learns neighbour weights </w:t>
      </w:r>
      <w:hyperlink w:anchor="ref-velickovic2018gat">
        <w:r>
          <w:rPr>
            <w:rStyle w:val="Hyperlink"/>
          </w:rPr>
          <w:t xml:space="preserve">[17]</w:t>
        </w:r>
      </w:hyperlink>
      <w:r>
        <w:t xml:space="preserve">, and graph transformer convolution applies multi-head attention over neighbours </w:t>
      </w:r>
      <w:hyperlink w:anchor="ref-shi2021masked">
        <w:r>
          <w:rPr>
            <w:rStyle w:val="Hyperlink"/>
          </w:rPr>
          <w:t xml:space="preserve">[18]</w:t>
        </w:r>
      </w:hyperlink>
      <w:r>
        <w:t xml:space="preserve">. Gürsoy and Kaya combined a graph network over image regions with a CNN and reported 93.68% accuracy on a 10,847-image collection </w:t>
      </w:r>
      <w:hyperlink w:anchor="ref-gursoy2024braingcn">
        <w:r>
          <w:rPr>
            <w:rStyle w:val="Hyperlink"/>
          </w:rPr>
          <w:t xml:space="preserve">[7]</w:t>
        </w:r>
      </w:hyperlink>
      <w:r>
        <w:t xml:space="preserve">. Our graph stream differs in using a fixed three-level pyramid with explicit parent–child links and three operators in parallel.</w:t>
      </w:r>
    </w:p>
    <w:bookmarkEnd w:id="22"/>
    <w:bookmarkStart w:id="23" w:name="c.-fusion-and-gating"/>
    <w:p>
      <w:pPr>
        <w:pStyle w:val="Heading2"/>
      </w:pPr>
      <w:r>
        <w:t xml:space="preserve">C. Fusion and Gating</w:t>
      </w:r>
    </w:p>
    <w:p>
      <w:pPr>
        <w:pStyle w:val="FirstParagraph"/>
      </w:pPr>
      <w:r>
        <w:t xml:space="preserve">Squeeze-and-excitation gates rescale channels by learned importance </w:t>
      </w:r>
      <w:hyperlink w:anchor="ref-hu2018senet">
        <w:r>
          <w:rPr>
            <w:rStyle w:val="Hyperlink"/>
          </w:rPr>
          <w:t xml:space="preserve">[19]</w:t>
        </w:r>
      </w:hyperlink>
      <w:r>
        <w:t xml:space="preserve">, and transformer attention </w:t>
      </w:r>
      <w:hyperlink w:anchor="ref-vaswani2017attention">
        <w:r>
          <w:rPr>
            <w:rStyle w:val="Hyperlink"/>
          </w:rPr>
          <w:t xml:space="preserve">[20]</w:t>
        </w:r>
      </w:hyperlink>
      <w:r>
        <w:t xml:space="preserve"> </w:t>
      </w:r>
      <w:r>
        <w:t xml:space="preserve">lets tokens exchange information. Fusion of two streams is usually done by concatenation or attention, without regard to how reliable each stream is for a given input.</w:t>
      </w:r>
    </w:p>
    <w:bookmarkEnd w:id="23"/>
    <w:bookmarkStart w:id="24" w:name="d.-uncertainty-and-calibration"/>
    <w:p>
      <w:pPr>
        <w:pStyle w:val="Heading2"/>
      </w:pPr>
      <w:r>
        <w:t xml:space="preserve">D. Uncertainty and Calibration</w:t>
      </w:r>
    </w:p>
    <w:p>
      <w:pPr>
        <w:pStyle w:val="FirstParagraph"/>
      </w:pPr>
      <w:r>
        <w:t xml:space="preserve">MC dropout approximates Bayesian inference by sampling dropout masks at test time </w:t>
      </w:r>
      <w:hyperlink w:anchor="ref-gal2016dropout">
        <w:r>
          <w:rPr>
            <w:rStyle w:val="Hyperlink"/>
          </w:rPr>
          <w:t xml:space="preserve">[9]</w:t>
        </w:r>
      </w:hyperlink>
      <w:r>
        <w:t xml:space="preserve">. Kendall and Gal distinguished epistemic from aleatoric uncertainty </w:t>
      </w:r>
      <w:hyperlink w:anchor="ref-kendall2017uncertainties">
        <w:r>
          <w:rPr>
            <w:rStyle w:val="Hyperlink"/>
          </w:rPr>
          <w:t xml:space="preserve">[21]</w:t>
        </w:r>
      </w:hyperlink>
      <w:r>
        <w:t xml:space="preserve">, and test-time augmentation is a simple estimate of the latter </w:t>
      </w:r>
      <w:hyperlink w:anchor="ref-wang2019tta">
        <w:r>
          <w:rPr>
            <w:rStyle w:val="Hyperlink"/>
          </w:rPr>
          <w:t xml:space="preserve">[22]</w:t>
        </w:r>
      </w:hyperlink>
      <w:r>
        <w:t xml:space="preserve">. Modern networks are often over-confident; expected calibration error (ECE) and reliability diagrams are the standard diagnostics </w:t>
      </w:r>
      <w:hyperlink w:anchor="ref-guo2017calibration">
        <w:r>
          <w:rPr>
            <w:rStyle w:val="Hyperlink"/>
          </w:rPr>
          <w:t xml:space="preserve">[8]</w:t>
        </w:r>
      </w:hyperlink>
      <w:r>
        <w:t xml:space="preserve">,</w:t>
      </w:r>
      <w:r>
        <w:t xml:space="preserve"> </w:t>
      </w:r>
      <w:hyperlink w:anchor="ref-naeini2015bbq">
        <w:r>
          <w:rPr>
            <w:rStyle w:val="Hyperlink"/>
          </w:rPr>
          <w:t xml:space="preserve">[23]</w:t>
        </w:r>
      </w:hyperlink>
      <w:r>
        <w:t xml:space="preserve">, and the Brier score measures probabilistic accuracy </w:t>
      </w:r>
      <w:hyperlink w:anchor="ref-brier1950verification">
        <w:r>
          <w:rPr>
            <w:rStyle w:val="Hyperlink"/>
          </w:rPr>
          <w:t xml:space="preserve">[24]</w:t>
        </w:r>
      </w:hyperlink>
      <w:r>
        <w:t xml:space="preserve">. Label smoothing improves generalisation </w:t>
      </w:r>
      <w:hyperlink w:anchor="ref-szegedy2016inception">
        <w:r>
          <w:rPr>
            <w:rStyle w:val="Hyperlink"/>
          </w:rPr>
          <w:t xml:space="preserve">[25]</w:t>
        </w:r>
      </w:hyperlink>
      <w:r>
        <w:t xml:space="preserve"> </w:t>
      </w:r>
      <w:r>
        <w:t xml:space="preserve">but changes the calibration and the geometry of the penultimate layer </w:t>
      </w:r>
      <w:hyperlink w:anchor="ref-muller2019labelsmoothing">
        <w:r>
          <w:rPr>
            <w:rStyle w:val="Hyperlink"/>
          </w:rPr>
          <w:t xml:space="preserve">[26]</w:t>
        </w:r>
      </w:hyperlink>
      <w:r>
        <w:t xml:space="preserve">. Uncertainty estimates can degrade under dataset shift </w:t>
      </w:r>
      <w:hyperlink w:anchor="ref-ovadia2019trust">
        <w:r>
          <w:rPr>
            <w:rStyle w:val="Hyperlink"/>
          </w:rPr>
          <w:t xml:space="preserve">[27]</w:t>
        </w:r>
      </w:hyperlink>
      <w:r>
        <w:t xml:space="preserve">.</w:t>
      </w:r>
    </w:p>
    <w:bookmarkEnd w:id="24"/>
    <w:bookmarkStart w:id="25" w:name="e.-leakage-in-medical-imaging-benchmarks"/>
    <w:p>
      <w:pPr>
        <w:pStyle w:val="Heading2"/>
      </w:pPr>
      <w:r>
        <w:t xml:space="preserve">E. Leakage in Medical Imaging Benchmarks</w:t>
      </w:r>
    </w:p>
    <w:p>
      <w:pPr>
        <w:pStyle w:val="FirstParagraph"/>
      </w:pPr>
      <w:r>
        <w:t xml:space="preserve">Data leakage is a pervasive source of irreproducible results in machine-learning-based science </w:t>
      </w:r>
      <w:hyperlink w:anchor="ref-kapoor2023leakage">
        <w:r>
          <w:rPr>
            <w:rStyle w:val="Hyperlink"/>
          </w:rPr>
          <w:t xml:space="preserve">[12]</w:t>
        </w:r>
      </w:hyperlink>
      <w:r>
        <w:t xml:space="preserve">. In a survey of 32 CNN studies on Alzheimer’s disease, data leakage was potentially present in half; in a controlled simulation, leakage raised validation balanced accuracy to 1.00 against 0.75–0.80 on independent test sets </w:t>
      </w:r>
      <w:hyperlink w:anchor="ref-wen2020alzheimer">
        <w:r>
          <w:rPr>
            <w:rStyle w:val="Hyperlink"/>
          </w:rPr>
          <w:t xml:space="preserve">[13]</w:t>
        </w:r>
      </w:hyperlink>
      <w:r>
        <w:t xml:space="preserve">. Reviews of medical imaging AI list improper splitting among the most common methodological failures, and warn that datasets assembled from other public datasets can contain duplicates that bias evaluation </w:t>
      </w:r>
      <w:hyperlink w:anchor="ref-roberts2021pitfalls">
        <w:r>
          <w:rPr>
            <w:rStyle w:val="Hyperlink"/>
          </w:rPr>
          <w:t xml:space="preserve">[10]</w:t>
        </w:r>
      </w:hyperlink>
      <w:r>
        <w:t xml:space="preserve">,</w:t>
      </w:r>
      <w:r>
        <w:t xml:space="preserve"> </w:t>
      </w:r>
      <w:hyperlink w:anchor="ref-varoquaux2022failures">
        <w:r>
          <w:rPr>
            <w:rStyle w:val="Hyperlink"/>
          </w:rPr>
          <w:t xml:space="preserve">[11]</w:t>
        </w:r>
      </w:hyperlink>
      <w:r>
        <w:t xml:space="preserve">. Several public brain tumour collections are compilations of earlier sets </w:t>
      </w:r>
      <w:hyperlink w:anchor="ref-nickparvar2021kaggle">
        <w:r>
          <w:rPr>
            <w:rStyle w:val="Hyperlink"/>
          </w:rPr>
          <w:t xml:space="preserve">[28]</w:t>
        </w:r>
      </w:hyperlink>
      <w:r>
        <w:t xml:space="preserve">,</w:t>
      </w:r>
      <w:r>
        <w:t xml:space="preserve"> </w:t>
      </w:r>
      <w:hyperlink w:anchor="ref-bhuvaji2020kaggle">
        <w:r>
          <w:rPr>
            <w:rStyle w:val="Hyperlink"/>
          </w:rPr>
          <w:t xml:space="preserve">[29]</w:t>
        </w:r>
      </w:hyperlink>
      <w:r>
        <w:t xml:space="preserve">. Users of a public mirror of one such compilation have reported that the glioma images of one of its sources appear mislabelled </w:t>
      </w:r>
      <w:hyperlink w:anchor="ref-chaki2023dataport">
        <w:r>
          <w:rPr>
            <w:rStyle w:val="Hyperlink"/>
          </w:rPr>
          <w:t xml:space="preserve">[30]</w:t>
        </w:r>
      </w:hyperlink>
      <w:r>
        <w:t xml:space="preserve">. For this reason we treat dataset composition as part of the evaluation.</w:t>
      </w:r>
    </w:p>
    <w:bookmarkEnd w:id="25"/>
    <w:bookmarkEnd w:id="26"/>
    <w:bookmarkStart w:id="30" w:name="iii.-dataset"/>
    <w:p>
      <w:pPr>
        <w:pStyle w:val="Heading1"/>
      </w:pPr>
      <w:r>
        <w:t xml:space="preserve">III. Dataset</w:t>
      </w:r>
    </w:p>
    <w:p>
      <w:pPr>
        <w:pStyle w:val="FirstParagraph"/>
      </w:pPr>
      <w:r>
        <w:t xml:space="preserve">We used Version 1 of the publicly available</w:t>
      </w:r>
      <w:r>
        <w:t xml:space="preserve"> </w:t>
      </w:r>
      <w:r>
        <w:rPr>
          <w:iCs/>
          <w:i/>
        </w:rPr>
        <w:t xml:space="preserve">Brain Tumor MRI Dataset (Glioma, Meningioma, Pituitary, No Tumor)</w:t>
      </w:r>
      <w:r>
        <w:t xml:space="preserve"> </w:t>
      </w:r>
      <w:r>
        <w:t xml:space="preserve">on Mendeley Data </w:t>
      </w:r>
      <w:hyperlink w:anchor="ref-hira2025mendeley">
        <w:r>
          <w:rPr>
            <w:rStyle w:val="Hyperlink"/>
          </w:rPr>
          <w:t xml:space="preserve">[31]</w:t>
        </w:r>
      </w:hyperlink>
      <w:r>
        <w:t xml:space="preserve">. Its publishers describe it as 12,064 pre-processed T1-weighted contrast-enhanced slices in four classes, distributed in predefined Train and Test folders. The record describes the images as greyscale or RGB depending on the scan, distributes them as JPEG or PNG under a CC BY 4.0 licence, and does not document acquisition parameters. Visual inspection shows axial, coronal and sagittal slices; the plane is not recorded per image. Inspection of the misclassified images further showed that the collection is not uniformly T1-weighted: it includes T2-weighted slices and at least one slice that appears to be a computed tomography (CT) image (Fig. 9). The distributed archive is named</w:t>
      </w:r>
      <w:r>
        <w:t xml:space="preserve"> </w:t>
      </w:r>
      <w:r>
        <w:t xml:space="preserve">“</w:t>
      </w:r>
      <w:r>
        <w:t xml:space="preserve">Epic and CSCR hospital Dataset</w:t>
      </w:r>
      <w:r>
        <w:t xml:space="preserve">”</w:t>
      </w:r>
      <w:r>
        <w:t xml:space="preserve">, and a later version of the record states that the images were sourced from Epic &amp; CSCR Hospital, Bangladesh </w:t>
      </w:r>
      <w:hyperlink w:anchor="ref-bdneuro2025v7">
        <w:r>
          <w:rPr>
            <w:rStyle w:val="Hyperlink"/>
          </w:rPr>
          <w:t xml:space="preserve">[32]</w:t>
        </w:r>
      </w:hyperlink>
      <w:r>
        <w:t xml:space="preserve">. We merged both folders before cross-validation, so that every image is tested exactly once (Section V-B). No new images were acquired, and the data contain no patient identifiers.</w:t>
      </w:r>
    </w:p>
    <w:p>
      <w:pPr>
        <w:pStyle w:val="TableCaption"/>
      </w:pPr>
      <w:r>
        <w:t xml:space="preserve">TABLE I. Class Distribution of the 12,064 Images Used</w:t>
      </w:r>
    </w:p>
    <w:tbl>
      <w:tblPr>
        <w:tblStyle w:val="Table"/>
        <w:tblW w:type="dxa" w:w="9026"/>
        <w:tblLook w:firstRow="1" w:lastRow="0" w:firstColumn="0" w:lastColumn="0" w:noHBand="0" w:noVBand="0" w:val="0020"/>
        <w:jc w:val="start"/>
        <w:tblCaption w:val="TABLE I. Class Distribution of the 12,064 Images Used"/>
      </w:tblPr>
      <w:tblGrid>
        <w:gridCol w:w="3911"/>
        <w:gridCol w:w="2707"/>
        <w:gridCol w:w="2408"/>
      </w:tblGrid>
      <w:tr>
        <w:trPr>
          <w:tblHeader w:val="true"/>
        </w:trPr>
        <w:tc>
          <w:tcPr>
            <w:tcW w:w="3911" w:type="dxa"/>
          </w:tcPr>
          <w:tcPr/>
          <w:p>
            <w:pPr>
              <w:pStyle w:val="Compact"/>
              <w:jc w:val="left"/>
            </w:pPr>
            <w:r>
              <w:rPr>
                <w:sz w:val="18"/>
                <w:szCs w:val="18"/>
              </w:rPr>
              <w:t xml:space="preserve">Class</w:t>
            </w:r>
          </w:p>
        </w:tc>
        <w:tc>
          <w:tcPr>
            <w:tcW w:w="2707" w:type="dxa"/>
          </w:tcPr>
          <w:tcPr/>
          <w:p>
            <w:pPr>
              <w:pStyle w:val="Compact"/>
              <w:jc w:val="right"/>
            </w:pPr>
            <w:r>
              <w:rPr>
                <w:sz w:val="18"/>
                <w:szCs w:val="18"/>
              </w:rPr>
              <w:t xml:space="preserve">Images</w:t>
            </w:r>
          </w:p>
        </w:tc>
        <w:tc>
          <w:tcPr>
            <w:tcW w:w="2408" w:type="dxa"/>
          </w:tcPr>
          <w:tcPr/>
          <w:p>
            <w:pPr>
              <w:pStyle w:val="Compact"/>
              <w:jc w:val="right"/>
            </w:pPr>
            <w:r>
              <w:rPr>
                <w:sz w:val="18"/>
                <w:szCs w:val="18"/>
              </w:rPr>
              <w:t xml:space="preserve">Share</w:t>
            </w:r>
          </w:p>
        </w:tc>
      </w:tr>
      <w:tr>
        <w:tc>
          <w:tcPr>
            <w:tcW w:w="3911" w:type="dxa"/>
          </w:tcPr>
          <w:tcPr/>
          <w:p>
            <w:pPr>
              <w:pStyle w:val="Compact"/>
              <w:jc w:val="left"/>
            </w:pPr>
            <w:r>
              <w:rPr>
                <w:sz w:val="18"/>
                <w:szCs w:val="18"/>
              </w:rPr>
              <w:t xml:space="preserve">Glioma</w:t>
            </w:r>
          </w:p>
        </w:tc>
        <w:tc>
          <w:tcPr>
            <w:tcW w:w="2707" w:type="dxa"/>
          </w:tcPr>
          <w:tcPr/>
          <w:p>
            <w:pPr>
              <w:pStyle w:val="Compact"/>
              <w:jc w:val="right"/>
            </w:pPr>
            <w:r>
              <w:rPr>
                <w:sz w:val="18"/>
                <w:szCs w:val="18"/>
              </w:rPr>
              <w:t xml:space="preserve">3,773</w:t>
            </w:r>
          </w:p>
        </w:tc>
        <w:tc>
          <w:tcPr>
            <w:tcW w:w="2408" w:type="dxa"/>
          </w:tcPr>
          <w:tcPr/>
          <w:p>
            <w:pPr>
              <w:pStyle w:val="Compact"/>
              <w:jc w:val="right"/>
            </w:pPr>
            <w:r>
              <w:rPr>
                <w:sz w:val="18"/>
                <w:szCs w:val="18"/>
              </w:rPr>
              <w:t xml:space="preserve">31.3%</w:t>
            </w:r>
          </w:p>
        </w:tc>
      </w:tr>
      <w:tr>
        <w:tc>
          <w:tcPr>
            <w:tcW w:w="3911" w:type="dxa"/>
          </w:tcPr>
          <w:tcPr/>
          <w:p>
            <w:pPr>
              <w:pStyle w:val="Compact"/>
              <w:jc w:val="left"/>
            </w:pPr>
            <w:r>
              <w:rPr>
                <w:sz w:val="18"/>
                <w:szCs w:val="18"/>
              </w:rPr>
              <w:t xml:space="preserve">Pituitary tumour</w:t>
            </w:r>
          </w:p>
        </w:tc>
        <w:tc>
          <w:tcPr>
            <w:tcW w:w="2707" w:type="dxa"/>
          </w:tcPr>
          <w:tcPr/>
          <w:p>
            <w:pPr>
              <w:pStyle w:val="Compact"/>
              <w:jc w:val="right"/>
            </w:pPr>
            <w:r>
              <w:rPr>
                <w:sz w:val="18"/>
                <w:szCs w:val="18"/>
              </w:rPr>
              <w:t xml:space="preserve">3,130</w:t>
            </w:r>
          </w:p>
        </w:tc>
        <w:tc>
          <w:tcPr>
            <w:tcW w:w="2408" w:type="dxa"/>
          </w:tcPr>
          <w:tcPr/>
          <w:p>
            <w:pPr>
              <w:pStyle w:val="Compact"/>
              <w:jc w:val="right"/>
            </w:pPr>
            <w:r>
              <w:rPr>
                <w:sz w:val="18"/>
                <w:szCs w:val="18"/>
              </w:rPr>
              <w:t xml:space="preserve">25.9%</w:t>
            </w:r>
          </w:p>
        </w:tc>
      </w:tr>
      <w:tr>
        <w:tc>
          <w:tcPr>
            <w:tcW w:w="3911" w:type="dxa"/>
          </w:tcPr>
          <w:tcPr/>
          <w:p>
            <w:pPr>
              <w:pStyle w:val="Compact"/>
              <w:jc w:val="left"/>
            </w:pPr>
            <w:r>
              <w:rPr>
                <w:sz w:val="18"/>
                <w:szCs w:val="18"/>
              </w:rPr>
              <w:t xml:space="preserve">Meningioma</w:t>
            </w:r>
          </w:p>
        </w:tc>
        <w:tc>
          <w:tcPr>
            <w:tcW w:w="2707" w:type="dxa"/>
          </w:tcPr>
          <w:tcPr/>
          <w:p>
            <w:pPr>
              <w:pStyle w:val="Compact"/>
              <w:jc w:val="right"/>
            </w:pPr>
            <w:r>
              <w:rPr>
                <w:sz w:val="18"/>
                <w:szCs w:val="18"/>
              </w:rPr>
              <w:t xml:space="preserve">2,729</w:t>
            </w:r>
          </w:p>
        </w:tc>
        <w:tc>
          <w:tcPr>
            <w:tcW w:w="2408" w:type="dxa"/>
          </w:tcPr>
          <w:tcPr/>
          <w:p>
            <w:pPr>
              <w:pStyle w:val="Compact"/>
              <w:jc w:val="right"/>
            </w:pPr>
            <w:r>
              <w:rPr>
                <w:sz w:val="18"/>
                <w:szCs w:val="18"/>
              </w:rPr>
              <w:t xml:space="preserve">22.6%</w:t>
            </w:r>
          </w:p>
        </w:tc>
      </w:tr>
      <w:tr>
        <w:tc>
          <w:tcPr>
            <w:tcW w:w="3911" w:type="dxa"/>
          </w:tcPr>
          <w:tcPr/>
          <w:p>
            <w:pPr>
              <w:pStyle w:val="Compact"/>
              <w:jc w:val="left"/>
            </w:pPr>
            <w:r>
              <w:rPr>
                <w:sz w:val="18"/>
                <w:szCs w:val="18"/>
              </w:rPr>
              <w:t xml:space="preserve">No tumour</w:t>
            </w:r>
          </w:p>
        </w:tc>
        <w:tc>
          <w:tcPr>
            <w:tcW w:w="2707" w:type="dxa"/>
          </w:tcPr>
          <w:tcPr/>
          <w:p>
            <w:pPr>
              <w:pStyle w:val="Compact"/>
              <w:jc w:val="right"/>
            </w:pPr>
            <w:r>
              <w:rPr>
                <w:sz w:val="18"/>
                <w:szCs w:val="18"/>
              </w:rPr>
              <w:t xml:space="preserve">2,432</w:t>
            </w:r>
          </w:p>
        </w:tc>
        <w:tc>
          <w:tcPr>
            <w:tcW w:w="2408" w:type="dxa"/>
          </w:tcPr>
          <w:tcPr/>
          <w:p>
            <w:pPr>
              <w:pStyle w:val="Compact"/>
              <w:jc w:val="right"/>
            </w:pPr>
            <w:r>
              <w:rPr>
                <w:sz w:val="18"/>
                <w:szCs w:val="18"/>
              </w:rPr>
              <w:t xml:space="preserve">20.2%</w:t>
            </w:r>
          </w:p>
        </w:tc>
      </w:tr>
      <w:tr>
        <w:tc>
          <w:tcPr>
            <w:tcW w:w="3911" w:type="dxa"/>
          </w:tcPr>
          <w:tcPr/>
          <w:p>
            <w:pPr>
              <w:pStyle w:val="Compact"/>
              <w:jc w:val="left"/>
            </w:pPr>
            <w:r>
              <w:rPr>
                <w:sz w:val="18"/>
                <w:szCs w:val="18"/>
                <w:bCs/>
                <w:b/>
              </w:rPr>
              <w:t xml:space="preserve">Total</w:t>
            </w:r>
          </w:p>
        </w:tc>
        <w:tc>
          <w:tcPr>
            <w:tcW w:w="2707" w:type="dxa"/>
          </w:tcPr>
          <w:tcPr/>
          <w:p>
            <w:pPr>
              <w:pStyle w:val="Compact"/>
              <w:jc w:val="right"/>
            </w:pPr>
            <w:r>
              <w:rPr>
                <w:sz w:val="18"/>
                <w:szCs w:val="18"/>
                <w:bCs/>
                <w:b/>
              </w:rPr>
              <w:t xml:space="preserve">12,064</w:t>
            </w:r>
          </w:p>
        </w:tc>
        <w:tc>
          <w:tcPr>
            <w:tcW w:w="2408" w:type="dxa"/>
          </w:tcPr>
          <w:tcPr/>
          <w:p>
            <w:pPr>
              <w:pStyle w:val="Compact"/>
              <w:jc w:val="right"/>
            </w:pPr>
            <w:r>
              <w:rPr>
                <w:sz w:val="18"/>
                <w:szCs w:val="18"/>
                <w:bCs/>
                <w:b/>
              </w:rPr>
              <w:t xml:space="preserve">100%</w:t>
            </w:r>
          </w:p>
        </w:tc>
      </w:tr>
    </w:tbl>
    <w:p>
      <w:pPr>
        <w:pStyle w:val="BodyText"/>
      </w:pPr>
      <w:r>
        <w:t xml:space="preserve">Table I reports the counts in the distributed files. The record’s description lists 2,809 meningioma and 3,050 pituitary images, because its per-class test counts for these two classes (626 and 546) are interchanged relative to the files, which contain 546 meningioma and 626 pituitary test images. Totals for glioma, no tumour and the whole dataset agree with the description. Representative slices are shown in Fig. 1.</w:t>
      </w:r>
    </w:p>
    <w:p>
      <w:pPr>
        <w:pStyle w:val="CaptionedFigure"/>
      </w:pPr>
      <w:r>
        <w:drawing>
          <wp:inline>
            <wp:extent cx="5334000" cy="1475467"/>
            <wp:effectExtent b="0" l="0" r="0" t="0"/>
            <wp:docPr descr="" title="" id="28" name="Picture"/>
            <a:graphic>
              <a:graphicData uri="http://schemas.openxmlformats.org/drawingml/2006/picture">
                <pic:pic>
                  <pic:nvPicPr>
                    <pic:cNvPr descr="figures/fig1_classes.png" id="29" name="Picture"/>
                    <pic:cNvPicPr>
                      <a:picLocks noChangeArrowheads="1" noChangeAspect="1"/>
                    </pic:cNvPicPr>
                  </pic:nvPicPr>
                  <pic:blipFill>
                    <a:blip r:embed="rId27"/>
                    <a:stretch>
                      <a:fillRect/>
                    </a:stretch>
                  </pic:blipFill>
                  <pic:spPr bwMode="auto">
                    <a:xfrm>
                      <a:off x="0" y="0"/>
                      <a:ext cx="5334000" cy="1475467"/>
                    </a:xfrm>
                    <a:prstGeom prst="rect">
                      <a:avLst/>
                    </a:prstGeom>
                    <a:noFill/>
                    <a:ln w="9525">
                      <a:noFill/>
                      <a:headEnd/>
                      <a:tailEnd/>
                    </a:ln>
                  </pic:spPr>
                </pic:pic>
              </a:graphicData>
            </a:graphic>
          </wp:inline>
        </w:drawing>
      </w:r>
    </w:p>
    <w:p>
      <w:pPr>
        <w:pStyle w:val="ImageCaption"/>
      </w:pPr>
      <w:r>
        <w:t xml:space="preserve">Fig. 1. Representative slices of the four classes from the dataset </w:t>
      </w:r>
      <w:hyperlink w:anchor="ref-hira2025mendeley">
        <w:r>
          <w:rPr>
            <w:rStyle w:val="Hyperlink"/>
          </w:rPr>
          <w:t xml:space="preserve">[31]</w:t>
        </w:r>
      </w:hyperlink>
      <w:r>
        <w:t xml:space="preserve"> </w:t>
      </w:r>
      <w:r>
        <w:t xml:space="preserve">(CC BY 4.0): (a) glioma, (b) meningioma, (c) no tumour and (d) pituitary tumour. The slices differ in imaging plane, as does the dataset.</w:t>
      </w:r>
    </w:p>
    <w:p>
      <w:pPr>
        <w:pStyle w:val="BodyText"/>
      </w:pPr>
      <w:r>
        <w:rPr>
          <w:iCs/>
          <w:i/>
        </w:rPr>
        <w:t xml:space="preserve">Composition and duplicate structure:</w:t>
      </w:r>
      <w:r>
        <w:t xml:space="preserve"> </w:t>
      </w:r>
      <w:r>
        <w:t xml:space="preserve">File names fall into distinct naming families, summarised in Table II. The largest family (</w:t>
      </w:r>
      <w:r>
        <w:rPr>
          <w:rStyle w:val="VerbatimChar"/>
        </w:rPr>
        <w:t xml:space="preserve">G_###</w:t>
      </w:r>
      <w:r>
        <w:t xml:space="preserve">,</w:t>
      </w:r>
      <w:r>
        <w:t xml:space="preserve"> </w:t>
      </w:r>
      <w:r>
        <w:rPr>
          <w:rStyle w:val="VerbatimChar"/>
        </w:rPr>
        <w:t xml:space="preserve">M_###</w:t>
      </w:r>
      <w:r>
        <w:t xml:space="preserve">,</w:t>
      </w:r>
      <w:r>
        <w:t xml:space="preserve"> </w:t>
      </w:r>
      <w:r>
        <w:rPr>
          <w:rStyle w:val="VerbatimChar"/>
        </w:rPr>
        <w:t xml:space="preserve">N_###</w:t>
      </w:r>
      <w:r>
        <w:t xml:space="preserve">,</w:t>
      </w:r>
      <w:r>
        <w:t xml:space="preserve"> </w:t>
      </w:r>
      <w:r>
        <w:rPr>
          <w:rStyle w:val="VerbatimChar"/>
        </w:rPr>
        <w:t xml:space="preserve">P_###</w:t>
      </w:r>
      <w:r>
        <w:t xml:space="preserve">) contains 4,246 images. These are 620 source slices, of which 591 appear exactly seven times: the original plus six offline augmentations marked by the suffixes</w:t>
      </w:r>
      <w:r>
        <w:t xml:space="preserve"> </w:t>
      </w:r>
      <w:r>
        <w:rPr>
          <w:rStyle w:val="VerbatimChar"/>
        </w:rPr>
        <w:t xml:space="preserve">RO</w:t>
      </w:r>
      <w:r>
        <w:t xml:space="preserve">,</w:t>
      </w:r>
      <w:r>
        <w:t xml:space="preserve"> </w:t>
      </w:r>
      <w:r>
        <w:rPr>
          <w:rStyle w:val="VerbatimChar"/>
        </w:rPr>
        <w:t xml:space="preserve">VF</w:t>
      </w:r>
      <w:r>
        <w:t xml:space="preserve">,</w:t>
      </w:r>
      <w:r>
        <w:t xml:space="preserve"> </w:t>
      </w:r>
      <w:r>
        <w:rPr>
          <w:rStyle w:val="VerbatimChar"/>
        </w:rPr>
        <w:t xml:space="preserve">HF</w:t>
      </w:r>
      <w:r>
        <w:t xml:space="preserve">,</w:t>
      </w:r>
      <w:r>
        <w:t xml:space="preserve"> </w:t>
      </w:r>
      <w:r>
        <w:rPr>
          <w:rStyle w:val="VerbatimChar"/>
        </w:rPr>
        <w:t xml:space="preserve">BR</w:t>
      </w:r>
      <w:r>
        <w:t xml:space="preserve">,</w:t>
      </w:r>
      <w:r>
        <w:t xml:space="preserve"> </w:t>
      </w:r>
      <w:r>
        <w:rPr>
          <w:rStyle w:val="VerbatimChar"/>
        </w:rPr>
        <w:t xml:space="preserve">SP</w:t>
      </w:r>
      <w:r>
        <w:t xml:space="preserve"> </w:t>
      </w:r>
      <w:r>
        <w:t xml:space="preserve">and</w:t>
      </w:r>
      <w:r>
        <w:t xml:space="preserve"> </w:t>
      </w:r>
      <w:r>
        <w:rPr>
          <w:rStyle w:val="VerbatimChar"/>
        </w:rPr>
        <w:t xml:space="preserve">DA</w:t>
      </w:r>
      <w:r>
        <w:t xml:space="preserve"> </w:t>
      </w:r>
      <w:r>
        <w:t xml:space="preserve">(for example</w:t>
      </w:r>
      <w:r>
        <w:t xml:space="preserve"> </w:t>
      </w:r>
      <w:r>
        <w:rPr>
          <w:rStyle w:val="VerbatimChar"/>
        </w:rPr>
        <w:t xml:space="preserve">G_710.jpg</w:t>
      </w:r>
      <w:r>
        <w:t xml:space="preserve">,</w:t>
      </w:r>
      <w:r>
        <w:t xml:space="preserve"> </w:t>
      </w:r>
      <w:r>
        <w:rPr>
          <w:rStyle w:val="VerbatimChar"/>
        </w:rPr>
        <w:t xml:space="preserve">G_710_RO_.jpg</w:t>
      </w:r>
      <w:r>
        <w:t xml:space="preserve">). Of the remaining 7,818 images, 5,902 (75%) follow the naming conventions of public Kaggle collections </w:t>
      </w:r>
      <w:hyperlink w:anchor="ref-nickparvar2021kaggle">
        <w:r>
          <w:rPr>
            <w:rStyle w:val="Hyperlink"/>
          </w:rPr>
          <w:t xml:space="preserve">[28]</w:t>
        </w:r>
      </w:hyperlink>
      <w:r>
        <w:t xml:space="preserve">,</w:t>
      </w:r>
      <w:r>
        <w:t xml:space="preserve"> </w:t>
      </w:r>
      <w:hyperlink w:anchor="ref-bhuvaji2020kaggle">
        <w:r>
          <w:rPr>
            <w:rStyle w:val="Hyperlink"/>
          </w:rPr>
          <w:t xml:space="preserve">[29]</w:t>
        </w:r>
      </w:hyperlink>
      <w:r>
        <w:t xml:space="preserve">,</w:t>
      </w:r>
      <w:r>
        <w:t xml:space="preserve"> </w:t>
      </w:r>
      <w:hyperlink w:anchor="ref-chakrabarty2019kaggle">
        <w:r>
          <w:rPr>
            <w:rStyle w:val="Hyperlink"/>
          </w:rPr>
          <w:t xml:space="preserve">[33]</w:t>
        </w:r>
      </w:hyperlink>
      <w:r>
        <w:t xml:space="preserve">. Whether these files are identical to the images of those collections was not verified.</w:t>
      </w:r>
    </w:p>
    <w:p>
      <w:pPr>
        <w:pStyle w:val="TableCaption"/>
      </w:pPr>
      <w:r>
        <w:t xml:space="preserve">TABLE II. File-Name Families of the Dataset</w:t>
      </w:r>
    </w:p>
    <w:tbl>
      <w:tblPr>
        <w:tblStyle w:val="Table"/>
        <w:tblW w:type="dxa" w:w="9026"/>
        <w:tblLook w:firstRow="1" w:lastRow="0" w:firstColumn="0" w:lastColumn="0" w:noHBand="0" w:noVBand="0" w:val="0020"/>
        <w:jc w:val="start"/>
        <w:tblCaption w:val="TABLE II. File-Name Families of the Dataset"/>
      </w:tblPr>
      <w:tblGrid>
        <w:gridCol w:w="3302"/>
        <w:gridCol w:w="1981"/>
        <w:gridCol w:w="3743"/>
      </w:tblGrid>
      <w:tr>
        <w:trPr>
          <w:tblHeader w:val="true"/>
        </w:trPr>
        <w:tc>
          <w:tcPr>
            <w:tcW w:w="3302" w:type="dxa"/>
          </w:tcPr>
          <w:tcPr/>
          <w:p>
            <w:pPr>
              <w:pStyle w:val="Compact"/>
              <w:jc w:val="left"/>
            </w:pPr>
            <w:r>
              <w:rPr>
                <w:sz w:val="18"/>
                <w:szCs w:val="18"/>
              </w:rPr>
              <w:t xml:space="preserve">File-name family</w:t>
            </w:r>
          </w:p>
        </w:tc>
        <w:tc>
          <w:tcPr>
            <w:tcW w:w="1981" w:type="dxa"/>
          </w:tcPr>
          <w:tcPr/>
          <w:p>
            <w:pPr>
              <w:pStyle w:val="Compact"/>
              <w:jc w:val="right"/>
            </w:pPr>
            <w:r>
              <w:rPr>
                <w:sz w:val="18"/>
                <w:szCs w:val="18"/>
              </w:rPr>
              <w:t xml:space="preserve">Images</w:t>
            </w:r>
          </w:p>
        </w:tc>
        <w:tc>
          <w:tcPr>
            <w:tcW w:w="3743" w:type="dxa"/>
          </w:tcPr>
          <w:tcPr/>
          <w:p>
            <w:pPr>
              <w:pStyle w:val="Compact"/>
              <w:jc w:val="left"/>
            </w:pPr>
            <w:r>
              <w:rPr>
                <w:sz w:val="18"/>
                <w:szCs w:val="18"/>
              </w:rPr>
              <w:t xml:space="preserve">Interpretation</w:t>
            </w:r>
          </w:p>
        </w:tc>
      </w:tr>
      <w:tr>
        <w:tc>
          <w:tcPr>
            <w:tcW w:w="3302" w:type="dxa"/>
          </w:tcPr>
          <w:tcPr/>
          <w:p>
            <w:pPr>
              <w:pStyle w:val="Compact"/>
              <w:jc w:val="left"/>
            </w:pPr>
            <w:r>
              <w:rPr>
                <w:sz w:val="18"/>
                <w:szCs w:val="18"/>
                <w:rStyle w:val="VerbatimChar"/>
              </w:rPr>
              <w:t xml:space="preserve">G/M/P/N_###</w:t>
            </w:r>
            <w:r>
              <w:rPr>
                <w:sz w:val="18"/>
                <w:szCs w:val="18"/>
              </w:rPr>
              <w:t xml:space="preserve"> </w:t>
            </w:r>
            <w:r>
              <w:rPr>
                <w:sz w:val="18"/>
                <w:szCs w:val="18"/>
              </w:rPr>
              <w:t xml:space="preserve">(+ six augmentation suffixes)</w:t>
            </w:r>
          </w:p>
        </w:tc>
        <w:tc>
          <w:tcPr>
            <w:tcW w:w="1981" w:type="dxa"/>
          </w:tcPr>
          <w:tcPr/>
          <w:p>
            <w:pPr>
              <w:pStyle w:val="Compact"/>
              <w:jc w:val="right"/>
            </w:pPr>
            <w:r>
              <w:rPr>
                <w:sz w:val="18"/>
                <w:szCs w:val="18"/>
              </w:rPr>
              <w:t xml:space="preserve">4,246</w:t>
            </w:r>
          </w:p>
        </w:tc>
        <w:tc>
          <w:tcPr>
            <w:tcW w:w="3743" w:type="dxa"/>
          </w:tcPr>
          <w:tcPr/>
          <w:p>
            <w:pPr>
              <w:pStyle w:val="Compact"/>
              <w:jc w:val="left"/>
            </w:pPr>
            <w:r>
              <w:rPr>
                <w:sz w:val="18"/>
                <w:szCs w:val="18"/>
              </w:rPr>
              <w:t xml:space="preserve">620 source slices, typically seven copies each</w:t>
            </w:r>
          </w:p>
        </w:tc>
      </w:tr>
      <w:tr>
        <w:tc>
          <w:tcPr>
            <w:tcW w:w="3302" w:type="dxa"/>
          </w:tcPr>
          <w:tcPr/>
          <w:p>
            <w:pPr>
              <w:pStyle w:val="Compact"/>
              <w:jc w:val="left"/>
            </w:pPr>
            <w:r>
              <w:rPr>
                <w:sz w:val="18"/>
                <w:szCs w:val="18"/>
                <w:rStyle w:val="VerbatimChar"/>
              </w:rPr>
              <w:t xml:space="preserve">Tr-xx_####</w:t>
            </w:r>
          </w:p>
        </w:tc>
        <w:tc>
          <w:tcPr>
            <w:tcW w:w="1981" w:type="dxa"/>
          </w:tcPr>
          <w:tcPr/>
          <w:p>
            <w:pPr>
              <w:pStyle w:val="Compact"/>
              <w:jc w:val="right"/>
            </w:pPr>
            <w:r>
              <w:rPr>
                <w:sz w:val="18"/>
                <w:szCs w:val="18"/>
              </w:rPr>
              <w:t xml:space="preserve">3,784</w:t>
            </w:r>
          </w:p>
        </w:tc>
        <w:tc>
          <w:tcPr>
            <w:tcW w:w="3743" w:type="dxa"/>
          </w:tcPr>
          <w:tcPr/>
          <w:p>
            <w:pPr>
              <w:pStyle w:val="Compact"/>
              <w:jc w:val="left"/>
            </w:pPr>
            <w:r>
              <w:rPr>
                <w:sz w:val="18"/>
                <w:szCs w:val="18"/>
              </w:rPr>
              <w:t xml:space="preserve">naming of the training split of </w:t>
            </w:r>
            <w:hyperlink w:anchor="ref-nickparvar2021kaggle">
              <w:r>
                <w:rPr>
                  <w:sz w:val="18"/>
                  <w:szCs w:val="18"/>
                  <w:rStyle w:val="Hyperlink"/>
                </w:rPr>
                <w:t xml:space="preserve">[28]</w:t>
              </w:r>
            </w:hyperlink>
          </w:p>
        </w:tc>
      </w:tr>
      <w:tr>
        <w:tc>
          <w:tcPr>
            <w:tcW w:w="3302" w:type="dxa"/>
          </w:tcPr>
          <w:tcPr/>
          <w:p>
            <w:pPr>
              <w:pStyle w:val="Compact"/>
              <w:jc w:val="left"/>
            </w:pPr>
            <w:r>
              <w:rPr>
                <w:sz w:val="18"/>
                <w:szCs w:val="18"/>
                <w:rStyle w:val="VerbatimChar"/>
              </w:rPr>
              <w:t xml:space="preserve">#.jpg</w:t>
            </w:r>
            <w:r>
              <w:rPr>
                <w:sz w:val="18"/>
                <w:szCs w:val="18"/>
              </w:rPr>
              <w:t xml:space="preserve"> </w:t>
            </w:r>
            <w:r>
              <w:rPr>
                <w:sz w:val="18"/>
                <w:szCs w:val="18"/>
              </w:rPr>
              <w:t xml:space="preserve">(plain numbers)</w:t>
            </w:r>
          </w:p>
        </w:tc>
        <w:tc>
          <w:tcPr>
            <w:tcW w:w="1981" w:type="dxa"/>
          </w:tcPr>
          <w:tcPr/>
          <w:p>
            <w:pPr>
              <w:pStyle w:val="Compact"/>
              <w:jc w:val="right"/>
            </w:pPr>
            <w:r>
              <w:rPr>
                <w:sz w:val="18"/>
                <w:szCs w:val="18"/>
              </w:rPr>
              <w:t xml:space="preserve">1,914</w:t>
            </w:r>
          </w:p>
        </w:tc>
        <w:tc>
          <w:tcPr>
            <w:tcW w:w="3743" w:type="dxa"/>
          </w:tcPr>
          <w:tcPr/>
          <w:p>
            <w:pPr>
              <w:pStyle w:val="Compact"/>
              <w:jc w:val="left"/>
            </w:pPr>
            <w:r>
              <w:rPr>
                <w:sz w:val="18"/>
                <w:szCs w:val="18"/>
              </w:rPr>
              <w:t xml:space="preserve">origin not identified</w:t>
            </w:r>
          </w:p>
        </w:tc>
      </w:tr>
      <w:tr>
        <w:tc>
          <w:tcPr>
            <w:tcW w:w="3302" w:type="dxa"/>
          </w:tcPr>
          <w:tcPr/>
          <w:p>
            <w:pPr>
              <w:pStyle w:val="Compact"/>
              <w:jc w:val="left"/>
            </w:pPr>
            <w:r>
              <w:rPr>
                <w:sz w:val="18"/>
                <w:szCs w:val="18"/>
                <w:rStyle w:val="VerbatimChar"/>
              </w:rPr>
              <w:t xml:space="preserve">gg (n)</w:t>
            </w:r>
            <w:r>
              <w:rPr>
                <w:sz w:val="18"/>
                <w:szCs w:val="18"/>
              </w:rPr>
              <w:t xml:space="preserve">,</w:t>
            </w:r>
            <w:r>
              <w:rPr>
                <w:sz w:val="18"/>
                <w:szCs w:val="18"/>
              </w:rPr>
              <w:t xml:space="preserve"> </w:t>
            </w:r>
            <w:r>
              <w:rPr>
                <w:sz w:val="18"/>
                <w:szCs w:val="18"/>
                <w:rStyle w:val="VerbatimChar"/>
              </w:rPr>
              <w:t xml:space="preserve">m (n)</w:t>
            </w:r>
            <w:r>
              <w:rPr>
                <w:sz w:val="18"/>
                <w:szCs w:val="18"/>
              </w:rPr>
              <w:t xml:space="preserve">,</w:t>
            </w:r>
            <w:r>
              <w:rPr>
                <w:sz w:val="18"/>
                <w:szCs w:val="18"/>
              </w:rPr>
              <w:t xml:space="preserve"> </w:t>
            </w:r>
            <w:r>
              <w:rPr>
                <w:sz w:val="18"/>
                <w:szCs w:val="18"/>
                <w:rStyle w:val="VerbatimChar"/>
              </w:rPr>
              <w:t xml:space="preserve">p (n)</w:t>
            </w:r>
          </w:p>
        </w:tc>
        <w:tc>
          <w:tcPr>
            <w:tcW w:w="1981" w:type="dxa"/>
          </w:tcPr>
          <w:tcPr/>
          <w:p>
            <w:pPr>
              <w:pStyle w:val="Compact"/>
              <w:jc w:val="right"/>
            </w:pPr>
            <w:r>
              <w:rPr>
                <w:sz w:val="18"/>
                <w:szCs w:val="18"/>
              </w:rPr>
              <w:t xml:space="preserve">935</w:t>
            </w:r>
          </w:p>
        </w:tc>
        <w:tc>
          <w:tcPr>
            <w:tcW w:w="3743" w:type="dxa"/>
          </w:tcPr>
          <w:tcPr/>
          <w:p>
            <w:pPr>
              <w:pStyle w:val="Compact"/>
              <w:jc w:val="left"/>
            </w:pPr>
            <w:r>
              <w:rPr>
                <w:sz w:val="18"/>
                <w:szCs w:val="18"/>
              </w:rPr>
              <w:t xml:space="preserve">naming of the training split of </w:t>
            </w:r>
            <w:hyperlink w:anchor="ref-bhuvaji2020kaggle">
              <w:r>
                <w:rPr>
                  <w:sz w:val="18"/>
                  <w:szCs w:val="18"/>
                  <w:rStyle w:val="Hyperlink"/>
                </w:rPr>
                <w:t xml:space="preserve">[29]</w:t>
              </w:r>
            </w:hyperlink>
          </w:p>
        </w:tc>
      </w:tr>
      <w:tr>
        <w:tc>
          <w:tcPr>
            <w:tcW w:w="3302" w:type="dxa"/>
          </w:tcPr>
          <w:tcPr/>
          <w:p>
            <w:pPr>
              <w:pStyle w:val="Compact"/>
              <w:jc w:val="left"/>
            </w:pPr>
            <w:r>
              <w:rPr>
                <w:sz w:val="18"/>
                <w:szCs w:val="18"/>
                <w:rStyle w:val="VerbatimChar"/>
              </w:rPr>
              <w:t xml:space="preserve">Te-xx_####</w:t>
            </w:r>
          </w:p>
        </w:tc>
        <w:tc>
          <w:tcPr>
            <w:tcW w:w="1981" w:type="dxa"/>
          </w:tcPr>
          <w:tcPr/>
          <w:p>
            <w:pPr>
              <w:pStyle w:val="Compact"/>
              <w:jc w:val="right"/>
            </w:pPr>
            <w:r>
              <w:rPr>
                <w:sz w:val="18"/>
                <w:szCs w:val="18"/>
              </w:rPr>
              <w:t xml:space="preserve">858</w:t>
            </w:r>
          </w:p>
        </w:tc>
        <w:tc>
          <w:tcPr>
            <w:tcW w:w="3743" w:type="dxa"/>
          </w:tcPr>
          <w:tcPr/>
          <w:p>
            <w:pPr>
              <w:pStyle w:val="Compact"/>
              <w:jc w:val="left"/>
            </w:pPr>
            <w:r>
              <w:rPr>
                <w:sz w:val="18"/>
                <w:szCs w:val="18"/>
              </w:rPr>
              <w:t xml:space="preserve">naming of the test split of </w:t>
            </w:r>
            <w:hyperlink w:anchor="ref-nickparvar2021kaggle">
              <w:r>
                <w:rPr>
                  <w:sz w:val="18"/>
                  <w:szCs w:val="18"/>
                  <w:rStyle w:val="Hyperlink"/>
                </w:rPr>
                <w:t xml:space="preserve">[28]</w:t>
              </w:r>
            </w:hyperlink>
          </w:p>
        </w:tc>
      </w:tr>
      <w:tr>
        <w:tc>
          <w:tcPr>
            <w:tcW w:w="3302" w:type="dxa"/>
          </w:tcPr>
          <w:tcPr/>
          <w:p>
            <w:pPr>
              <w:pStyle w:val="Compact"/>
              <w:jc w:val="left"/>
            </w:pPr>
            <w:r>
              <w:rPr>
                <w:sz w:val="18"/>
                <w:szCs w:val="18"/>
                <w:rStyle w:val="VerbatimChar"/>
              </w:rPr>
              <w:t xml:space="preserve">image(n)</w:t>
            </w:r>
          </w:p>
        </w:tc>
        <w:tc>
          <w:tcPr>
            <w:tcW w:w="1981" w:type="dxa"/>
          </w:tcPr>
          <w:tcPr/>
          <w:p>
            <w:pPr>
              <w:pStyle w:val="Compact"/>
              <w:jc w:val="right"/>
            </w:pPr>
            <w:r>
              <w:rPr>
                <w:sz w:val="18"/>
                <w:szCs w:val="18"/>
              </w:rPr>
              <w:t xml:space="preserve">249</w:t>
            </w:r>
          </w:p>
        </w:tc>
        <w:tc>
          <w:tcPr>
            <w:tcW w:w="3743" w:type="dxa"/>
          </w:tcPr>
          <w:tcPr/>
          <w:p>
            <w:pPr>
              <w:pStyle w:val="Compact"/>
              <w:jc w:val="left"/>
            </w:pPr>
            <w:r>
              <w:rPr>
                <w:sz w:val="18"/>
                <w:szCs w:val="18"/>
              </w:rPr>
              <w:t xml:space="preserve">naming of the test split of </w:t>
            </w:r>
            <w:hyperlink w:anchor="ref-bhuvaji2020kaggle">
              <w:r>
                <w:rPr>
                  <w:sz w:val="18"/>
                  <w:szCs w:val="18"/>
                  <w:rStyle w:val="Hyperlink"/>
                </w:rPr>
                <w:t xml:space="preserve">[29]</w:t>
              </w:r>
            </w:hyperlink>
          </w:p>
        </w:tc>
      </w:tr>
      <w:tr>
        <w:tc>
          <w:tcPr>
            <w:tcW w:w="3302" w:type="dxa"/>
          </w:tcPr>
          <w:tcPr/>
          <w:p>
            <w:pPr>
              <w:pStyle w:val="Compact"/>
              <w:jc w:val="left"/>
            </w:pPr>
            <w:r>
              <w:rPr>
                <w:sz w:val="18"/>
                <w:szCs w:val="18"/>
                <w:rStyle w:val="VerbatimChar"/>
              </w:rPr>
              <w:t xml:space="preserve">N#</w:t>
            </w:r>
            <w:r>
              <w:rPr>
                <w:sz w:val="18"/>
                <w:szCs w:val="18"/>
              </w:rPr>
              <w:t xml:space="preserve">,</w:t>
            </w:r>
            <w:r>
              <w:rPr>
                <w:sz w:val="18"/>
                <w:szCs w:val="18"/>
              </w:rPr>
              <w:t xml:space="preserve"> </w:t>
            </w:r>
            <w:r>
              <w:rPr>
                <w:sz w:val="18"/>
                <w:szCs w:val="18"/>
                <w:rStyle w:val="VerbatimChar"/>
              </w:rPr>
              <w:t xml:space="preserve"># no</w:t>
            </w:r>
          </w:p>
        </w:tc>
        <w:tc>
          <w:tcPr>
            <w:tcW w:w="1981" w:type="dxa"/>
          </w:tcPr>
          <w:tcPr/>
          <w:p>
            <w:pPr>
              <w:pStyle w:val="Compact"/>
              <w:jc w:val="right"/>
            </w:pPr>
            <w:r>
              <w:rPr>
                <w:sz w:val="18"/>
                <w:szCs w:val="18"/>
              </w:rPr>
              <w:t xml:space="preserve">76</w:t>
            </w:r>
          </w:p>
        </w:tc>
        <w:tc>
          <w:tcPr>
            <w:tcW w:w="3743" w:type="dxa"/>
          </w:tcPr>
          <w:tcPr/>
          <w:p>
            <w:pPr>
              <w:pStyle w:val="Compact"/>
              <w:jc w:val="left"/>
            </w:pPr>
            <w:r>
              <w:rPr>
                <w:sz w:val="18"/>
                <w:szCs w:val="18"/>
              </w:rPr>
              <w:t xml:space="preserve">naming of </w:t>
            </w:r>
            <w:hyperlink w:anchor="ref-chakrabarty2019kaggle">
              <w:r>
                <w:rPr>
                  <w:sz w:val="18"/>
                  <w:szCs w:val="18"/>
                  <w:rStyle w:val="Hyperlink"/>
                </w:rPr>
                <w:t xml:space="preserve">[33]</w:t>
              </w:r>
            </w:hyperlink>
          </w:p>
        </w:tc>
      </w:tr>
      <w:tr>
        <w:tc>
          <w:tcPr>
            <w:tcW w:w="3302" w:type="dxa"/>
          </w:tcPr>
          <w:tcPr/>
          <w:p>
            <w:pPr>
              <w:pStyle w:val="Compact"/>
              <w:jc w:val="left"/>
            </w:pPr>
            <w:r>
              <w:rPr>
                <w:sz w:val="18"/>
                <w:szCs w:val="18"/>
              </w:rPr>
              <w:t xml:space="preserve">other</w:t>
            </w:r>
          </w:p>
        </w:tc>
        <w:tc>
          <w:tcPr>
            <w:tcW w:w="1981" w:type="dxa"/>
          </w:tcPr>
          <w:tcPr/>
          <w:p>
            <w:pPr>
              <w:pStyle w:val="Compact"/>
              <w:jc w:val="right"/>
            </w:pPr>
            <w:r>
              <w:rPr>
                <w:sz w:val="18"/>
                <w:szCs w:val="18"/>
              </w:rPr>
              <w:t xml:space="preserve">2</w:t>
            </w:r>
          </w:p>
        </w:tc>
        <w:tc>
          <w:tcPr>
            <w:tcW w:w="3743" w:type="dxa"/>
          </w:tcPr>
          <w:tcPr/>
          <w:p>
            <w:pPr>
              <w:pStyle w:val="Compact"/>
              <w:jc w:val="left"/>
            </w:pPr>
            <w:r>
              <w:rPr>
                <w:sz w:val="18"/>
                <w:szCs w:val="18"/>
              </w:rPr>
              <w:t xml:space="preserve">–</w:t>
            </w:r>
          </w:p>
        </w:tc>
      </w:tr>
    </w:tbl>
    <w:p>
      <w:pPr>
        <w:pStyle w:val="BodyText"/>
      </w:pPr>
      <w:r>
        <w:t xml:space="preserve">A later release of the same Mendeley record (Version 7) states that exact and near-duplicate images were removed, leaving 5,941 images with a verified leakage-free split </w:t>
      </w:r>
      <w:hyperlink w:anchor="ref-bdneuro2025v7">
        <w:r>
          <w:rPr>
            <w:rStyle w:val="Hyperlink"/>
          </w:rPr>
          <w:t xml:space="preserve">[32]</w:t>
        </w:r>
      </w:hyperlink>
      <w:r>
        <w:t xml:space="preserve">. This independently confirms substantial duplication in Version 1. Section VII-A measures its effect on our results.</w:t>
      </w:r>
    </w:p>
    <w:bookmarkEnd w:id="30"/>
    <w:bookmarkStart w:id="49" w:name="iv.-proposed-method"/>
    <w:p>
      <w:pPr>
        <w:pStyle w:val="Heading1"/>
      </w:pPr>
      <w:r>
        <w:t xml:space="preserve">IV. Proposed Method</w:t>
      </w:r>
    </w:p>
    <w:p>
      <w:pPr>
        <w:pStyle w:val="FirstParagraph"/>
      </w:pPr>
      <w:r>
        <w:t xml:space="preserve">The classifier learns two complementary views of the same slice: dense appearance features from a CNN, and regional relations from a graph built over a multi-scale grid. Both streams map to 384-dimensional vectors, which are refined jointly, weighted by their estimated reliability and classified (Fig. 3). Exact layer settings follow the released code. The overall study workflow, from dataset preparation to evaluation, is summarised in Fig. 2.</w:t>
      </w:r>
    </w:p>
    <w:p>
      <w:pPr>
        <w:pStyle w:val="CaptionedFigure"/>
      </w:pPr>
      <w:r>
        <w:drawing>
          <wp:inline>
            <wp:extent cx="5334000" cy="3000375"/>
            <wp:effectExtent b="0" l="0" r="0" t="0"/>
            <wp:docPr descr="" title="" id="32" name="Picture"/>
            <a:graphic>
              <a:graphicData uri="http://schemas.openxmlformats.org/drawingml/2006/picture">
                <pic:pic>
                  <pic:nvPicPr>
                    <pic:cNvPr descr="figures/fig_workflow.png"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 2. Overview of the study workflow: (A) dataset preparation, (B) image and graph pre-processing, (C) extraction of the visual and topological modalities, (D) the proposed architecture (detailed in Fig. 3), (E) ablation study (Section VI-G), (F) result analysis and (G) performance evaluation with ten-view test-time augmentation.</w:t>
      </w:r>
    </w:p>
    <w:p>
      <w:pPr>
        <w:pStyle w:val="CaptionedFigure"/>
      </w:pPr>
      <w:r>
        <w:drawing>
          <wp:inline>
            <wp:extent cx="3108960" cy="4575153"/>
            <wp:effectExtent b="0" l="0" r="0" t="0"/>
            <wp:docPr descr="" title="" id="35" name="Picture"/>
            <a:graphic>
              <a:graphicData uri="http://schemas.openxmlformats.org/drawingml/2006/picture">
                <pic:pic>
                  <pic:nvPicPr>
                    <pic:cNvPr descr="figures/fig_architecture.png" id="36" name="Picture"/>
                    <pic:cNvPicPr>
                      <a:picLocks noChangeArrowheads="1" noChangeAspect="1"/>
                    </pic:cNvPicPr>
                  </pic:nvPicPr>
                  <pic:blipFill>
                    <a:blip r:embed="rId34"/>
                    <a:stretch>
                      <a:fillRect/>
                    </a:stretch>
                  </pic:blipFill>
                  <pic:spPr bwMode="auto">
                    <a:xfrm>
                      <a:off x="0" y="0"/>
                      <a:ext cx="3108960" cy="4575153"/>
                    </a:xfrm>
                    <a:prstGeom prst="rect">
                      <a:avLst/>
                    </a:prstGeom>
                    <a:noFill/>
                    <a:ln w="9525">
                      <a:noFill/>
                      <a:headEnd/>
                      <a:tailEnd/>
                    </a:ln>
                  </pic:spPr>
                </pic:pic>
              </a:graphicData>
            </a:graphic>
          </wp:inline>
        </w:drawing>
      </w:r>
    </w:p>
    <w:p>
      <w:pPr>
        <w:pStyle w:val="ImageCaption"/>
      </w:pPr>
      <w:r>
        <w:t xml:space="preserve">Fig. 3. Architecture of the dual-stream classifier, with layer sizes from the released code.</w:t>
      </w:r>
      <w:r>
        <w:t xml:space="preserve"> </w:t>
      </w:r>
      <m:oMath>
        <m:r>
          <m:t>g</m:t>
        </m:r>
      </m:oMath>
      <w:r>
        <w:t xml:space="preserve"> </w:t>
      </w:r>
      <w:r>
        <w:t xml:space="preserve">and</w:t>
      </w:r>
      <w:r>
        <w:t xml:space="preserve"> </w:t>
      </w:r>
      <m:oMath>
        <m:r>
          <m:t>i</m:t>
        </m:r>
      </m:oMath>
      <w:r>
        <w:t xml:space="preserve"> </w:t>
      </w:r>
      <w:r>
        <w:t xml:space="preserve">are the graph and image embeddings,</w:t>
      </w:r>
      <w:r>
        <w:t xml:space="preserve"> </w:t>
      </w:r>
      <m:oMath>
        <m:sSub>
          <m:e>
            <m:r>
              <m:t>g</m:t>
            </m:r>
          </m:e>
          <m:sub>
            <m:r>
              <m:t>r</m:t>
            </m:r>
          </m:sub>
        </m:sSub>
      </m:oMath>
      <w:r>
        <w:t xml:space="preserve"> </w:t>
      </w:r>
      <w:r>
        <w:t xml:space="preserve">and</w:t>
      </w:r>
      <w:r>
        <w:t xml:space="preserve"> </w:t>
      </w:r>
      <m:oMath>
        <m:sSub>
          <m:e>
            <m:r>
              <m:t>i</m:t>
            </m:r>
          </m:e>
          <m:sub>
            <m:r>
              <m:t>r</m:t>
            </m:r>
          </m:sub>
        </m:sSub>
      </m:oMath>
      <w:r>
        <w:t xml:space="preserve"> </w:t>
      </w:r>
      <w:r>
        <w:t xml:space="preserve">their recalibrated versions,</w:t>
      </w:r>
      <w:r>
        <w:t xml:space="preserve"> </w:t>
      </w:r>
      <m:oMath>
        <m:sSub>
          <m:e>
            <m:r>
              <m:t>z</m:t>
            </m:r>
          </m:e>
          <m:sub>
            <m:r>
              <m:t>g</m:t>
            </m:r>
          </m:sub>
        </m:sSub>
      </m:oMath>
      <w:r>
        <w:t xml:space="preserve"> </w:t>
      </w:r>
      <w:r>
        <w:t xml:space="preserve">and</w:t>
      </w:r>
      <w:r>
        <w:t xml:space="preserve"> </w:t>
      </w:r>
      <m:oMath>
        <m:sSub>
          <m:e>
            <m:r>
              <m:t>z</m:t>
            </m:r>
          </m:e>
          <m:sub>
            <m:r>
              <m:t>i</m:t>
            </m:r>
          </m:sub>
        </m:sSub>
      </m:oMath>
      <w:r>
        <w:t xml:space="preserve"> </w:t>
      </w:r>
      <w:r>
        <w:t xml:space="preserve">the transformer outputs and</w:t>
      </w:r>
      <w:r>
        <w:t xml:space="preserve"> </w:t>
      </w:r>
      <m:oMath>
        <m:sSub>
          <m:e>
            <m:r>
              <m:t>w</m:t>
            </m:r>
          </m:e>
          <m:sub>
            <m:r>
              <m:t>g</m:t>
            </m:r>
          </m:sub>
        </m:sSub>
      </m:oMath>
      <w:r>
        <w:t xml:space="preserve">,</w:t>
      </w:r>
      <w:r>
        <w:t xml:space="preserve"> </w:t>
      </w:r>
      <m:oMath>
        <m:sSub>
          <m:e>
            <m:r>
              <m:t>w</m:t>
            </m:r>
          </m:e>
          <m:sub>
            <m:r>
              <m:t>i</m:t>
            </m:r>
          </m:sub>
        </m:sSub>
      </m:oMath>
      <w:r>
        <w:t xml:space="preserve"> </w:t>
      </w:r>
      <w:r>
        <w:t xml:space="preserve">the uncertainty-based fusion weights.</w:t>
      </w:r>
    </w:p>
    <w:bookmarkStart w:id="37" w:name="a.-input-pre-processing"/>
    <w:p>
      <w:pPr>
        <w:pStyle w:val="Heading2"/>
      </w:pPr>
      <w:r>
        <w:t xml:space="preserve">A. Input Pre-Processing</w:t>
      </w:r>
    </w:p>
    <w:p>
      <w:pPr>
        <w:pStyle w:val="FirstParagraph"/>
      </w:pPr>
      <w:r>
        <w:t xml:space="preserve">Each image is read as three-channel RGB and resized to</w:t>
      </w:r>
      <w:r>
        <w:t xml:space="preserve"> </w:t>
      </w:r>
      <m:oMath>
        <m:r>
          <m:t>224</m:t>
        </m:r>
        <m:r>
          <m:rPr>
            <m:sty m:val="p"/>
          </m:rPr>
          <m:t>×</m:t>
        </m:r>
        <m:r>
          <m:t>224</m:t>
        </m:r>
      </m:oMath>
      <w:r>
        <w:t xml:space="preserve"> </w:t>
      </w:r>
      <w:r>
        <w:t xml:space="preserve">pixels. The CNN input is normalised with ImageNet channel means</w:t>
      </w:r>
      <w:r>
        <w:t xml:space="preserve"> </w:t>
      </w:r>
      <m:oMath>
        <m:d>
          <m:dPr>
            <m:begChr m:val="("/>
            <m:endChr m:val=")"/>
            <m:sepChr m:val=""/>
            <m:grow/>
          </m:dPr>
          <m:e>
            <m:r>
              <m:t>0.485</m:t>
            </m:r>
            <m:r>
              <m:rPr>
                <m:sty m:val="p"/>
              </m:rPr>
              <m:t>,</m:t>
            </m:r>
            <m:r>
              <m:t>0.456</m:t>
            </m:r>
            <m:r>
              <m:rPr>
                <m:sty m:val="p"/>
              </m:rPr>
              <m:t>,</m:t>
            </m:r>
            <m:r>
              <m:t>0.406</m:t>
            </m:r>
          </m:e>
        </m:d>
      </m:oMath>
      <w:r>
        <w:t xml:space="preserve"> </w:t>
      </w:r>
      <w:r>
        <w:t xml:space="preserve">and standard deviations</w:t>
      </w:r>
      <w:r>
        <w:t xml:space="preserve"> </w:t>
      </w:r>
      <m:oMath>
        <m:d>
          <m:dPr>
            <m:begChr m:val="("/>
            <m:endChr m:val=")"/>
            <m:sepChr m:val=""/>
            <m:grow/>
          </m:dPr>
          <m:e>
            <m:r>
              <m:t>0.229</m:t>
            </m:r>
            <m:r>
              <m:rPr>
                <m:sty m:val="p"/>
              </m:rPr>
              <m:t>,</m:t>
            </m:r>
            <m:r>
              <m:t>0.224</m:t>
            </m:r>
            <m:r>
              <m:rPr>
                <m:sty m:val="p"/>
              </m:rPr>
              <m:t>,</m:t>
            </m:r>
            <m:r>
              <m:t>0.225</m:t>
            </m:r>
          </m:e>
        </m:d>
      </m:oMath>
      <w:r>
        <w:t xml:space="preserve">. Training augmentation applies a horizontal flip (</w:t>
      </w:r>
      <m:oMath>
        <m:r>
          <m:t>p</m:t>
        </m:r>
        <m:r>
          <m:rPr>
            <m:sty m:val="p"/>
          </m:rPr>
          <m:t>=</m:t>
        </m:r>
        <m:r>
          <m:t>0.5</m:t>
        </m:r>
      </m:oMath>
      <w:r>
        <w:t xml:space="preserve">) and brightness and contrast jitter whose strength grows linearly over the first 15 epochs, up to factors of</w:t>
      </w:r>
      <w:r>
        <w:t xml:space="preserve"> </w:t>
      </w:r>
      <m:oMath>
        <m:r>
          <m:rPr>
            <m:sty m:val="p"/>
          </m:rPr>
          <m:t>±</m:t>
        </m:r>
        <m:r>
          <m:t>0.35</m:t>
        </m:r>
      </m:oMath>
      <w:r>
        <w:t xml:space="preserve">. Saturation and hue jitter are not used, because they leave slices stored as greyscale (identical channels) unchanged. The same transformed image feeds both streams, so the two views stay spatially and photometrically aligned.</w:t>
      </w:r>
    </w:p>
    <w:bookmarkEnd w:id="37"/>
    <w:bookmarkStart w:id="41" w:name="b.-multi-scale-graph-pyramid"/>
    <w:p>
      <w:pPr>
        <w:pStyle w:val="Heading2"/>
      </w:pPr>
      <w:r>
        <w:t xml:space="preserve">B. Multi-Scale Graph Pyramid</w:t>
      </w:r>
    </w:p>
    <w:p>
      <w:pPr>
        <w:pStyle w:val="FirstParagraph"/>
      </w:pPr>
      <w:r>
        <w:t xml:space="preserve">The greyscale image is divided into non-overlapping grids of</w:t>
      </w:r>
      <w:r>
        <w:t xml:space="preserve"> </w:t>
      </w:r>
      <m:oMath>
        <m:r>
          <m:t>s</m:t>
        </m:r>
        <m:r>
          <m:rPr>
            <m:sty m:val="p"/>
          </m:rPr>
          <m:t>×</m:t>
        </m:r>
        <m:r>
          <m:t>s</m:t>
        </m:r>
      </m:oMath>
      <w:r>
        <w:t xml:space="preserve"> </w:t>
      </w:r>
      <w:r>
        <w:t xml:space="preserve">patches for</w:t>
      </w:r>
      <w:r>
        <w:t xml:space="preserve"> </w:t>
      </w:r>
      <m:oMath>
        <m:r>
          <m:t>s</m:t>
        </m:r>
        <m:r>
          <m:rPr>
            <m:sty m:val="p"/>
          </m:rPr>
          <m:t>∈</m:t>
        </m:r>
        <m:r>
          <m:rPr>
            <m:sty m:val="p"/>
          </m:rPr>
          <m:t>{</m:t>
        </m:r>
        <m:r>
          <m:t>4</m:t>
        </m:r>
        <m:r>
          <m:rPr>
            <m:sty m:val="p"/>
          </m:rPr>
          <m:t>,</m:t>
        </m:r>
        <m:r>
          <m:t>8</m:t>
        </m:r>
        <m:r>
          <m:rPr>
            <m:sty m:val="p"/>
          </m:rPr>
          <m:t>,</m:t>
        </m:r>
        <m:r>
          <m:t>16</m:t>
        </m:r>
        <m:r>
          <m:rPr>
            <m:sty m:val="p"/>
          </m:rPr>
          <m:t>}</m:t>
        </m:r>
      </m:oMath>
      <w:r>
        <w:t xml:space="preserve">, giving patches of 56, 28 and 14 pixels (Fig. 4). Each patch is a node, so every image yields a graph of</w:t>
      </w:r>
    </w:p>
    <w:p>
      <w:pPr>
        <w:pStyle w:val="BodyText"/>
      </w:pPr>
      <m:oMathPara>
        <m:oMathParaPr>
          <m:jc m:val="center"/>
        </m:oMathParaPr>
        <m:oMath>
          <m:r>
            <m:t>N</m:t>
          </m:r>
          <m:r>
            <m:rPr>
              <m:sty m:val="p"/>
            </m:rPr>
            <m:t>=</m:t>
          </m:r>
          <m:nary>
            <m:naryPr>
              <m:chr m:val="∑"/>
              <m:limLoc m:val="undOvr"/>
              <m:subHide m:val="off"/>
              <m:supHide m:val="on"/>
            </m:naryPr>
            <m:sub>
              <m:r>
                <m:t>s</m:t>
              </m:r>
              <m:r>
                <m:rPr>
                  <m:sty m:val="p"/>
                </m:rPr>
                <m:t>∈</m:t>
              </m:r>
              <m:r>
                <m:rPr>
                  <m:sty m:val="p"/>
                </m:rPr>
                <m:t>{</m:t>
              </m:r>
              <m:r>
                <m:t>4</m:t>
              </m:r>
              <m:r>
                <m:rPr>
                  <m:sty m:val="p"/>
                </m:rPr>
                <m:t>,</m:t>
              </m:r>
              <m:r>
                <m:t>8</m:t>
              </m:r>
              <m:r>
                <m:rPr>
                  <m:sty m:val="p"/>
                </m:rPr>
                <m:t>,</m:t>
              </m:r>
              <m:r>
                <m:t>16</m:t>
              </m:r>
              <m:r>
                <m:rPr>
                  <m:sty m:val="p"/>
                </m:rPr>
                <m:t>}</m:t>
              </m:r>
            </m:sub>
            <m:sup>
              <m:r>
                <m:t>​</m:t>
              </m:r>
            </m:sup>
            <m:e>
              <m:sSup>
                <m:e>
                  <m:r>
                    <m:t>s</m:t>
                  </m:r>
                </m:e>
                <m:sup>
                  <m:r>
                    <m:t>2</m:t>
                  </m:r>
                </m:sup>
              </m:sSup>
            </m:e>
          </m:nary>
          <m:r>
            <m:rPr>
              <m:sty m:val="p"/>
            </m:rPr>
            <m:t>=</m:t>
          </m:r>
          <m:r>
            <m:t>16</m:t>
          </m:r>
          <m:r>
            <m:rPr>
              <m:sty m:val="p"/>
            </m:rPr>
            <m:t>+</m:t>
          </m:r>
          <m:r>
            <m:t>64</m:t>
          </m:r>
          <m:r>
            <m:rPr>
              <m:sty m:val="p"/>
            </m:rPr>
            <m:t>+</m:t>
          </m:r>
          <m:r>
            <m:t>256</m:t>
          </m:r>
          <m:r>
            <m:rPr>
              <m:sty m:val="p"/>
            </m:rPr>
            <m:t>=</m:t>
          </m:r>
          <m:r>
            <m:t>336</m:t>
          </m:r>
          <m:r>
            <m:rPr>
              <m:nor/>
              <m:sty m:val="p"/>
            </m:rPr>
            <m:t> nodes.</m:t>
          </m:r>
        </m:oMath>
      </m:oMathPara>
    </w:p>
    <w:p>
      <w:pPr>
        <w:pStyle w:val="FirstParagraph"/>
      </w:pPr>
      <w:r>
        <w:t xml:space="preserve">Each node carries a 24-dimensional descriptor computed on the 0–255 intensity scale:</w:t>
      </w:r>
    </w:p>
    <w:p>
      <w:pPr>
        <w:numPr>
          <w:ilvl w:val="0"/>
          <w:numId w:val="1003"/>
        </w:numPr>
      </w:pPr>
      <w:r>
        <w:t xml:space="preserve">intensity statistics: mean, standard deviation, minimum, maximum, median, variance and the 25th, 50th, 75th and 90th percentiles (intensities divided by 255, variance by</w:t>
      </w:r>
      <w:r>
        <w:t xml:space="preserve"> </w:t>
      </w:r>
      <m:oMath>
        <m:sSup>
          <m:e>
            <m:r>
              <m:t>255</m:t>
            </m:r>
          </m:e>
          <m:sup>
            <m:r>
              <m:t>2</m:t>
            </m:r>
          </m:sup>
        </m:sSup>
      </m:oMath>
      <w:r>
        <w:t xml:space="preserve">);</w:t>
      </w:r>
    </w:p>
    <w:p>
      <w:pPr>
        <w:numPr>
          <w:ilvl w:val="0"/>
          <w:numId w:val="1003"/>
        </w:numPr>
      </w:pPr>
      <w:r>
        <w:t xml:space="preserve">texture: mean absolute vertical and horizontal gradients and mean gradient magnitude;</w:t>
      </w:r>
    </w:p>
    <w:p>
      <w:pPr>
        <w:numPr>
          <w:ilvl w:val="0"/>
          <w:numId w:val="1003"/>
        </w:numPr>
      </w:pPr>
      <w:r>
        <w:t xml:space="preserve">intensity proportions: pixels above 128, below 64, above the patch mean, between 64 and 192, and above 192;</w:t>
      </w:r>
    </w:p>
    <w:p>
      <w:pPr>
        <w:numPr>
          <w:ilvl w:val="0"/>
          <w:numId w:val="1003"/>
        </w:numPr>
      </w:pPr>
      <w:r>
        <w:t xml:space="preserve">position and scale: the patch’s grid row and column divided by</w:t>
      </w:r>
      <w:r>
        <w:t xml:space="preserve"> </w:t>
      </w:r>
      <m:oMath>
        <m:r>
          <m:t>s</m:t>
        </m:r>
      </m:oMath>
      <w:r>
        <w:t xml:space="preserve">, their distance from</w:t>
      </w:r>
      <w:r>
        <w:t xml:space="preserve"> </w:t>
      </w:r>
      <m:oMath>
        <m:d>
          <m:dPr>
            <m:begChr m:val="("/>
            <m:endChr m:val=")"/>
            <m:sepChr m:val=""/>
            <m:grow/>
          </m:dPr>
          <m:e>
            <m:r>
              <m:t>0.5</m:t>
            </m:r>
            <m:r>
              <m:rPr>
                <m:sty m:val="p"/>
              </m:rPr>
              <m:t>,</m:t>
            </m:r>
            <m:r>
              <m:t>0.5</m:t>
            </m:r>
          </m:e>
        </m:d>
      </m:oMath>
      <w:r>
        <w:t xml:space="preserve">, their normalised sum,</w:t>
      </w:r>
      <w:r>
        <w:t xml:space="preserve"> </w:t>
      </w:r>
      <m:oMath>
        <m:r>
          <m:t>s</m:t>
        </m:r>
        <m:r>
          <m:rPr>
            <m:sty m:val="p"/>
          </m:rPr>
          <m:t>/</m:t>
        </m:r>
        <m:r>
          <m:t>16</m:t>
        </m:r>
      </m:oMath>
      <w:r>
        <w:t xml:space="preserve"> </w:t>
      </w:r>
      <w:r>
        <w:t xml:space="preserve">and</w:t>
      </w:r>
      <w:r>
        <w:t xml:space="preserve"> </w:t>
      </w:r>
      <m:oMath>
        <m:r>
          <m:t>1</m:t>
        </m:r>
        <m:r>
          <m:rPr>
            <m:sty m:val="p"/>
          </m:rPr>
          <m:t>/</m:t>
        </m:r>
        <m:r>
          <m:t>s</m:t>
        </m:r>
      </m:oMath>
      <w:r>
        <w:t xml:space="preserve">.</w:t>
      </w:r>
    </w:p>
    <w:p>
      <w:pPr>
        <w:pStyle w:val="FirstParagraph"/>
      </w:pPr>
      <w:r>
        <w:t xml:space="preserve">Within each level, a node is linked to its eight spatial neighbours. Between consecutive levels, each fine node is linked in both directions to the coarse node that contains it, with parent index</w:t>
      </w:r>
      <w:r>
        <w:t xml:space="preserve"> </w:t>
      </w:r>
      <m:oMath>
        <m:d>
          <m:dPr>
            <m:begChr m:val="("/>
            <m:endChr m:val=")"/>
            <m:sepChr m:val=""/>
            <m:grow/>
          </m:dPr>
          <m:e>
            <m:r>
              <m:rPr>
                <m:sty m:val="p"/>
              </m:rPr>
              <m:t>⌊</m:t>
            </m:r>
            <m:r>
              <m:t>i</m:t>
            </m:r>
            <m:r>
              <m:rPr>
                <m:sty m:val="p"/>
              </m:rPr>
              <m:t>/</m:t>
            </m:r>
            <m:r>
              <m:t>2</m:t>
            </m:r>
            <m:r>
              <m:rPr>
                <m:sty m:val="p"/>
              </m:rPr>
              <m:t>⌋</m:t>
            </m:r>
            <m:r>
              <m:rPr>
                <m:sty m:val="p"/>
              </m:rPr>
              <m:t>,</m:t>
            </m:r>
            <m:r>
              <m:rPr>
                <m:sty m:val="p"/>
              </m:rPr>
              <m:t>⌊</m:t>
            </m:r>
            <m:r>
              <m:t>j</m:t>
            </m:r>
            <m:r>
              <m:rPr>
                <m:sty m:val="p"/>
              </m:rPr>
              <m:t>/</m:t>
            </m:r>
            <m:r>
              <m:t>2</m:t>
            </m:r>
            <m:r>
              <m:rPr>
                <m:sty m:val="p"/>
              </m:rPr>
              <m:t>⌋</m:t>
            </m:r>
          </m:e>
        </m:d>
      </m:oMath>
      <w:r>
        <w:t xml:space="preserve">. This gives 3,004 directed edges per graph: 2,364 within levels and 640 between them. The topology is identical for every image; only the node descriptors change.</w:t>
      </w:r>
    </w:p>
    <w:p>
      <w:pPr>
        <w:pStyle w:val="CaptionedFigure"/>
      </w:pPr>
      <w:r>
        <w:drawing>
          <wp:inline>
            <wp:extent cx="5334000" cy="1887110"/>
            <wp:effectExtent b="0" l="0" r="0" t="0"/>
            <wp:docPr descr="" title="" id="39" name="Picture"/>
            <a:graphic>
              <a:graphicData uri="http://schemas.openxmlformats.org/drawingml/2006/picture">
                <pic:pic>
                  <pic:nvPicPr>
                    <pic:cNvPr descr="figures/fig3_graph_pyramid.png" id="40" name="Picture"/>
                    <pic:cNvPicPr>
                      <a:picLocks noChangeArrowheads="1" noChangeAspect="1"/>
                    </pic:cNvPicPr>
                  </pic:nvPicPr>
                  <pic:blipFill>
                    <a:blip r:embed="rId38"/>
                    <a:stretch>
                      <a:fillRect/>
                    </a:stretch>
                  </pic:blipFill>
                  <pic:spPr bwMode="auto">
                    <a:xfrm>
                      <a:off x="0" y="0"/>
                      <a:ext cx="5334000" cy="1887110"/>
                    </a:xfrm>
                    <a:prstGeom prst="rect">
                      <a:avLst/>
                    </a:prstGeom>
                    <a:noFill/>
                    <a:ln w="9525">
                      <a:noFill/>
                      <a:headEnd/>
                      <a:tailEnd/>
                    </a:ln>
                  </pic:spPr>
                </pic:pic>
              </a:graphicData>
            </a:graphic>
          </wp:inline>
        </w:drawing>
      </w:r>
    </w:p>
    <w:p>
      <w:pPr>
        <w:pStyle w:val="ImageCaption"/>
      </w:pPr>
      <w:r>
        <w:t xml:space="preserve">Fig. 4. Graph pyramid on the glioma slice of Fig. 1(a), resized to</w:t>
      </w:r>
      <w:r>
        <w:t xml:space="preserve"> </w:t>
      </w:r>
      <m:oMath>
        <m:r>
          <m:t>224</m:t>
        </m:r>
        <m:r>
          <m:rPr>
            <m:sty m:val="p"/>
          </m:rPr>
          <m:t>×</m:t>
        </m:r>
        <m:r>
          <m:t>224</m:t>
        </m:r>
      </m:oMath>
      <w:r>
        <w:t xml:space="preserve">: (a) </w:t>
      </w:r>
      <m:oMath>
        <m:r>
          <m:t>4</m:t>
        </m:r>
        <m:r>
          <m:rPr>
            <m:sty m:val="p"/>
          </m:rPr>
          <m:t>×</m:t>
        </m:r>
        <m:r>
          <m:t>4</m:t>
        </m:r>
      </m:oMath>
      <w:r>
        <w:t xml:space="preserve">, (b) </w:t>
      </w:r>
      <m:oMath>
        <m:r>
          <m:t>8</m:t>
        </m:r>
        <m:r>
          <m:rPr>
            <m:sty m:val="p"/>
          </m:rPr>
          <m:t>×</m:t>
        </m:r>
        <m:r>
          <m:t>8</m:t>
        </m:r>
      </m:oMath>
      <w:r>
        <w:t xml:space="preserve"> </w:t>
      </w:r>
      <w:r>
        <w:t xml:space="preserve">and (c) </w:t>
      </w:r>
      <m:oMath>
        <m:r>
          <m:t>16</m:t>
        </m:r>
        <m:r>
          <m:rPr>
            <m:sty m:val="p"/>
          </m:rPr>
          <m:t>×</m:t>
        </m:r>
        <m:r>
          <m:t>16</m:t>
        </m:r>
      </m:oMath>
      <w:r>
        <w:t xml:space="preserve"> </w:t>
      </w:r>
      <w:r>
        <w:t xml:space="preserve">grids, whose patches form the 16, 64 and 256 graph nodes.</w:t>
      </w:r>
    </w:p>
    <w:bookmarkEnd w:id="41"/>
    <w:bookmarkStart w:id="42" w:name="c.-multi-path-graph-neural-network"/>
    <w:p>
      <w:pPr>
        <w:pStyle w:val="Heading2"/>
      </w:pPr>
      <w:r>
        <w:t xml:space="preserve">C. Multi-Path Graph Neural Network</w:t>
      </w:r>
    </w:p>
    <w:p>
      <w:pPr>
        <w:pStyle w:val="FirstParagraph"/>
      </w:pPr>
      <w:r>
        <w:t xml:space="preserve">Descriptors are projected to 128 dimensions by a linear layer, batch normalisation (BN) and GELU. Two stages follow. Each stage runs three operators in parallel on the same input: GCN </w:t>
      </w:r>
      <w:hyperlink w:anchor="ref-kipf2017gcn">
        <w:r>
          <w:rPr>
            <w:rStyle w:val="Hyperlink"/>
          </w:rPr>
          <w:t xml:space="preserve">[16]</w:t>
        </w:r>
      </w:hyperlink>
      <w:r>
        <w:t xml:space="preserve">, GAT </w:t>
      </w:r>
      <w:hyperlink w:anchor="ref-velickovic2018gat">
        <w:r>
          <w:rPr>
            <w:rStyle w:val="Hyperlink"/>
          </w:rPr>
          <w:t xml:space="preserve">[17]</w:t>
        </w:r>
      </w:hyperlink>
      <w:r>
        <w:t xml:space="preserve"> </w:t>
      </w:r>
      <w:r>
        <w:t xml:space="preserve">and TransformerConv </w:t>
      </w:r>
      <w:hyperlink w:anchor="ref-shi2021masked">
        <w:r>
          <w:rPr>
            <w:rStyle w:val="Hyperlink"/>
          </w:rPr>
          <w:t xml:space="preserve">[18]</w:t>
        </w:r>
      </w:hyperlink>
      <w:r>
        <w:t xml:space="preserve">. The attention operators use four heads in stage 1 and two in stage 2, averaged rather than concatenated, with attention dropout 0.1. GCN and GAT add self-loops; TransformerConv does not. Each path is followed by BN and GELU, and the paths are mixed by softmax-normalised learnable weights:</w:t>
      </w:r>
    </w:p>
    <w:p>
      <w:pPr>
        <w:pStyle w:val="BodyText"/>
      </w:pPr>
      <m:oMathPara>
        <m:oMathParaPr>
          <m:jc m:val="center"/>
        </m:oMathParaPr>
        <m:oMath>
          <m:m>
            <m:mPr>
              <m:baseJc m:val="center"/>
              <m:plcHide m:val="on"/>
              <m:mcs>
                <m:mc>
                  <m:mcPr>
                    <m:mcJc m:val="center"/>
                    <m:count m:val="1"/>
                  </m:mcPr>
                </m:mc>
              </m:mcs>
            </m:mPr>
            <m:mr>
              <m:e>
                <m:sSup>
                  <m:e>
                    <m:r>
                      <m:t>h</m:t>
                    </m:r>
                  </m:e>
                  <m:sup>
                    <m:d>
                      <m:dPr>
                        <m:begChr m:val="("/>
                        <m:endChr m:val=")"/>
                        <m:sepChr m:val=""/>
                        <m:grow/>
                      </m:dPr>
                      <m:e>
                        <m:r>
                          <m:t>1</m:t>
                        </m:r>
                      </m:e>
                    </m:d>
                  </m:sup>
                </m:sSup>
                <m:r>
                  <m:rPr>
                    <m:sty m:val="p"/>
                  </m:rPr>
                  <m:t>=</m:t>
                </m:r>
                <m:sSub>
                  <m:e>
                    <m:r>
                      <m:rPr>
                        <m:sty m:val="p"/>
                      </m:rPr>
                      <m:t>D</m:t>
                    </m:r>
                    <m:r>
                      <m:rPr>
                        <m:sty m:val="p"/>
                      </m:rPr>
                      <m:t>r</m:t>
                    </m:r>
                    <m:r>
                      <m:rPr>
                        <m:sty m:val="p"/>
                      </m:rPr>
                      <m:t>o</m:t>
                    </m:r>
                    <m:r>
                      <m:rPr>
                        <m:sty m:val="p"/>
                      </m:rPr>
                      <m:t>p</m:t>
                    </m:r>
                  </m:e>
                  <m:sub>
                    <m:r>
                      <m:t>0.20</m:t>
                    </m:r>
                  </m:sub>
                </m:sSub>
                <m:d>
                  <m:dPr>
                    <m:begChr m:val="("/>
                    <m:endChr m:val=")"/>
                    <m:sepChr m:val=""/>
                    <m:grow/>
                  </m:dPr>
                  <m:e>
                    <m:nary>
                      <m:naryPr>
                        <m:chr m:val="∑"/>
                        <m:limLoc m:val="undOvr"/>
                        <m:subHide m:val="off"/>
                        <m:supHide m:val="on"/>
                      </m:naryPr>
                      <m:sub>
                        <m:r>
                          <m:t>m</m:t>
                        </m:r>
                      </m:sub>
                      <m:sup>
                        <m:r>
                          <m:t>​</m:t>
                        </m:r>
                      </m:sup>
                      <m:e>
                        <m:sSub>
                          <m:e>
                            <m:r>
                              <m:t>α</m:t>
                            </m:r>
                          </m:e>
                          <m:sub>
                            <m:r>
                              <m:t>m</m:t>
                            </m:r>
                          </m:sub>
                        </m:sSub>
                      </m:e>
                    </m:nary>
                    <m:r>
                      <m:t> </m:t>
                    </m:r>
                    <m:r>
                      <m:rPr>
                        <m:sty m:val="p"/>
                      </m:rPr>
                      <m:t>G</m:t>
                    </m:r>
                    <m:r>
                      <m:rPr>
                        <m:sty m:val="p"/>
                      </m:rPr>
                      <m:t>E</m:t>
                    </m:r>
                    <m:r>
                      <m:rPr>
                        <m:sty m:val="p"/>
                      </m:rPr>
                      <m:t>L</m:t>
                    </m:r>
                    <m:r>
                      <m:rPr>
                        <m:sty m:val="p"/>
                      </m:rPr>
                      <m:t>U</m:t>
                    </m:r>
                    <m:d>
                      <m:dPr>
                        <m:begChr m:val="("/>
                        <m:endChr m:val=")"/>
                        <m:sepChr m:val=""/>
                        <m:grow/>
                      </m:dPr>
                      <m:e>
                        <m:r>
                          <m:rPr>
                            <m:sty m:val="p"/>
                          </m:rPr>
                          <m:t>B</m:t>
                        </m:r>
                        <m:r>
                          <m:rPr>
                            <m:sty m:val="p"/>
                          </m:rPr>
                          <m:t>N</m:t>
                        </m:r>
                        <m:d>
                          <m:dPr>
                            <m:begChr m:val="("/>
                            <m:endChr m:val=")"/>
                            <m:sepChr m:val=""/>
                            <m:grow/>
                          </m:dPr>
                          <m:e>
                            <m:sSubSup>
                              <m:e>
                                <m:r>
                                  <m:t>f</m:t>
                                </m:r>
                              </m:e>
                              <m:sub>
                                <m:r>
                                  <m:t>m</m:t>
                                </m:r>
                              </m:sub>
                              <m:sup>
                                <m:d>
                                  <m:dPr>
                                    <m:begChr m:val="("/>
                                    <m:endChr m:val=")"/>
                                    <m:sepChr m:val=""/>
                                    <m:grow/>
                                  </m:dPr>
                                  <m:e>
                                    <m:r>
                                      <m:t>1</m:t>
                                    </m:r>
                                  </m:e>
                                </m:d>
                              </m:sup>
                            </m:sSubSup>
                            <m:d>
                              <m:dPr>
                                <m:begChr m:val="("/>
                                <m:endChr m:val=")"/>
                                <m:sepChr m:val=""/>
                                <m:grow/>
                              </m:dPr>
                              <m:e>
                                <m:r>
                                  <m:t>x</m:t>
                                </m:r>
                                <m:r>
                                  <m:rPr>
                                    <m:sty m:val="p"/>
                                  </m:rPr>
                                  <m:t>,</m:t>
                                </m:r>
                                <m:r>
                                  <m:t>E</m:t>
                                </m:r>
                              </m:e>
                            </m:d>
                          </m:e>
                        </m:d>
                      </m:e>
                    </m:d>
                  </m:e>
                </m:d>
                <m:r>
                  <m:rPr>
                    <m:sty m:val="p"/>
                  </m:rPr>
                  <m:t>,</m:t>
                </m:r>
              </m:e>
            </m:mr>
            <m:mr>
              <m:e>
                <m:sSup>
                  <m:e>
                    <m:r>
                      <m:t>h</m:t>
                    </m:r>
                  </m:e>
                  <m:sup>
                    <m:d>
                      <m:dPr>
                        <m:begChr m:val="("/>
                        <m:endChr m:val=")"/>
                        <m:sepChr m:val=""/>
                        <m:grow/>
                      </m:dPr>
                      <m:e>
                        <m:r>
                          <m:t>2</m:t>
                        </m:r>
                      </m:e>
                    </m:d>
                  </m:sup>
                </m:sSup>
                <m:r>
                  <m:rPr>
                    <m:sty m:val="p"/>
                  </m:rPr>
                  <m:t>=</m:t>
                </m:r>
                <m:sSub>
                  <m:e>
                    <m:r>
                      <m:rPr>
                        <m:sty m:val="p"/>
                      </m:rPr>
                      <m:t>D</m:t>
                    </m:r>
                    <m:r>
                      <m:rPr>
                        <m:sty m:val="p"/>
                      </m:rPr>
                      <m:t>r</m:t>
                    </m:r>
                    <m:r>
                      <m:rPr>
                        <m:sty m:val="p"/>
                      </m:rPr>
                      <m:t>o</m:t>
                    </m:r>
                    <m:r>
                      <m:rPr>
                        <m:sty m:val="p"/>
                      </m:rPr>
                      <m:t>p</m:t>
                    </m:r>
                  </m:e>
                  <m:sub>
                    <m:r>
                      <m:t>0.15</m:t>
                    </m:r>
                  </m:sub>
                </m:sSub>
                <m:r>
                  <m:rPr>
                    <m:sty m:val="p"/>
                  </m:rPr>
                  <m:t>(</m:t>
                </m:r>
                <m:r>
                  <m:rPr>
                    <m:sty m:val="p"/>
                  </m:rPr>
                  <m:t>B</m:t>
                </m:r>
                <m:r>
                  <m:rPr>
                    <m:sty m:val="p"/>
                  </m:rPr>
                  <m:t>N</m:t>
                </m:r>
                <m:r>
                  <m:rPr>
                    <m:sty m:val="p"/>
                  </m:rPr>
                  <m:t>(</m:t>
                </m:r>
                <m:sSup>
                  <m:e>
                    <m:r>
                      <m:t>h</m:t>
                    </m:r>
                  </m:e>
                  <m:sup>
                    <m:d>
                      <m:dPr>
                        <m:begChr m:val="("/>
                        <m:endChr m:val=")"/>
                        <m:sepChr m:val=""/>
                        <m:grow/>
                      </m:dPr>
                      <m:e>
                        <m:r>
                          <m:t>1</m:t>
                        </m:r>
                      </m:e>
                    </m:d>
                  </m:sup>
                </m:sSup>
              </m:e>
            </m:mr>
            <m:mr>
              <m:e>
                <m:r>
                  <m:t>  </m:t>
                </m:r>
                <m:r>
                  <m:rPr>
                    <m:sty m:val="p"/>
                  </m:rPr>
                  <m:t>+</m:t>
                </m:r>
                <m:nary>
                  <m:naryPr>
                    <m:chr m:val="∑"/>
                    <m:limLoc m:val="undOvr"/>
                    <m:subHide m:val="off"/>
                    <m:supHide m:val="on"/>
                  </m:naryPr>
                  <m:sub>
                    <m:r>
                      <m:t>m</m:t>
                    </m:r>
                  </m:sub>
                  <m:sup>
                    <m:r>
                      <m:t>​</m:t>
                    </m:r>
                  </m:sup>
                  <m:e>
                    <m:sSub>
                      <m:e>
                        <m:r>
                          <m:t>β</m:t>
                        </m:r>
                      </m:e>
                      <m:sub>
                        <m:r>
                          <m:t>m</m:t>
                        </m:r>
                      </m:sub>
                    </m:sSub>
                  </m:e>
                </m:nary>
                <m:r>
                  <m:t> </m:t>
                </m:r>
                <m:r>
                  <m:rPr>
                    <m:sty m:val="p"/>
                  </m:rPr>
                  <m:t>G</m:t>
                </m:r>
                <m:r>
                  <m:rPr>
                    <m:sty m:val="p"/>
                  </m:rPr>
                  <m:t>E</m:t>
                </m:r>
                <m:r>
                  <m:rPr>
                    <m:sty m:val="p"/>
                  </m:rPr>
                  <m:t>L</m:t>
                </m:r>
                <m:r>
                  <m:rPr>
                    <m:sty m:val="p"/>
                  </m:rPr>
                  <m:t>U</m:t>
                </m:r>
                <m:d>
                  <m:dPr>
                    <m:begChr m:val="("/>
                    <m:endChr m:val=")"/>
                    <m:sepChr m:val=""/>
                    <m:grow/>
                  </m:dPr>
                  <m:e>
                    <m:r>
                      <m:rPr>
                        <m:sty m:val="p"/>
                      </m:rPr>
                      <m:t>B</m:t>
                    </m:r>
                    <m:r>
                      <m:rPr>
                        <m:sty m:val="p"/>
                      </m:rPr>
                      <m:t>N</m:t>
                    </m:r>
                    <m:d>
                      <m:dPr>
                        <m:begChr m:val="("/>
                        <m:endChr m:val=")"/>
                        <m:sepChr m:val=""/>
                        <m:grow/>
                      </m:dPr>
                      <m:e>
                        <m:sSubSup>
                          <m:e>
                            <m:r>
                              <m:t>f</m:t>
                            </m:r>
                          </m:e>
                          <m:sub>
                            <m:r>
                              <m:t>m</m:t>
                            </m:r>
                          </m:sub>
                          <m:sup>
                            <m:d>
                              <m:dPr>
                                <m:begChr m:val="("/>
                                <m:endChr m:val=")"/>
                                <m:sepChr m:val=""/>
                                <m:grow/>
                              </m:dPr>
                              <m:e>
                                <m:r>
                                  <m:t>2</m:t>
                                </m:r>
                              </m:e>
                            </m:d>
                          </m:sup>
                        </m:sSubSup>
                        <m:d>
                          <m:dPr>
                            <m:begChr m:val="("/>
                            <m:endChr m:val=")"/>
                            <m:sepChr m:val=""/>
                            <m:grow/>
                          </m:dPr>
                          <m:e>
                            <m:sSup>
                              <m:e>
                                <m:r>
                                  <m:t>h</m:t>
                                </m:r>
                              </m:e>
                              <m:sup>
                                <m:d>
                                  <m:dPr>
                                    <m:begChr m:val="("/>
                                    <m:endChr m:val=")"/>
                                    <m:sepChr m:val=""/>
                                    <m:grow/>
                                  </m:dPr>
                                  <m:e>
                                    <m:r>
                                      <m:t>1</m:t>
                                    </m:r>
                                  </m:e>
                                </m:d>
                              </m:sup>
                            </m:sSup>
                            <m:r>
                              <m:rPr>
                                <m:sty m:val="p"/>
                              </m:rPr>
                              <m:t>,</m:t>
                            </m:r>
                            <m:r>
                              <m:t>E</m:t>
                            </m:r>
                          </m:e>
                        </m:d>
                      </m:e>
                    </m:d>
                  </m:e>
                </m:d>
                <m:r>
                  <m:rPr>
                    <m:sty m:val="p"/>
                  </m:rPr>
                  <m:t>)</m:t>
                </m:r>
                <m:r>
                  <m:rPr>
                    <m:sty m:val="p"/>
                  </m:rPr>
                  <m:t>)</m:t>
                </m:r>
                <m:r>
                  <m:rPr>
                    <m:sty m:val="p"/>
                  </m:rPr>
                  <m:t>,</m:t>
                </m:r>
              </m:e>
            </m:mr>
          </m:m>
        </m:oMath>
      </m:oMathPara>
    </w:p>
    <w:p>
      <w:pPr>
        <w:pStyle w:val="FirstParagraph"/>
      </w:pPr>
      <w:r>
        <w:t xml:space="preserve">where</w:t>
      </w:r>
      <w:r>
        <w:t xml:space="preserve"> </w:t>
      </w:r>
      <m:oMath>
        <m:r>
          <m:t>m</m:t>
        </m:r>
        <m:r>
          <m:rPr>
            <m:sty m:val="p"/>
          </m:rPr>
          <m:t>∈</m:t>
        </m:r>
        <m:r>
          <m:rPr>
            <m:sty m:val="p"/>
          </m:rPr>
          <m:t>{</m:t>
        </m:r>
        <m:r>
          <m:rPr>
            <m:sty m:val="p"/>
          </m:rPr>
          <m:t>G</m:t>
        </m:r>
        <m:r>
          <m:rPr>
            <m:sty m:val="p"/>
          </m:rPr>
          <m:t>C</m:t>
        </m:r>
        <m:r>
          <m:rPr>
            <m:sty m:val="p"/>
          </m:rPr>
          <m:t>N</m:t>
        </m:r>
        <m:r>
          <m:rPr>
            <m:sty m:val="p"/>
          </m:rPr>
          <m:t>,</m:t>
        </m:r>
        <m:r>
          <m:rPr>
            <m:sty m:val="p"/>
          </m:rPr>
          <m:t>G</m:t>
        </m:r>
        <m:r>
          <m:rPr>
            <m:sty m:val="p"/>
          </m:rPr>
          <m:t>A</m:t>
        </m:r>
        <m:r>
          <m:rPr>
            <m:sty m:val="p"/>
          </m:rPr>
          <m:t>T</m:t>
        </m:r>
        <m:r>
          <m:rPr>
            <m:sty m:val="p"/>
          </m:rPr>
          <m:t>,</m:t>
        </m:r>
        <m:r>
          <m:rPr>
            <m:sty m:val="p"/>
          </m:rPr>
          <m:t>T</m:t>
        </m:r>
        <m:r>
          <m:rPr>
            <m:sty m:val="p"/>
          </m:rPr>
          <m:t>R</m:t>
        </m:r>
        <m:r>
          <m:rPr>
            <m:sty m:val="p"/>
          </m:rPr>
          <m:t>}</m:t>
        </m:r>
      </m:oMath>
      <w:r>
        <w:t xml:space="preserve">,</w:t>
      </w:r>
      <w:r>
        <w:t xml:space="preserve"> </w:t>
      </w:r>
      <m:oMath>
        <m:r>
          <m:t>α</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t>a</m:t>
            </m:r>
          </m:e>
        </m:d>
      </m:oMath>
      <w:r>
        <w:t xml:space="preserve"> </w:t>
      </w:r>
      <w:r>
        <w:t xml:space="preserve">and</w:t>
      </w:r>
      <w:r>
        <w:t xml:space="preserve"> </w:t>
      </w:r>
      <m:oMath>
        <m:r>
          <m:t>β</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t>b</m:t>
            </m:r>
          </m:e>
        </m:d>
      </m:oMath>
      <w:r>
        <w:t xml:space="preserve">. The logits</w:t>
      </w:r>
      <w:r>
        <w:t xml:space="preserve"> </w:t>
      </w:r>
      <m:oMath>
        <m:r>
          <m:t>a</m:t>
        </m:r>
      </m:oMath>
      <w:r>
        <w:t xml:space="preserve"> </w:t>
      </w:r>
      <w:r>
        <w:t xml:space="preserve">and</w:t>
      </w:r>
      <w:r>
        <w:t xml:space="preserve"> </w:t>
      </w:r>
      <m:oMath>
        <m:r>
          <m:t>b</m:t>
        </m:r>
      </m:oMath>
      <w:r>
        <w:t xml:space="preserve"> </w:t>
      </w:r>
      <w:r>
        <w:t xml:space="preserve">start at zero, so each path initially receives a weight of</w:t>
      </w:r>
      <w:r>
        <w:t xml:space="preserve"> </w:t>
      </w:r>
      <m:oMath>
        <m:r>
          <m:t>1</m:t>
        </m:r>
        <m:r>
          <m:rPr>
            <m:sty m:val="p"/>
          </m:rPr>
          <m:t>/</m:t>
        </m:r>
        <m:r>
          <m:t>3</m:t>
        </m:r>
      </m:oMath>
      <w:r>
        <w:t xml:space="preserve">. Mean, max and sum pooling over all nodes are concatenated (</w:t>
      </w:r>
      <m:oMath>
        <m:r>
          <m:t>3</m:t>
        </m:r>
        <m:r>
          <m:rPr>
            <m:sty m:val="p"/>
          </m:rPr>
          <m:t>×</m:t>
        </m:r>
        <m:r>
          <m:t>128</m:t>
        </m:r>
      </m:oMath>
      <w:r>
        <w:t xml:space="preserve">; because every graph has 336 nodes, the sum-pooled vector is a fixed multiple of the mean-pooled one, and it is kept to match the trained models) and projected by a linear layer, BN, GELU and dropout (0.2) to the graph embedding</w:t>
      </w:r>
      <w:r>
        <w:t xml:space="preserve"> </w:t>
      </w:r>
      <m:oMath>
        <m:r>
          <m:t>g</m:t>
        </m:r>
        <m:r>
          <m:rPr>
            <m:sty m:val="p"/>
          </m:rPr>
          <m:t>∈</m:t>
        </m:r>
        <m:sSup>
          <m:e>
            <m:r>
              <m:rPr>
                <m:sty m:val="p"/>
                <m:scr m:val="double-struck"/>
              </m:rPr>
              <m:t>R</m:t>
            </m:r>
          </m:e>
          <m:sup>
            <m:r>
              <m:t>384</m:t>
            </m:r>
          </m:sup>
        </m:sSup>
      </m:oMath>
      <w:r>
        <w:t xml:space="preserve">.</w:t>
      </w:r>
    </w:p>
    <w:bookmarkEnd w:id="42"/>
    <w:bookmarkStart w:id="43" w:name="d.-efficientnet-b3-image-stream"/>
    <w:p>
      <w:pPr>
        <w:pStyle w:val="Heading2"/>
      </w:pPr>
      <w:r>
        <w:t xml:space="preserve">D. EfficientNet-B3 Image Stream</w:t>
      </w:r>
    </w:p>
    <w:p>
      <w:pPr>
        <w:pStyle w:val="FirstParagraph"/>
      </w:pPr>
      <w:r>
        <w:t xml:space="preserve">The image stream is the torchvision EfficientNet-B3 </w:t>
      </w:r>
      <w:hyperlink w:anchor="ref-tan2019efficientnet">
        <w:r>
          <w:rPr>
            <w:rStyle w:val="Hyperlink"/>
          </w:rPr>
          <w:t xml:space="preserve">[14]</w:t>
        </w:r>
      </w:hyperlink>
      <w:r>
        <w:t xml:space="preserve"> </w:t>
      </w:r>
      <w:r>
        <w:t xml:space="preserve">initialised with ImageNet weights, with its classifier removed. It is fine-tuned end to end, with no frozen layers, at</w:t>
      </w:r>
      <w:r>
        <w:t xml:space="preserve"> </w:t>
      </w:r>
      <m:oMath>
        <m:r>
          <m:t>224</m:t>
        </m:r>
        <m:r>
          <m:rPr>
            <m:sty m:val="p"/>
          </m:rPr>
          <m:t>×</m:t>
        </m:r>
        <m:r>
          <m:t>224</m:t>
        </m:r>
      </m:oMath>
      <w:r>
        <w:t xml:space="preserve"> </w:t>
      </w:r>
      <w:r>
        <w:t xml:space="preserve">input rather than the</w:t>
      </w:r>
      <w:r>
        <w:t xml:space="preserve"> </w:t>
      </w:r>
      <m:oMath>
        <m:r>
          <m:t>300</m:t>
        </m:r>
        <m:r>
          <m:rPr>
            <m:sty m:val="p"/>
          </m:rPr>
          <m:t>×</m:t>
        </m:r>
        <m:r>
          <m:t>300</m:t>
        </m:r>
      </m:oMath>
      <w:r>
        <w:t xml:space="preserve"> </w:t>
      </w:r>
      <w:r>
        <w:t xml:space="preserve">resolution used for B3 in </w:t>
      </w:r>
      <w:hyperlink w:anchor="ref-tan2019efficientnet">
        <w:r>
          <w:rPr>
            <w:rStyle w:val="Hyperlink"/>
          </w:rPr>
          <w:t xml:space="preserve">[14]</w:t>
        </w:r>
      </w:hyperlink>
      <w:r>
        <w:t xml:space="preserve">. The 1,536-dimensional pooled feature passes through a projection head: linear</w:t>
      </w:r>
      <w:r>
        <w:t xml:space="preserve"> </w:t>
      </w:r>
      <m:oMath>
        <m:r>
          <m:t>1</m:t>
        </m:r>
        <m:r>
          <m:rPr>
            <m:sty m:val="p"/>
          </m:rPr>
          <m:t>,</m:t>
        </m:r>
        <m:r>
          <m:t>536</m:t>
        </m:r>
        <m:r>
          <m:rPr>
            <m:sty m:val="p"/>
          </m:rPr>
          <m:t>→</m:t>
        </m:r>
        <m:r>
          <m:t>768</m:t>
        </m:r>
      </m:oMath>
      <w:r>
        <w:t xml:space="preserve">, BN, GELU, dropout 0.3, linear</w:t>
      </w:r>
      <w:r>
        <w:t xml:space="preserve"> </w:t>
      </w:r>
      <m:oMath>
        <m:r>
          <m:t>768</m:t>
        </m:r>
        <m:r>
          <m:rPr>
            <m:sty m:val="p"/>
          </m:rPr>
          <m:t>→</m:t>
        </m:r>
        <m:r>
          <m:t>384</m:t>
        </m:r>
      </m:oMath>
      <w:r>
        <w:t xml:space="preserve">, BN, GELU. This gives the image embedding</w:t>
      </w:r>
      <w:r>
        <w:t xml:space="preserve"> </w:t>
      </w:r>
      <m:oMath>
        <m:r>
          <m:t>i</m:t>
        </m:r>
        <m:r>
          <m:rPr>
            <m:sty m:val="p"/>
          </m:rPr>
          <m:t>∈</m:t>
        </m:r>
        <m:sSup>
          <m:e>
            <m:r>
              <m:rPr>
                <m:sty m:val="p"/>
                <m:scr m:val="double-struck"/>
              </m:rPr>
              <m:t>R</m:t>
            </m:r>
          </m:e>
          <m:sup>
            <m:r>
              <m:t>384</m:t>
            </m:r>
          </m:sup>
        </m:sSup>
      </m:oMath>
      <w:r>
        <w:t xml:space="preserve">.</w:t>
      </w:r>
    </w:p>
    <w:bookmarkEnd w:id="43"/>
    <w:bookmarkStart w:id="44" w:name="e.-dynamic-feature-recalibration"/>
    <w:p>
      <w:pPr>
        <w:pStyle w:val="Heading2"/>
      </w:pPr>
      <w:r>
        <w:t xml:space="preserve">E. Dynamic Feature Recalibration</w:t>
      </w:r>
    </w:p>
    <w:p>
      <w:pPr>
        <w:pStyle w:val="FirstParagraph"/>
      </w:pPr>
      <w:r>
        <w:t xml:space="preserve">Three kinds of sigmoid gate rescale the embeddings, in the spirit of squeeze-and-excitation </w:t>
      </w:r>
      <w:hyperlink w:anchor="ref-hu2018senet">
        <w:r>
          <w:rPr>
            <w:rStyle w:val="Hyperlink"/>
          </w:rPr>
          <w:t xml:space="preserve">[19]</w:t>
        </w:r>
      </w:hyperlink>
      <w:r>
        <w:t xml:space="preserve">. Modality gates (</w:t>
      </w:r>
      <m:oMath>
        <m:r>
          <m:t>384</m:t>
        </m:r>
        <m:r>
          <m:rPr>
            <m:sty m:val="p"/>
          </m:rPr>
          <m:t>→</m:t>
        </m:r>
        <m:r>
          <m:t>24</m:t>
        </m:r>
        <m:r>
          <m:rPr>
            <m:sty m:val="p"/>
          </m:rPr>
          <m:t>→</m:t>
        </m:r>
        <m:r>
          <m:t>384</m:t>
        </m:r>
      </m:oMath>
      <w:r>
        <w:t xml:space="preserve"> </w:t>
      </w:r>
      <w:r>
        <w:t xml:space="preserve">with GELU) rescale each embedding. A shared gate (</w:t>
      </w:r>
      <m:oMath>
        <m:r>
          <m:t>384</m:t>
        </m:r>
        <m:r>
          <m:rPr>
            <m:sty m:val="p"/>
          </m:rPr>
          <m:t>→</m:t>
        </m:r>
        <m:r>
          <m:t>96</m:t>
        </m:r>
        <m:r>
          <m:rPr>
            <m:sty m:val="p"/>
          </m:rPr>
          <m:t>→</m:t>
        </m:r>
        <m:r>
          <m:t>384</m:t>
        </m:r>
      </m:oMath>
      <w:r>
        <w:t xml:space="preserve"> </w:t>
      </w:r>
      <w:r>
        <w:t xml:space="preserve">with LayerNorm and GELU) applies to both. A cross-modal gate (</w:t>
      </w:r>
      <m:oMath>
        <m:r>
          <m:t>768</m:t>
        </m:r>
        <m:r>
          <m:rPr>
            <m:sty m:val="p"/>
          </m:rPr>
          <m:t>→</m:t>
        </m:r>
        <m:r>
          <m:t>384</m:t>
        </m:r>
        <m:r>
          <m:rPr>
            <m:sty m:val="p"/>
          </m:rPr>
          <m:t>→</m:t>
        </m:r>
        <m:r>
          <m:t>384</m:t>
        </m:r>
      </m:oMath>
      <w:r>
        <w:t xml:space="preserve"> </w:t>
      </w:r>
      <w:r>
        <w:t xml:space="preserve">with LayerNorm and GELU) produces one mask from the concatenated pair. With</w:t>
      </w:r>
      <w:r>
        <w:t xml:space="preserve"> </w:t>
      </w:r>
      <m:oMath>
        <m:r>
          <m:rPr>
            <m:sty m:val="p"/>
          </m:rPr>
          <m:t>⊙</m:t>
        </m:r>
      </m:oMath>
      <w:r>
        <w:t xml:space="preserve"> </w:t>
      </w:r>
      <w:r>
        <w:t xml:space="preserve">for element-wise multiplication and LN for layer normalisation:</w:t>
      </w:r>
    </w:p>
    <w:p>
      <w:pPr>
        <w:pStyle w:val="BodyText"/>
      </w:pPr>
      <m:oMathPara>
        <m:oMathParaPr>
          <m:jc m:val="center"/>
        </m:oMathParaPr>
        <m:oMath>
          <m:m>
            <m:mPr>
              <m:baseJc m:val="center"/>
              <m:plcHide m:val="on"/>
              <m:mcs>
                <m:mc>
                  <m:mcPr>
                    <m:mcJc m:val="center"/>
                    <m:count m:val="1"/>
                  </m:mcPr>
                </m:mc>
              </m:mcs>
            </m:mPr>
            <m:mr>
              <m:e>
                <m:sSub>
                  <m:e>
                    <m:r>
                      <m:t>g</m:t>
                    </m:r>
                  </m:e>
                  <m:sub>
                    <m:r>
                      <m:t>c</m:t>
                    </m:r>
                  </m:sub>
                </m:sSub>
                <m:r>
                  <m:rPr>
                    <m:sty m:val="p"/>
                  </m:rPr>
                  <m:t>=</m:t>
                </m:r>
                <m:r>
                  <m:t>g</m:t>
                </m:r>
                <m:r>
                  <m:rPr>
                    <m:sty m:val="p"/>
                  </m:rPr>
                  <m:t>⊙</m:t>
                </m:r>
                <m:r>
                  <m:t>σ</m:t>
                </m:r>
                <m:d>
                  <m:dPr>
                    <m:begChr m:val="("/>
                    <m:endChr m:val=")"/>
                    <m:sepChr m:val=""/>
                    <m:grow/>
                  </m:dPr>
                  <m:e>
                    <m:sSub>
                      <m:e>
                        <m:r>
                          <m:t>M</m:t>
                        </m:r>
                      </m:e>
                      <m:sub>
                        <m:r>
                          <m:t>g</m:t>
                        </m:r>
                      </m:sub>
                    </m:sSub>
                    <m:d>
                      <m:dPr>
                        <m:begChr m:val="("/>
                        <m:endChr m:val=")"/>
                        <m:sepChr m:val=""/>
                        <m:grow/>
                      </m:dPr>
                      <m:e>
                        <m:r>
                          <m:t>g</m:t>
                        </m:r>
                      </m:e>
                    </m:d>
                  </m:e>
                </m:d>
                <m:r>
                  <m:rPr>
                    <m:sty m:val="p"/>
                  </m:rPr>
                  <m:t>,</m:t>
                </m:r>
                <m:r>
                  <m:t>  </m:t>
                </m:r>
                <m:sSub>
                  <m:e>
                    <m:r>
                      <m:t>i</m:t>
                    </m:r>
                  </m:e>
                  <m:sub>
                    <m:r>
                      <m:t>c</m:t>
                    </m:r>
                  </m:sub>
                </m:sSub>
                <m:r>
                  <m:rPr>
                    <m:sty m:val="p"/>
                  </m:rPr>
                  <m:t>=</m:t>
                </m:r>
                <m:r>
                  <m:t>i</m:t>
                </m:r>
                <m:r>
                  <m:rPr>
                    <m:sty m:val="p"/>
                  </m:rPr>
                  <m:t>⊙</m:t>
                </m:r>
                <m:r>
                  <m:t>σ</m:t>
                </m:r>
                <m:d>
                  <m:dPr>
                    <m:begChr m:val="("/>
                    <m:endChr m:val=")"/>
                    <m:sepChr m:val=""/>
                    <m:grow/>
                  </m:dPr>
                  <m:e>
                    <m:sSub>
                      <m:e>
                        <m:r>
                          <m:t>M</m:t>
                        </m:r>
                      </m:e>
                      <m:sub>
                        <m:r>
                          <m:t>i</m:t>
                        </m:r>
                      </m:sub>
                    </m:sSub>
                    <m:d>
                      <m:dPr>
                        <m:begChr m:val="("/>
                        <m:endChr m:val=")"/>
                        <m:sepChr m:val=""/>
                        <m:grow/>
                      </m:dPr>
                      <m:e>
                        <m:r>
                          <m:t>i</m:t>
                        </m:r>
                      </m:e>
                    </m:d>
                  </m:e>
                </m:d>
                <m:r>
                  <m:rPr>
                    <m:sty m:val="p"/>
                  </m:rPr>
                  <m:t>,</m:t>
                </m:r>
              </m:e>
            </m:mr>
            <m:mr>
              <m:e>
                <m:sSub>
                  <m:e>
                    <m:r>
                      <m:t>g</m:t>
                    </m:r>
                  </m:e>
                  <m:sub>
                    <m:r>
                      <m:t>s</m:t>
                    </m:r>
                  </m:sub>
                </m:sSub>
                <m:r>
                  <m:rPr>
                    <m:sty m:val="p"/>
                  </m:rPr>
                  <m:t>=</m:t>
                </m:r>
                <m:sSub>
                  <m:e>
                    <m:r>
                      <m:t>g</m:t>
                    </m:r>
                  </m:e>
                  <m:sub>
                    <m:r>
                      <m:t>c</m:t>
                    </m:r>
                  </m:sub>
                </m:sSub>
                <m:r>
                  <m:rPr>
                    <m:sty m:val="p"/>
                  </m:rPr>
                  <m:t>⊙</m:t>
                </m:r>
                <m:r>
                  <m:t>σ</m:t>
                </m:r>
                <m:d>
                  <m:dPr>
                    <m:begChr m:val="("/>
                    <m:endChr m:val=")"/>
                    <m:sepChr m:val=""/>
                    <m:grow/>
                  </m:dPr>
                  <m:e>
                    <m:sSub>
                      <m:e>
                        <m:r>
                          <m:t>M</m:t>
                        </m:r>
                      </m:e>
                      <m:sub>
                        <m:r>
                          <m:t>s</m:t>
                        </m:r>
                      </m:sub>
                    </m:sSub>
                    <m:d>
                      <m:dPr>
                        <m:begChr m:val="("/>
                        <m:endChr m:val=")"/>
                        <m:sepChr m:val=""/>
                        <m:grow/>
                      </m:dPr>
                      <m:e>
                        <m:sSub>
                          <m:e>
                            <m:r>
                              <m:t>g</m:t>
                            </m:r>
                          </m:e>
                          <m:sub>
                            <m:r>
                              <m:t>c</m:t>
                            </m:r>
                          </m:sub>
                        </m:sSub>
                      </m:e>
                    </m:d>
                  </m:e>
                </m:d>
                <m:r>
                  <m:rPr>
                    <m:sty m:val="p"/>
                  </m:rPr>
                  <m:t>,</m:t>
                </m:r>
                <m:r>
                  <m:t>  </m:t>
                </m:r>
                <m:sSub>
                  <m:e>
                    <m:r>
                      <m:t>i</m:t>
                    </m:r>
                  </m:e>
                  <m:sub>
                    <m:r>
                      <m:t>s</m:t>
                    </m:r>
                  </m:sub>
                </m:sSub>
                <m:r>
                  <m:rPr>
                    <m:sty m:val="p"/>
                  </m:rPr>
                  <m:t>=</m:t>
                </m:r>
                <m:sSub>
                  <m:e>
                    <m:r>
                      <m:t>i</m:t>
                    </m:r>
                  </m:e>
                  <m:sub>
                    <m:r>
                      <m:t>c</m:t>
                    </m:r>
                  </m:sub>
                </m:sSub>
                <m:r>
                  <m:rPr>
                    <m:sty m:val="p"/>
                  </m:rPr>
                  <m:t>⊙</m:t>
                </m:r>
                <m:r>
                  <m:t>σ</m:t>
                </m:r>
                <m:d>
                  <m:dPr>
                    <m:begChr m:val="("/>
                    <m:endChr m:val=")"/>
                    <m:sepChr m:val=""/>
                    <m:grow/>
                  </m:dPr>
                  <m:e>
                    <m:sSub>
                      <m:e>
                        <m:r>
                          <m:t>M</m:t>
                        </m:r>
                      </m:e>
                      <m:sub>
                        <m:r>
                          <m:t>s</m:t>
                        </m:r>
                      </m:sub>
                    </m:sSub>
                    <m:d>
                      <m:dPr>
                        <m:begChr m:val="("/>
                        <m:endChr m:val=")"/>
                        <m:sepChr m:val=""/>
                        <m:grow/>
                      </m:dPr>
                      <m:e>
                        <m:sSub>
                          <m:e>
                            <m:r>
                              <m:t>i</m:t>
                            </m:r>
                          </m:e>
                          <m:sub>
                            <m:r>
                              <m:t>c</m:t>
                            </m:r>
                          </m:sub>
                        </m:sSub>
                      </m:e>
                    </m:d>
                  </m:e>
                </m:d>
                <m:r>
                  <m:rPr>
                    <m:sty m:val="p"/>
                  </m:rPr>
                  <m:t>,</m:t>
                </m:r>
              </m:e>
            </m:mr>
            <m:mr>
              <m:e>
                <m:r>
                  <m:t>m</m:t>
                </m:r>
                <m:r>
                  <m:rPr>
                    <m:sty m:val="p"/>
                  </m:rPr>
                  <m:t>=</m:t>
                </m:r>
                <m:r>
                  <m:t>σ</m:t>
                </m:r>
                <m:d>
                  <m:dPr>
                    <m:begChr m:val="("/>
                    <m:endChr m:val=")"/>
                    <m:sepChr m:val=""/>
                    <m:grow/>
                  </m:dPr>
                  <m:e>
                    <m:sSub>
                      <m:e>
                        <m:r>
                          <m:t>M</m:t>
                        </m:r>
                      </m:e>
                      <m:sub>
                        <m:r>
                          <m:t>c</m:t>
                        </m:r>
                      </m:sub>
                    </m:sSub>
                    <m:d>
                      <m:dPr>
                        <m:begChr m:val="("/>
                        <m:endChr m:val=")"/>
                        <m:sepChr m:val=""/>
                        <m:grow/>
                      </m:dPr>
                      <m:e>
                        <m:d>
                          <m:dPr>
                            <m:begChr m:val="["/>
                            <m:endChr m:val="]"/>
                            <m:sepChr m:val=""/>
                            <m:grow/>
                          </m:dPr>
                          <m:e>
                            <m:r>
                              <m:t> </m:t>
                            </m:r>
                            <m:sSub>
                              <m:e>
                                <m:r>
                                  <m:t>g</m:t>
                                </m:r>
                              </m:e>
                              <m:sub>
                                <m:r>
                                  <m:t>s</m:t>
                                </m:r>
                              </m:sub>
                            </m:sSub>
                            <m:r>
                              <m:t> </m:t>
                            </m:r>
                            <m:r>
                              <m:rPr>
                                <m:sty m:val="p"/>
                              </m:rPr>
                              <m:t>∥</m:t>
                            </m:r>
                            <m:r>
                              <m:t> </m:t>
                            </m:r>
                            <m:sSub>
                              <m:e>
                                <m:r>
                                  <m:t>i</m:t>
                                </m:r>
                              </m:e>
                              <m:sub>
                                <m:r>
                                  <m:t>s</m:t>
                                </m:r>
                              </m:sub>
                            </m:sSub>
                            <m:r>
                              <m:t> </m:t>
                            </m:r>
                          </m:e>
                        </m:d>
                      </m:e>
                    </m:d>
                  </m:e>
                </m:d>
                <m:r>
                  <m:rPr>
                    <m:sty m:val="p"/>
                  </m:rPr>
                  <m:t>,</m:t>
                </m:r>
              </m:e>
            </m:mr>
            <m:mr>
              <m:e>
                <m:sSub>
                  <m:e>
                    <m:r>
                      <m:t>g</m:t>
                    </m:r>
                  </m:e>
                  <m:sub>
                    <m:r>
                      <m:t>r</m:t>
                    </m:r>
                  </m:sub>
                </m:sSub>
                <m:r>
                  <m:rPr>
                    <m:sty m:val="p"/>
                  </m:rPr>
                  <m:t>=</m:t>
                </m:r>
                <m:r>
                  <m:rPr>
                    <m:sty m:val="p"/>
                  </m:rPr>
                  <m:t>L</m:t>
                </m:r>
                <m:r>
                  <m:rPr>
                    <m:sty m:val="p"/>
                  </m:rPr>
                  <m:t>N</m:t>
                </m:r>
                <m:d>
                  <m:dPr>
                    <m:begChr m:val="("/>
                    <m:endChr m:val=")"/>
                    <m:sepChr m:val=""/>
                    <m:grow/>
                  </m:dPr>
                  <m:e>
                    <m:sSub>
                      <m:e>
                        <m:r>
                          <m:t>g</m:t>
                        </m:r>
                      </m:e>
                      <m:sub>
                        <m:r>
                          <m:t>s</m:t>
                        </m:r>
                      </m:sub>
                    </m:sSub>
                    <m:r>
                      <m:rPr>
                        <m:sty m:val="p"/>
                      </m:rPr>
                      <m:t>⊙</m:t>
                    </m:r>
                    <m:r>
                      <m:t>m</m:t>
                    </m:r>
                    <m:r>
                      <m:rPr>
                        <m:sty m:val="p"/>
                      </m:rPr>
                      <m:t>+</m:t>
                    </m:r>
                    <m:r>
                      <m:t>g</m:t>
                    </m:r>
                  </m:e>
                </m:d>
                <m:r>
                  <m:rPr>
                    <m:sty m:val="p"/>
                  </m:rPr>
                  <m:t>,</m:t>
                </m:r>
                <m:r>
                  <m:t>  </m:t>
                </m:r>
                <m:sSub>
                  <m:e>
                    <m:r>
                      <m:t>i</m:t>
                    </m:r>
                  </m:e>
                  <m:sub>
                    <m:r>
                      <m:t>r</m:t>
                    </m:r>
                  </m:sub>
                </m:sSub>
                <m:r>
                  <m:rPr>
                    <m:sty m:val="p"/>
                  </m:rPr>
                  <m:t>=</m:t>
                </m:r>
                <m:r>
                  <m:rPr>
                    <m:sty m:val="p"/>
                  </m:rPr>
                  <m:t>L</m:t>
                </m:r>
                <m:r>
                  <m:rPr>
                    <m:sty m:val="p"/>
                  </m:rPr>
                  <m:t>N</m:t>
                </m:r>
                <m:d>
                  <m:dPr>
                    <m:begChr m:val="("/>
                    <m:endChr m:val=")"/>
                    <m:sepChr m:val=""/>
                    <m:grow/>
                  </m:dPr>
                  <m:e>
                    <m:sSub>
                      <m:e>
                        <m:r>
                          <m:t>i</m:t>
                        </m:r>
                      </m:e>
                      <m:sub>
                        <m:r>
                          <m:t>s</m:t>
                        </m:r>
                      </m:sub>
                    </m:sSub>
                    <m:r>
                      <m:rPr>
                        <m:sty m:val="p"/>
                      </m:rPr>
                      <m:t>⊙</m:t>
                    </m:r>
                    <m:r>
                      <m:t>m</m:t>
                    </m:r>
                    <m:r>
                      <m:rPr>
                        <m:sty m:val="p"/>
                      </m:rPr>
                      <m:t>+</m:t>
                    </m:r>
                    <m:r>
                      <m:t>i</m:t>
                    </m:r>
                  </m:e>
                </m:d>
                <m:r>
                  <m:rPr>
                    <m:sty m:val="p"/>
                  </m:rPr>
                  <m:t>.</m:t>
                </m:r>
              </m:e>
            </m:mr>
          </m:m>
        </m:oMath>
      </m:oMathPara>
    </w:p>
    <w:bookmarkEnd w:id="44"/>
    <w:bookmarkStart w:id="45" w:name="f.-two-token-cross-modal-transformer"/>
    <w:p>
      <w:pPr>
        <w:pStyle w:val="Heading2"/>
      </w:pPr>
      <w:r>
        <w:t xml:space="preserve">F. Two-Token Cross-Modal Transformer</w:t>
      </w:r>
    </w:p>
    <w:p>
      <w:pPr>
        <w:pStyle w:val="FirstParagraph"/>
      </w:pPr>
      <w:r>
        <w:t xml:space="preserve">The recalibrated vectors are stacked as a two-token sequence</w:t>
      </w:r>
      <w:r>
        <w:t xml:space="preserve"> </w:t>
      </w:r>
      <m:oMath>
        <m:sSub>
          <m:e>
            <m:r>
              <m:t>X</m:t>
            </m:r>
          </m:e>
          <m:sub>
            <m:r>
              <m:t>0</m:t>
            </m:r>
          </m:sub>
        </m:sSub>
        <m:r>
          <m:rPr>
            <m:sty m:val="p"/>
          </m:rPr>
          <m:t>∈</m:t>
        </m:r>
        <m:sSup>
          <m:e>
            <m:r>
              <m:rPr>
                <m:sty m:val="p"/>
                <m:scr m:val="double-struck"/>
              </m:rPr>
              <m:t>R</m:t>
            </m:r>
          </m:e>
          <m:sup>
            <m:r>
              <m:t>2</m:t>
            </m:r>
            <m:r>
              <m:rPr>
                <m:sty m:val="p"/>
              </m:rPr>
              <m:t>×</m:t>
            </m:r>
            <m:r>
              <m:t>384</m:t>
            </m:r>
          </m:sup>
        </m:sSup>
      </m:oMath>
      <w:r>
        <w:t xml:space="preserve">, and a learnable modality embedding (initialised from</w:t>
      </w:r>
      <w:r>
        <w:t xml:space="preserve"> </w:t>
      </w:r>
      <m:oMath>
        <m:r>
          <m:rPr>
            <m:sty m:val="p"/>
            <m:scr m:val="script"/>
          </m:rPr>
          <m:t>N</m:t>
        </m:r>
        <m:d>
          <m:dPr>
            <m:begChr m:val="("/>
            <m:endChr m:val=")"/>
            <m:sepChr m:val=""/>
            <m:grow/>
          </m:dPr>
          <m:e>
            <m:r>
              <m:t>0</m:t>
            </m:r>
            <m:r>
              <m:rPr>
                <m:sty m:val="p"/>
              </m:rPr>
              <m:t>,</m:t>
            </m:r>
            <m:sSup>
              <m:e>
                <m:r>
                  <m:t>0.02</m:t>
                </m:r>
              </m:e>
              <m:sup>
                <m:r>
                  <m:t>2</m:t>
                </m:r>
              </m:sup>
            </m:sSup>
          </m:e>
        </m:d>
      </m:oMath>
      <w:r>
        <w:t xml:space="preserve">) is added. Three post-norm transformer blocks </w:t>
      </w:r>
      <w:hyperlink w:anchor="ref-vaswani2017attention">
        <w:r>
          <w:rPr>
            <w:rStyle w:val="Hyperlink"/>
          </w:rPr>
          <w:t xml:space="preserve">[20]</w:t>
        </w:r>
      </w:hyperlink>
      <w:r>
        <w:t xml:space="preserve"> </w:t>
      </w:r>
      <w:r>
        <w:t xml:space="preserve">follow, each with eight-head self-attention, a feed-forward network</w:t>
      </w:r>
      <w:r>
        <w:t xml:space="preserve"> </w:t>
      </w:r>
      <m:oMath>
        <m:r>
          <m:t>384</m:t>
        </m:r>
        <m:r>
          <m:rPr>
            <m:sty m:val="p"/>
          </m:rPr>
          <m:t>→</m:t>
        </m:r>
        <m:r>
          <m:t>1</m:t>
        </m:r>
        <m:r>
          <m:rPr>
            <m:sty m:val="p"/>
          </m:rPr>
          <m:t>,</m:t>
        </m:r>
        <m:r>
          <m:t>536</m:t>
        </m:r>
        <m:r>
          <m:rPr>
            <m:sty m:val="p"/>
          </m:rPr>
          <m:t>→</m:t>
        </m:r>
        <m:r>
          <m:t>384</m:t>
        </m:r>
      </m:oMath>
      <w:r>
        <w:t xml:space="preserve"> </w:t>
      </w:r>
      <w:r>
        <w:t xml:space="preserve">with GELU, and dropout 0.05:</w:t>
      </w:r>
    </w:p>
    <w:p>
      <w:pPr>
        <w:pStyle w:val="BodyText"/>
      </w:pPr>
      <m:oMathPara>
        <m:oMathParaPr>
          <m:jc m:val="center"/>
        </m:oMathParaPr>
        <m:oMath>
          <m:m>
            <m:mPr>
              <m:baseJc m:val="center"/>
              <m:plcHide m:val="on"/>
              <m:mcs>
                <m:mc>
                  <m:mcPr>
                    <m:mcJc m:val="center"/>
                    <m:count m:val="1"/>
                  </m:mcPr>
                </m:mc>
              </m:mcs>
            </m:mPr>
            <m:mr>
              <m:e>
                <m:sSub>
                  <m:e>
                    <m:acc>
                      <m:accPr>
                        <m:chr m:val="̃"/>
                      </m:accPr>
                      <m:e>
                        <m:r>
                          <m:t>X</m:t>
                        </m:r>
                      </m:e>
                    </m:acc>
                  </m:e>
                  <m:sub>
                    <m:r>
                      <m:t>l</m:t>
                    </m:r>
                  </m:sub>
                </m:sSub>
                <m:r>
                  <m:rPr>
                    <m:sty m:val="p"/>
                  </m:rPr>
                  <m:t>=</m:t>
                </m:r>
                <m:r>
                  <m:rPr>
                    <m:sty m:val="p"/>
                  </m:rPr>
                  <m:t>L</m:t>
                </m:r>
                <m:r>
                  <m:rPr>
                    <m:sty m:val="p"/>
                  </m:rPr>
                  <m:t>N</m:t>
                </m:r>
                <m:d>
                  <m:dPr>
                    <m:begChr m:val="("/>
                    <m:endChr m:val=")"/>
                    <m:sepChr m:val=""/>
                    <m:grow/>
                  </m:dPr>
                  <m:e>
                    <m:sSub>
                      <m:e>
                        <m:r>
                          <m:t>X</m:t>
                        </m:r>
                      </m:e>
                      <m:sub>
                        <m:r>
                          <m:t>l</m:t>
                        </m:r>
                        <m:r>
                          <m:rPr>
                            <m:sty m:val="p"/>
                          </m:rPr>
                          <m:t>−</m:t>
                        </m:r>
                        <m:r>
                          <m:t>1</m:t>
                        </m:r>
                      </m:sub>
                    </m:sSub>
                    <m:r>
                      <m:rPr>
                        <m:sty m:val="p"/>
                      </m:rPr>
                      <m:t>+</m:t>
                    </m:r>
                    <m:r>
                      <m:rPr>
                        <m:sty m:val="p"/>
                      </m:rPr>
                      <m:t>M</m:t>
                    </m:r>
                    <m:r>
                      <m:rPr>
                        <m:sty m:val="p"/>
                      </m:rPr>
                      <m:t>H</m:t>
                    </m:r>
                    <m:r>
                      <m:rPr>
                        <m:sty m:val="p"/>
                      </m:rPr>
                      <m:t>A</m:t>
                    </m:r>
                    <m:d>
                      <m:dPr>
                        <m:begChr m:val="("/>
                        <m:endChr m:val=")"/>
                        <m:sepChr m:val=""/>
                        <m:grow/>
                      </m:dPr>
                      <m:e>
                        <m:sSub>
                          <m:e>
                            <m:r>
                              <m:t>X</m:t>
                            </m:r>
                          </m:e>
                          <m:sub>
                            <m:r>
                              <m:t>l</m:t>
                            </m:r>
                            <m:r>
                              <m:rPr>
                                <m:sty m:val="p"/>
                              </m:rPr>
                              <m:t>−</m:t>
                            </m:r>
                            <m:r>
                              <m:t>1</m:t>
                            </m:r>
                          </m:sub>
                        </m:sSub>
                        <m:r>
                          <m:rPr>
                            <m:sty m:val="p"/>
                          </m:rPr>
                          <m:t>,</m:t>
                        </m:r>
                        <m:sSub>
                          <m:e>
                            <m:r>
                              <m:t>X</m:t>
                            </m:r>
                          </m:e>
                          <m:sub>
                            <m:r>
                              <m:t>l</m:t>
                            </m:r>
                            <m:r>
                              <m:rPr>
                                <m:sty m:val="p"/>
                              </m:rPr>
                              <m:t>−</m:t>
                            </m:r>
                            <m:r>
                              <m:t>1</m:t>
                            </m:r>
                          </m:sub>
                        </m:sSub>
                        <m:r>
                          <m:rPr>
                            <m:sty m:val="p"/>
                          </m:rPr>
                          <m:t>,</m:t>
                        </m:r>
                        <m:sSub>
                          <m:e>
                            <m:r>
                              <m:t>X</m:t>
                            </m:r>
                          </m:e>
                          <m:sub>
                            <m:r>
                              <m:t>l</m:t>
                            </m:r>
                            <m:r>
                              <m:rPr>
                                <m:sty m:val="p"/>
                              </m:rPr>
                              <m:t>−</m:t>
                            </m:r>
                            <m:r>
                              <m:t>1</m:t>
                            </m:r>
                          </m:sub>
                        </m:sSub>
                      </m:e>
                    </m:d>
                  </m:e>
                </m:d>
                <m:r>
                  <m:rPr>
                    <m:sty m:val="p"/>
                  </m:rPr>
                  <m:t>,</m:t>
                </m:r>
              </m:e>
            </m:mr>
            <m:mr>
              <m:e>
                <m:sSub>
                  <m:e>
                    <m:r>
                      <m:t>X</m:t>
                    </m:r>
                  </m:e>
                  <m:sub>
                    <m:r>
                      <m:t>l</m:t>
                    </m:r>
                  </m:sub>
                </m:sSub>
                <m:r>
                  <m:rPr>
                    <m:sty m:val="p"/>
                  </m:rPr>
                  <m:t>=</m:t>
                </m:r>
                <m:r>
                  <m:rPr>
                    <m:sty m:val="p"/>
                  </m:rPr>
                  <m:t>L</m:t>
                </m:r>
                <m:r>
                  <m:rPr>
                    <m:sty m:val="p"/>
                  </m:rPr>
                  <m:t>N</m:t>
                </m:r>
                <m:d>
                  <m:dPr>
                    <m:begChr m:val="("/>
                    <m:endChr m:val=")"/>
                    <m:sepChr m:val=""/>
                    <m:grow/>
                  </m:dPr>
                  <m:e>
                    <m:sSub>
                      <m:e>
                        <m:acc>
                          <m:accPr>
                            <m:chr m:val="̃"/>
                          </m:accPr>
                          <m:e>
                            <m:r>
                              <m:t>X</m:t>
                            </m:r>
                          </m:e>
                        </m:acc>
                      </m:e>
                      <m:sub>
                        <m:r>
                          <m:t>l</m:t>
                        </m:r>
                      </m:sub>
                    </m:sSub>
                    <m:r>
                      <m:rPr>
                        <m:sty m:val="p"/>
                      </m:rPr>
                      <m:t>+</m:t>
                    </m:r>
                    <m:r>
                      <m:rPr>
                        <m:sty m:val="p"/>
                      </m:rPr>
                      <m:t>F</m:t>
                    </m:r>
                    <m:r>
                      <m:rPr>
                        <m:sty m:val="p"/>
                      </m:rPr>
                      <m:t>F</m:t>
                    </m:r>
                    <m:r>
                      <m:rPr>
                        <m:sty m:val="p"/>
                      </m:rPr>
                      <m:t>N</m:t>
                    </m:r>
                    <m:d>
                      <m:dPr>
                        <m:begChr m:val="("/>
                        <m:endChr m:val=")"/>
                        <m:sepChr m:val=""/>
                        <m:grow/>
                      </m:dPr>
                      <m:e>
                        <m:sSub>
                          <m:e>
                            <m:acc>
                              <m:accPr>
                                <m:chr m:val="̃"/>
                              </m:accPr>
                              <m:e>
                                <m:r>
                                  <m:t>X</m:t>
                                </m:r>
                              </m:e>
                            </m:acc>
                          </m:e>
                          <m:sub>
                            <m:r>
                              <m:t>l</m:t>
                            </m:r>
                          </m:sub>
                        </m:sSub>
                      </m:e>
                    </m:d>
                  </m:e>
                </m:d>
                <m:r>
                  <m:rPr>
                    <m:sty m:val="p"/>
                  </m:rPr>
                  <m:t>.</m:t>
                </m:r>
              </m:e>
            </m:mr>
          </m:m>
        </m:oMath>
      </m:oMathPara>
    </w:p>
    <w:p>
      <w:pPr>
        <w:pStyle w:val="FirstParagraph"/>
      </w:pPr>
      <w:r>
        <w:t xml:space="preserve">The first output token is the refined graph vector</w:t>
      </w:r>
      <w:r>
        <w:t xml:space="preserve"> </w:t>
      </w:r>
      <m:oMath>
        <m:sSub>
          <m:e>
            <m:r>
              <m:t>z</m:t>
            </m:r>
          </m:e>
          <m:sub>
            <m:r>
              <m:t>g</m:t>
            </m:r>
          </m:sub>
        </m:sSub>
      </m:oMath>
      <w:r>
        <w:t xml:space="preserve"> </w:t>
      </w:r>
      <w:r>
        <w:t xml:space="preserve">and the second the refined image vector</w:t>
      </w:r>
      <w:r>
        <w:t xml:space="preserve"> </w:t>
      </w:r>
      <m:oMath>
        <m:sSub>
          <m:e>
            <m:r>
              <m:t>z</m:t>
            </m:r>
          </m:e>
          <m:sub>
            <m:r>
              <m:t>i</m:t>
            </m:r>
          </m:sub>
        </m:sSub>
      </m:oMath>
      <w:r>
        <w:t xml:space="preserve">. With two tokens, each head’s attention is a</w:t>
      </w:r>
      <w:r>
        <w:t xml:space="preserve"> </w:t>
      </w:r>
      <m:oMath>
        <m:r>
          <m:t>2</m:t>
        </m:r>
        <m:r>
          <m:rPr>
            <m:sty m:val="p"/>
          </m:rPr>
          <m:t>×</m:t>
        </m:r>
        <m:r>
          <m:t>2</m:t>
        </m:r>
      </m:oMath>
      <w:r>
        <w:t xml:space="preserve"> </w:t>
      </w:r>
      <w:r>
        <w:t xml:space="preserve">weighting between the modalities.</w:t>
      </w:r>
    </w:p>
    <w:bookmarkEnd w:id="45"/>
    <w:bookmarkStart w:id="46" w:name="g.-mc-dropout-uncertainty-guided-gating"/>
    <w:p>
      <w:pPr>
        <w:pStyle w:val="Heading2"/>
      </w:pPr>
      <w:r>
        <w:t xml:space="preserve">G. MC-Dropout Uncertainty-Guided Gating</w:t>
      </w:r>
    </w:p>
    <w:p>
      <w:pPr>
        <w:pStyle w:val="FirstParagraph"/>
      </w:pPr>
      <w:r>
        <w:t xml:space="preserve">Each modality has an auxiliary head</w:t>
      </w:r>
      <w:r>
        <w:t xml:space="preserve"> </w:t>
      </w:r>
      <m:oMath>
        <m:sSub>
          <m:e>
            <m:r>
              <m:t>H</m:t>
            </m:r>
          </m:e>
          <m:sub>
            <m:r>
              <m:t>m</m:t>
            </m:r>
          </m:sub>
        </m:sSub>
      </m:oMath>
      <w:r>
        <w:t xml:space="preserve"> </w:t>
      </w:r>
      <w:r>
        <w:t xml:space="preserve">(</w:t>
      </w:r>
      <m:oMath>
        <m:r>
          <m:t>384</m:t>
        </m:r>
        <m:r>
          <m:rPr>
            <m:sty m:val="p"/>
          </m:rPr>
          <m:t>→</m:t>
        </m:r>
        <m:r>
          <m:t>192</m:t>
        </m:r>
        <m:r>
          <m:rPr>
            <m:sty m:val="p"/>
          </m:rPr>
          <m:t>→</m:t>
        </m:r>
        <m:r>
          <m:t>4</m:t>
        </m:r>
      </m:oMath>
      <w:r>
        <w:t xml:space="preserve"> </w:t>
      </w:r>
      <w:r>
        <w:t xml:space="preserve">with GELU). To estimate how stable each head’s prediction is, the embedding is replicated</w:t>
      </w:r>
      <w:r>
        <w:t xml:space="preserve"> </w:t>
      </w:r>
      <m:oMath>
        <m:r>
          <m:t>T</m:t>
        </m:r>
        <m:r>
          <m:rPr>
            <m:sty m:val="p"/>
          </m:rPr>
          <m:t>=</m:t>
        </m:r>
        <m:r>
          <m:t>20</m:t>
        </m:r>
      </m:oMath>
      <w:r>
        <w:t xml:space="preserve"> </w:t>
      </w:r>
      <w:r>
        <w:t xml:space="preserve">times and passed through dropout with</w:t>
      </w:r>
      <w:r>
        <w:t xml:space="preserve"> </w:t>
      </w:r>
      <m:oMath>
        <m:r>
          <m:t>p</m:t>
        </m:r>
        <m:r>
          <m:rPr>
            <m:sty m:val="p"/>
          </m:rPr>
          <m:t>=</m:t>
        </m:r>
        <m:r>
          <m:t>0.20</m:t>
        </m:r>
      </m:oMath>
      <w:r>
        <w:t xml:space="preserve">, which stays active at inference. The per-modality uncertainty is the class-averaged variance of the sampled probabilities </w:t>
      </w:r>
      <w:hyperlink w:anchor="ref-gal2016dropout">
        <w:r>
          <w:rPr>
            <w:rStyle w:val="Hyperlink"/>
          </w:rPr>
          <w:t xml:space="preserve">[9]</w:t>
        </w:r>
      </w:hyperlink>
      <w:r>
        <w:t xml:space="preserve">:</w:t>
      </w:r>
    </w:p>
    <w:p>
      <w:pPr>
        <w:pStyle w:val="BodyText"/>
      </w:pPr>
      <m:oMathPara>
        <m:oMathParaPr>
          <m:jc m:val="center"/>
        </m:oMathParaPr>
        <m:oMath>
          <m:m>
            <m:mPr>
              <m:baseJc m:val="center"/>
              <m:plcHide m:val="on"/>
              <m:mcs>
                <m:mc>
                  <m:mcPr>
                    <m:mcJc m:val="center"/>
                    <m:count m:val="1"/>
                  </m:mcPr>
                </m:mc>
              </m:mcs>
            </m:mPr>
            <m:mr>
              <m:e>
                <m:sSubSup>
                  <m:e>
                    <m:r>
                      <m:t>p</m:t>
                    </m:r>
                  </m:e>
                  <m:sub>
                    <m:r>
                      <m:t>m</m:t>
                    </m:r>
                  </m:sub>
                  <m:sup>
                    <m:d>
                      <m:dPr>
                        <m:begChr m:val="("/>
                        <m:endChr m:val=")"/>
                        <m:sepChr m:val=""/>
                        <m:grow/>
                      </m:dPr>
                      <m:e>
                        <m:r>
                          <m:t>t</m:t>
                        </m:r>
                      </m:e>
                    </m:d>
                  </m:sup>
                </m:sSubSup>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sSub>
                      <m:e>
                        <m:r>
                          <m:t>H</m:t>
                        </m:r>
                      </m:e>
                      <m:sub>
                        <m:r>
                          <m:t>m</m:t>
                        </m:r>
                      </m:sub>
                    </m:sSub>
                    <m:d>
                      <m:dPr>
                        <m:begChr m:val="("/>
                        <m:endChr m:val=")"/>
                        <m:sepChr m:val=""/>
                        <m:grow/>
                      </m:dPr>
                      <m:e>
                        <m:sSub>
                          <m:e>
                            <m:r>
                              <m:rPr>
                                <m:sty m:val="p"/>
                              </m:rPr>
                              <m:t>D</m:t>
                            </m:r>
                            <m:r>
                              <m:rPr>
                                <m:sty m:val="p"/>
                              </m:rPr>
                              <m:t>r</m:t>
                            </m:r>
                            <m:r>
                              <m:rPr>
                                <m:sty m:val="p"/>
                              </m:rPr>
                              <m:t>o</m:t>
                            </m:r>
                            <m:r>
                              <m:rPr>
                                <m:sty m:val="p"/>
                              </m:rPr>
                              <m:t>p</m:t>
                            </m:r>
                          </m:e>
                          <m:sub>
                            <m:r>
                              <m:t>0.2</m:t>
                            </m:r>
                          </m:sub>
                        </m:sSub>
                        <m:d>
                          <m:dPr>
                            <m:begChr m:val="("/>
                            <m:endChr m:val=")"/>
                            <m:sepChr m:val=""/>
                            <m:grow/>
                          </m:dPr>
                          <m:e>
                            <m:sSub>
                              <m:e>
                                <m:r>
                                  <m:t>z</m:t>
                                </m:r>
                              </m:e>
                              <m:sub>
                                <m:r>
                                  <m:t>m</m:t>
                                </m:r>
                              </m:sub>
                            </m:sSub>
                          </m:e>
                        </m:d>
                      </m:e>
                    </m:d>
                  </m:e>
                </m:d>
                <m:r>
                  <m:rPr>
                    <m:sty m:val="p"/>
                  </m:rPr>
                  <m:t>,</m:t>
                </m:r>
              </m:e>
            </m:mr>
            <m:mr>
              <m:e>
                <m:sSub>
                  <m:e>
                    <m:r>
                      <m:t>u</m:t>
                    </m:r>
                  </m:e>
                  <m:sub>
                    <m:r>
                      <m:t>m</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rPr>
                            <m:sty m:val="p"/>
                          </m:rPr>
                          <m:t>V</m:t>
                        </m:r>
                        <m:r>
                          <m:rPr>
                            <m:sty m:val="p"/>
                          </m:rPr>
                          <m:t>a</m:t>
                        </m:r>
                        <m:r>
                          <m:rPr>
                            <m:sty m:val="p"/>
                          </m:rPr>
                          <m:t>r</m:t>
                        </m:r>
                      </m:e>
                      <m:sub>
                        <m:r>
                          <m:t>t</m:t>
                        </m:r>
                        <m:r>
                          <m:rPr>
                            <m:sty m:val="p"/>
                          </m:rPr>
                          <m:t>=</m:t>
                        </m:r>
                        <m:r>
                          <m:t>1</m:t>
                        </m:r>
                        <m:r>
                          <m:rPr>
                            <m:sty m:val="p"/>
                          </m:rPr>
                          <m:t>,</m:t>
                        </m:r>
                        <m:r>
                          <m:rPr>
                            <m:sty m:val="p"/>
                          </m:rPr>
                          <m:t>…</m:t>
                        </m:r>
                        <m:r>
                          <m:rPr>
                            <m:sty m:val="p"/>
                          </m:rPr>
                          <m:t>,</m:t>
                        </m:r>
                        <m:r>
                          <m:t>T</m:t>
                        </m:r>
                      </m:sub>
                    </m:sSub>
                  </m:e>
                </m:nary>
                <m:d>
                  <m:dPr>
                    <m:begChr m:val="("/>
                    <m:endChr m:val=")"/>
                    <m:sepChr m:val=""/>
                    <m:grow/>
                  </m:dPr>
                  <m:e>
                    <m:sSubSup>
                      <m:e>
                        <m:r>
                          <m:t>p</m:t>
                        </m:r>
                      </m:e>
                      <m:sub>
                        <m:r>
                          <m:t>m</m:t>
                        </m:r>
                        <m:r>
                          <m:rPr>
                            <m:sty m:val="p"/>
                          </m:rPr>
                          <m:t>,</m:t>
                        </m:r>
                        <m:r>
                          <m:t>c</m:t>
                        </m:r>
                      </m:sub>
                      <m:sup>
                        <m:d>
                          <m:dPr>
                            <m:begChr m:val="("/>
                            <m:endChr m:val=")"/>
                            <m:sepChr m:val=""/>
                            <m:grow/>
                          </m:dPr>
                          <m:e>
                            <m:r>
                              <m:t>t</m:t>
                            </m:r>
                          </m:e>
                        </m:d>
                      </m:sup>
                    </m:sSubSup>
                  </m:e>
                </m:d>
                <m:r>
                  <m:rPr>
                    <m:sty m:val="p"/>
                  </m:rPr>
                  <m:t>,</m:t>
                </m:r>
                <m:r>
                  <m:t>  </m:t>
                </m:r>
                <m:r>
                  <m:t>C</m:t>
                </m:r>
                <m:r>
                  <m:rPr>
                    <m:sty m:val="p"/>
                  </m:rPr>
                  <m:t>=</m:t>
                </m:r>
                <m:r>
                  <m:t>4</m:t>
                </m:r>
                <m:r>
                  <m:rPr>
                    <m:sty m:val="p"/>
                  </m:rPr>
                  <m:t>.</m:t>
                </m:r>
              </m:e>
            </m:mr>
          </m:m>
        </m:oMath>
      </m:oMathPara>
    </w:p>
    <w:p>
      <w:pPr>
        <w:pStyle w:val="FirstParagraph"/>
      </w:pPr>
      <w:r>
        <w:t xml:space="preserve">The two scores are normalised by their mean and turned into fusion weights by a softmax with a learnable temperature</w:t>
      </w:r>
      <w:r>
        <w:t xml:space="preserve"> </w:t>
      </w:r>
      <m:oMath>
        <m:r>
          <m:t>τ</m:t>
        </m:r>
        <m:r>
          <m:rPr>
            <m:sty m:val="p"/>
          </m:rPr>
          <m:t>=</m:t>
        </m:r>
        <m:r>
          <m:rPr>
            <m:sty m:val="p"/>
          </m:rPr>
          <m:t>s</m:t>
        </m:r>
        <m:r>
          <m:rPr>
            <m:sty m:val="p"/>
          </m:rPr>
          <m:t>o</m:t>
        </m:r>
        <m:r>
          <m:rPr>
            <m:sty m:val="p"/>
          </m:rPr>
          <m:t>f</m:t>
        </m:r>
        <m:r>
          <m:rPr>
            <m:sty m:val="p"/>
          </m:rPr>
          <m:t>t</m:t>
        </m:r>
        <m:r>
          <m:rPr>
            <m:sty m:val="p"/>
          </m:rPr>
          <m:t>p</m:t>
        </m:r>
        <m:r>
          <m:rPr>
            <m:sty m:val="p"/>
          </m:rPr>
          <m:t>l</m:t>
        </m:r>
        <m:r>
          <m:rPr>
            <m:sty m:val="p"/>
          </m:rPr>
          <m:t>u</m:t>
        </m:r>
        <m:r>
          <m:rPr>
            <m:sty m:val="p"/>
          </m:rPr>
          <m:t>s</m:t>
        </m:r>
        <m:d>
          <m:dPr>
            <m:begChr m:val="("/>
            <m:endChr m:val=")"/>
            <m:sepChr m:val=""/>
            <m:grow/>
          </m:dPr>
          <m:e>
            <m:r>
              <m:t>ρ</m:t>
            </m:r>
          </m:e>
        </m:d>
        <m:r>
          <m:rPr>
            <m:sty m:val="p"/>
          </m:rPr>
          <m:t>+</m:t>
        </m:r>
        <m:sSup>
          <m:e>
            <m:r>
              <m:t>10</m:t>
            </m:r>
          </m:e>
          <m:sup>
            <m:r>
              <m:rPr>
                <m:sty m:val="p"/>
              </m:rPr>
              <m:t>−</m:t>
            </m:r>
            <m:r>
              <m:t>6</m:t>
            </m:r>
          </m:sup>
        </m:sSup>
      </m:oMath>
      <w:r>
        <w:t xml:space="preserve">, where</w:t>
      </w:r>
      <w:r>
        <w:t xml:space="preserve"> </w:t>
      </w:r>
      <m:oMath>
        <m:r>
          <m:t>ρ</m:t>
        </m:r>
      </m:oMath>
      <w:r>
        <w:t xml:space="preserve"> </w:t>
      </w:r>
      <w:r>
        <w:t xml:space="preserve">is initialised at 0 (so</w:t>
      </w:r>
      <w:r>
        <w:t xml:space="preserve"> </w:t>
      </w:r>
      <m:oMath>
        <m:r>
          <m:t>τ</m:t>
        </m:r>
      </m:oMath>
      <w:r>
        <w:t xml:space="preserve"> </w:t>
      </w:r>
      <w:r>
        <w:t xml:space="preserve">starts at 0.693):</w:t>
      </w:r>
    </w:p>
    <w:p>
      <w:pPr>
        <w:pStyle w:val="BodyText"/>
      </w:pPr>
      <m:oMathPara>
        <m:oMathParaPr>
          <m:jc m:val="center"/>
        </m:oMathParaPr>
        <m:oMath>
          <m:m>
            <m:mPr>
              <m:baseJc m:val="center"/>
              <m:plcHide m:val="on"/>
              <m:mcs>
                <m:mc>
                  <m:mcPr>
                    <m:mcJc m:val="center"/>
                    <m:count m:val="1"/>
                  </m:mcPr>
                </m:mc>
              </m:mcs>
            </m:mPr>
            <m:mr>
              <m:e>
                <m:sSub>
                  <m:e>
                    <m:acc>
                      <m:accPr>
                        <m:chr m:val="̃"/>
                      </m:accPr>
                      <m:e>
                        <m:r>
                          <m:t>u</m:t>
                        </m:r>
                      </m:e>
                    </m:acc>
                  </m:e>
                  <m:sub>
                    <m:r>
                      <m:t>m</m:t>
                    </m:r>
                  </m:sub>
                </m:sSub>
                <m:r>
                  <m:rPr>
                    <m:sty m:val="p"/>
                  </m:rPr>
                  <m:t>=</m:t>
                </m:r>
                <m:f>
                  <m:fPr>
                    <m:type m:val="bar"/>
                  </m:fPr>
                  <m:num>
                    <m:sSub>
                      <m:e>
                        <m:r>
                          <m:t>u</m:t>
                        </m:r>
                      </m:e>
                      <m:sub>
                        <m:r>
                          <m:t>m</m:t>
                        </m:r>
                      </m:sub>
                    </m:sSub>
                  </m:num>
                  <m:den>
                    <m:f>
                      <m:fPr>
                        <m:type m:val="lin"/>
                      </m:fPr>
                      <m:num>
                        <m:r>
                          <m:t>1</m:t>
                        </m:r>
                      </m:num>
                      <m:den>
                        <m:r>
                          <m:t>2</m:t>
                        </m:r>
                      </m:den>
                    </m:f>
                    <m:d>
                      <m:dPr>
                        <m:begChr m:val="("/>
                        <m:endChr m:val=")"/>
                        <m:sepChr m:val=""/>
                        <m:grow/>
                      </m:dPr>
                      <m:e>
                        <m:sSub>
                          <m:e>
                            <m:r>
                              <m:t>u</m:t>
                            </m:r>
                          </m:e>
                          <m:sub>
                            <m:r>
                              <m:t>g</m:t>
                            </m:r>
                          </m:sub>
                        </m:sSub>
                        <m:r>
                          <m:rPr>
                            <m:sty m:val="p"/>
                          </m:rPr>
                          <m:t>+</m:t>
                        </m:r>
                        <m:sSub>
                          <m:e>
                            <m:r>
                              <m:t>u</m:t>
                            </m:r>
                          </m:e>
                          <m:sub>
                            <m:r>
                              <m:t>i</m:t>
                            </m:r>
                          </m:sub>
                        </m:sSub>
                      </m:e>
                    </m:d>
                    <m:r>
                      <m:rPr>
                        <m:sty m:val="p"/>
                      </m:rPr>
                      <m:t>+</m:t>
                    </m:r>
                    <m:sSup>
                      <m:e>
                        <m:r>
                          <m:t>10</m:t>
                        </m:r>
                      </m:e>
                      <m:sup>
                        <m:r>
                          <m:rPr>
                            <m:sty m:val="p"/>
                          </m:rPr>
                          <m:t>−</m:t>
                        </m:r>
                        <m:r>
                          <m:t>8</m:t>
                        </m:r>
                      </m:sup>
                    </m:sSup>
                  </m:den>
                </m:f>
                <m:r>
                  <m:rPr>
                    <m:sty m:val="p"/>
                  </m:rPr>
                  <m:t>,</m:t>
                </m:r>
              </m:e>
            </m:mr>
            <m:mr>
              <m:e>
                <m:d>
                  <m:dPr>
                    <m:begChr m:val="["/>
                    <m:endChr m:val="]"/>
                    <m:sepChr m:val=""/>
                    <m:grow/>
                  </m:dPr>
                  <m:e>
                    <m:sSub>
                      <m:e>
                        <m:r>
                          <m:t>w</m:t>
                        </m:r>
                      </m:e>
                      <m:sub>
                        <m:r>
                          <m:t>g</m:t>
                        </m:r>
                      </m:sub>
                    </m:sSub>
                    <m:r>
                      <m:rPr>
                        <m:sty m:val="p"/>
                      </m:rPr>
                      <m:t>,</m:t>
                    </m:r>
                    <m:sSub>
                      <m:e>
                        <m:r>
                          <m:t>w</m:t>
                        </m:r>
                      </m:e>
                      <m:sub>
                        <m:r>
                          <m:t>i</m:t>
                        </m:r>
                      </m:sub>
                    </m:sSub>
                  </m:e>
                </m:d>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rPr>
                        <m:sty m:val="p"/>
                      </m:rPr>
                      <m:t>−</m:t>
                    </m:r>
                    <m:d>
                      <m:dPr>
                        <m:begChr m:val="["/>
                        <m:endChr m:val="]"/>
                        <m:sepChr m:val=""/>
                        <m:grow/>
                      </m:dPr>
                      <m:e>
                        <m:sSub>
                          <m:e>
                            <m:acc>
                              <m:accPr>
                                <m:chr m:val="̃"/>
                              </m:accPr>
                              <m:e>
                                <m:r>
                                  <m:t>u</m:t>
                                </m:r>
                              </m:e>
                            </m:acc>
                          </m:e>
                          <m:sub>
                            <m:r>
                              <m:t>g</m:t>
                            </m:r>
                          </m:sub>
                        </m:sSub>
                        <m:r>
                          <m:rPr>
                            <m:sty m:val="p"/>
                          </m:rPr>
                          <m:t>,</m:t>
                        </m:r>
                        <m:sSub>
                          <m:e>
                            <m:acc>
                              <m:accPr>
                                <m:chr m:val="̃"/>
                              </m:accPr>
                              <m:e>
                                <m:r>
                                  <m:t>u</m:t>
                                </m:r>
                              </m:e>
                            </m:acc>
                          </m:e>
                          <m:sub>
                            <m:r>
                              <m:t>i</m:t>
                            </m:r>
                          </m:sub>
                        </m:sSub>
                      </m:e>
                    </m:d>
                    <m:r>
                      <m:rPr>
                        <m:sty m:val="p"/>
                      </m:rPr>
                      <m:t>/</m:t>
                    </m:r>
                    <m:r>
                      <m:t>τ</m:t>
                    </m:r>
                  </m:e>
                </m:d>
                <m:r>
                  <m:rPr>
                    <m:sty m:val="p"/>
                  </m:rPr>
                  <m:t>.</m:t>
                </m:r>
              </m:e>
            </m:mr>
          </m:m>
        </m:oMath>
      </m:oMathPara>
    </w:p>
    <w:p>
      <w:pPr>
        <w:pStyle w:val="FirstParagraph"/>
      </w:pPr>
      <w:r>
        <w:t xml:space="preserve">The weighted vectors</w:t>
      </w:r>
      <w:r>
        <w:t xml:space="preserve"> </w:t>
      </w:r>
      <m:oMath>
        <m:sSub>
          <m:e>
            <m:r>
              <m:t>w</m:t>
            </m:r>
          </m:e>
          <m:sub>
            <m:r>
              <m:t>g</m:t>
            </m:r>
          </m:sub>
        </m:sSub>
        <m:sSub>
          <m:e>
            <m:r>
              <m:t>z</m:t>
            </m:r>
          </m:e>
          <m:sub>
            <m:r>
              <m:t>g</m:t>
            </m:r>
          </m:sub>
        </m:sSub>
      </m:oMath>
      <w:r>
        <w:t xml:space="preserve"> </w:t>
      </w:r>
      <w:r>
        <w:t xml:space="preserve">and</w:t>
      </w:r>
      <w:r>
        <w:t xml:space="preserve"> </w:t>
      </w:r>
      <m:oMath>
        <m:sSub>
          <m:e>
            <m:r>
              <m:t>w</m:t>
            </m:r>
          </m:e>
          <m:sub>
            <m:r>
              <m:t>i</m:t>
            </m:r>
          </m:sub>
        </m:sSub>
        <m:sSub>
          <m:e>
            <m:r>
              <m:t>z</m:t>
            </m:r>
          </m:e>
          <m:sub>
            <m:r>
              <m:t>i</m:t>
            </m:r>
          </m:sub>
        </m:sSub>
      </m:oMath>
      <w:r>
        <w:t xml:space="preserve"> </w:t>
      </w:r>
      <w:r>
        <w:t xml:space="preserve">are passed on. Dropout is applied only in front of the auxiliary heads, so</w:t>
      </w:r>
      <w:r>
        <w:t xml:space="preserve"> </w:t>
      </w:r>
      <m:oMath>
        <m:sSub>
          <m:e>
            <m:r>
              <m:t>u</m:t>
            </m:r>
          </m:e>
          <m:sub>
            <m:r>
              <m:t>m</m:t>
            </m:r>
          </m:sub>
        </m:sSub>
      </m:oMath>
      <w:r>
        <w:t xml:space="preserve"> </w:t>
      </w:r>
      <w:r>
        <w:t xml:space="preserve">measures the stability of those heads rather than the full epistemic uncertainty of the network. Gradients flow through the uncertainty computation; it is not detached.</w:t>
      </w:r>
    </w:p>
    <w:bookmarkEnd w:id="46"/>
    <w:bookmarkStart w:id="47" w:name="h.-classification-head-and-objective"/>
    <w:p>
      <w:pPr>
        <w:pStyle w:val="Heading2"/>
      </w:pPr>
      <w:r>
        <w:t xml:space="preserve">H. Classification Head and Objective</w:t>
      </w:r>
    </w:p>
    <w:p>
      <w:pPr>
        <w:pStyle w:val="FirstParagraph"/>
      </w:pPr>
      <w:r>
        <w:t xml:space="preserve">The concatenated vector</w:t>
      </w:r>
      <w:r>
        <w:t xml:space="preserve"> </w:t>
      </w:r>
      <m:oMath>
        <m:d>
          <m:dPr>
            <m:begChr m:val="["/>
            <m:endChr m:val="]"/>
            <m:sepChr m:val=""/>
            <m:grow/>
          </m:dPr>
          <m:e>
            <m:sSub>
              <m:e>
                <m:r>
                  <m:t>w</m:t>
                </m:r>
              </m:e>
              <m:sub>
                <m:r>
                  <m:t>g</m:t>
                </m:r>
              </m:sub>
            </m:sSub>
            <m:sSub>
              <m:e>
                <m:r>
                  <m:t>z</m:t>
                </m:r>
              </m:e>
              <m:sub>
                <m:r>
                  <m:t>g</m:t>
                </m:r>
              </m:sub>
            </m:sSub>
            <m:r>
              <m:t> </m:t>
            </m:r>
            <m:r>
              <m:rPr>
                <m:sty m:val="p"/>
              </m:rPr>
              <m:t>∥</m:t>
            </m:r>
            <m:r>
              <m:t> </m:t>
            </m:r>
            <m:sSub>
              <m:e>
                <m:r>
                  <m:t>w</m:t>
                </m:r>
              </m:e>
              <m:sub>
                <m:r>
                  <m:t>i</m:t>
                </m:r>
              </m:sub>
            </m:sSub>
            <m:sSub>
              <m:e>
                <m:r>
                  <m:t>z</m:t>
                </m:r>
              </m:e>
              <m:sub>
                <m:r>
                  <m:t>i</m:t>
                </m:r>
              </m:sub>
            </m:sSub>
          </m:e>
        </m:d>
        <m:r>
          <m:rPr>
            <m:sty m:val="p"/>
          </m:rPr>
          <m:t>∈</m:t>
        </m:r>
        <m:sSup>
          <m:e>
            <m:r>
              <m:rPr>
                <m:sty m:val="p"/>
                <m:scr m:val="double-struck"/>
              </m:rPr>
              <m:t>R</m:t>
            </m:r>
          </m:e>
          <m:sup>
            <m:r>
              <m:t>768</m:t>
            </m:r>
          </m:sup>
        </m:sSup>
      </m:oMath>
      <w:r>
        <w:t xml:space="preserve"> </w:t>
      </w:r>
      <w:r>
        <w:t xml:space="preserve">passes through linear</w:t>
      </w:r>
      <w:r>
        <w:t xml:space="preserve"> </w:t>
      </w:r>
      <m:oMath>
        <m:r>
          <m:t>768</m:t>
        </m:r>
        <m:r>
          <m:rPr>
            <m:sty m:val="p"/>
          </m:rPr>
          <m:t>→</m:t>
        </m:r>
        <m:r>
          <m:t>512</m:t>
        </m:r>
      </m:oMath>
      <w:r>
        <w:t xml:space="preserve">, BN, GELU, dropout 0.4, linear</w:t>
      </w:r>
      <w:r>
        <w:t xml:space="preserve"> </w:t>
      </w:r>
      <m:oMath>
        <m:r>
          <m:t>512</m:t>
        </m:r>
        <m:r>
          <m:rPr>
            <m:sty m:val="p"/>
          </m:rPr>
          <m:t>→</m:t>
        </m:r>
        <m:r>
          <m:t>256</m:t>
        </m:r>
      </m:oMath>
      <w:r>
        <w:t xml:space="preserve">, BN, GELU, dropout 0.3 and linear</w:t>
      </w:r>
      <w:r>
        <w:t xml:space="preserve"> </w:t>
      </w:r>
      <m:oMath>
        <m:r>
          <m:t>256</m:t>
        </m:r>
        <m:r>
          <m:rPr>
            <m:sty m:val="p"/>
          </m:rPr>
          <m:t>→</m:t>
        </m:r>
        <m:r>
          <m:t>4</m:t>
        </m:r>
      </m:oMath>
      <w:r>
        <w:t xml:space="preserve">. The loss combines the main cross-entropy with the two auxiliary heads (applied to the non-dropped embeddings). All three terms use label smoothing</w:t>
      </w:r>
      <w:r>
        <w:t xml:space="preserve"> </w:t>
      </w:r>
      <m:oMath>
        <m:r>
          <m:t>ε</m:t>
        </m:r>
        <m:r>
          <m:rPr>
            <m:sty m:val="p"/>
          </m:rPr>
          <m:t>=</m:t>
        </m:r>
        <m:r>
          <m:t>0.03</m:t>
        </m:r>
      </m:oMath>
      <w:r>
        <w:t xml:space="preserve"> </w:t>
      </w:r>
      <w:hyperlink w:anchor="ref-szegedy2016inception">
        <w:r>
          <w:rPr>
            <w:rStyle w:val="Hyperlink"/>
          </w:rPr>
          <w:t xml:space="preserve">[25]</w:t>
        </w:r>
      </w:hyperlink>
      <w:r>
        <w:t xml:space="preserve"> </w:t>
      </w:r>
      <w:r>
        <w:t xml:space="preserve">on logits clipped to</w:t>
      </w:r>
      <w:r>
        <w:t xml:space="preserve"> </w:t>
      </w:r>
      <m:oMath>
        <m:d>
          <m:dPr>
            <m:begChr m:val="["/>
            <m:endChr m:val="]"/>
            <m:sepChr m:val=""/>
            <m:grow/>
          </m:dPr>
          <m:e>
            <m:r>
              <m:rPr>
                <m:sty m:val="p"/>
              </m:rPr>
              <m:t>−</m:t>
            </m:r>
            <m:r>
              <m:t>20</m:t>
            </m:r>
            <m:r>
              <m:rPr>
                <m:sty m:val="p"/>
              </m:rPr>
              <m:t>,</m:t>
            </m:r>
            <m:r>
              <m:t>20</m:t>
            </m:r>
          </m:e>
        </m:d>
      </m:oMath>
      <w:r>
        <w:t xml:space="preserve">:</w:t>
      </w:r>
    </w:p>
    <w:p>
      <w:pPr>
        <w:pStyle w:val="BodyText"/>
      </w:pPr>
      <m:oMathPara>
        <m:oMathParaPr>
          <m:jc m:val="center"/>
        </m:oMathParaPr>
        <m:oMath>
          <m:r>
            <m:rPr>
              <m:sty m:val="p"/>
              <m:scr m:val="script"/>
            </m:rPr>
            <m:t>L</m:t>
          </m:r>
          <m:r>
            <m:rPr>
              <m:sty m:val="p"/>
            </m:rPr>
            <m:t>=</m:t>
          </m:r>
          <m:sSub>
            <m:e>
              <m:r>
                <m:rPr>
                  <m:sty m:val="p"/>
                  <m:scr m:val="script"/>
                </m:rPr>
                <m:t>L</m:t>
              </m:r>
            </m:e>
            <m:sub>
              <m:r>
                <m:rPr>
                  <m:sty m:val="p"/>
                </m:rPr>
                <m:t>m</m:t>
              </m:r>
              <m:r>
                <m:rPr>
                  <m:sty m:val="p"/>
                </m:rPr>
                <m:t>a</m:t>
              </m:r>
              <m:r>
                <m:rPr>
                  <m:sty m:val="p"/>
                </m:rPr>
                <m:t>i</m:t>
              </m:r>
              <m:r>
                <m:rPr>
                  <m:sty m:val="p"/>
                </m:rPr>
                <m:t>n</m:t>
              </m:r>
            </m:sub>
          </m:sSub>
          <m:r>
            <m:rPr>
              <m:sty m:val="p"/>
            </m:rPr>
            <m:t>+</m:t>
          </m:r>
          <m:r>
            <m:t>λ</m:t>
          </m:r>
          <m:r>
            <m:rPr>
              <m:sty m:val="p"/>
            </m:rPr>
            <m:t>⋅</m:t>
          </m:r>
          <m:f>
            <m:fPr>
              <m:type m:val="lin"/>
            </m:fPr>
            <m:num>
              <m:r>
                <m:t>1</m:t>
              </m:r>
            </m:num>
            <m:den>
              <m:r>
                <m:t>2</m:t>
              </m:r>
            </m:den>
          </m:f>
          <m:d>
            <m:dPr>
              <m:begChr m:val="("/>
              <m:endChr m:val=")"/>
              <m:sepChr m:val=""/>
              <m:grow/>
            </m:dPr>
            <m:e>
              <m:sSub>
                <m:e>
                  <m:r>
                    <m:rPr>
                      <m:sty m:val="p"/>
                      <m:scr m:val="script"/>
                    </m:rPr>
                    <m:t>L</m:t>
                  </m:r>
                </m:e>
                <m:sub>
                  <m:r>
                    <m:t>g</m:t>
                  </m:r>
                </m:sub>
              </m:sSub>
              <m:r>
                <m:rPr>
                  <m:sty m:val="p"/>
                </m:rPr>
                <m:t>+</m:t>
              </m:r>
              <m:sSub>
                <m:e>
                  <m:r>
                    <m:rPr>
                      <m:sty m:val="p"/>
                      <m:scr m:val="script"/>
                    </m:rPr>
                    <m:t>L</m:t>
                  </m:r>
                </m:e>
                <m:sub>
                  <m:r>
                    <m:t>i</m:t>
                  </m:r>
                </m:sub>
              </m:sSub>
            </m:e>
          </m:d>
          <m:r>
            <m:rPr>
              <m:sty m:val="p"/>
            </m:rPr>
            <m:t>,</m:t>
          </m:r>
          <m:r>
            <m:t>  </m:t>
          </m:r>
          <m:r>
            <m:t>λ</m:t>
          </m:r>
          <m:r>
            <m:rPr>
              <m:sty m:val="p"/>
            </m:rPr>
            <m:t>=</m:t>
          </m:r>
          <m:r>
            <m:t>0.15</m:t>
          </m:r>
          <m:r>
            <m:rPr>
              <m:sty m:val="p"/>
            </m:rPr>
            <m:t>.</m:t>
          </m:r>
        </m:oMath>
      </m:oMathPara>
    </w:p>
    <w:bookmarkEnd w:id="47"/>
    <w:bookmarkStart w:id="48" w:name="i.-test-time-augmentation"/>
    <w:p>
      <w:pPr>
        <w:pStyle w:val="Heading2"/>
      </w:pPr>
      <w:r>
        <w:t xml:space="preserve">I. Test-Time Augmentation</w:t>
      </w:r>
    </w:p>
    <w:p>
      <w:pPr>
        <w:pStyle w:val="FirstParagraph"/>
      </w:pPr>
      <w:r>
        <w:t xml:space="preserve">At test time, class probabilities are averaged over ten deterministic views </w:t>
      </w:r>
      <w:hyperlink w:anchor="ref-wang2019tta">
        <w:r>
          <w:rPr>
            <w:rStyle w:val="Hyperlink"/>
          </w:rPr>
          <w:t xml:space="preserve">[22]</w:t>
        </w:r>
      </w:hyperlink>
      <w:r>
        <w:t xml:space="preserve">: identity, horizontal flip, rotations of</w:t>
      </w:r>
      <w:r>
        <w:t xml:space="preserve"> </w:t>
      </w:r>
      <m:oMath>
        <m:r>
          <m:rPr>
            <m:sty m:val="p"/>
          </m:rPr>
          <m:t>±</m:t>
        </m:r>
        <m:sSup>
          <m:e>
            <m:r>
              <m:t>5</m:t>
            </m:r>
          </m:e>
          <m:sup>
            <m:r>
              <m:rPr>
                <m:sty m:val="p"/>
              </m:rPr>
              <m:t>∘</m:t>
            </m:r>
          </m:sup>
        </m:sSup>
      </m:oMath>
      <w:r>
        <w:t xml:space="preserve">, brightness</w:t>
      </w:r>
      <w:r>
        <w:t xml:space="preserve"> </w:t>
      </w:r>
      <m:oMath>
        <m:r>
          <m:rPr>
            <m:sty m:val="p"/>
          </m:rPr>
          <m:t>×</m:t>
        </m:r>
        <m:r>
          <m:t>0.9</m:t>
        </m:r>
      </m:oMath>
      <w:r>
        <w:t xml:space="preserve"> </w:t>
      </w:r>
      <w:r>
        <w:t xml:space="preserve">and</w:t>
      </w:r>
      <w:r>
        <w:t xml:space="preserve"> </w:t>
      </w:r>
      <m:oMath>
        <m:r>
          <m:rPr>
            <m:sty m:val="p"/>
          </m:rPr>
          <m:t>×</m:t>
        </m:r>
        <m:r>
          <m:t>1.1</m:t>
        </m:r>
      </m:oMath>
      <w:r>
        <w:t xml:space="preserve">, contrast</w:t>
      </w:r>
      <w:r>
        <w:t xml:space="preserve"> </w:t>
      </w:r>
      <m:oMath>
        <m:r>
          <m:rPr>
            <m:sty m:val="p"/>
          </m:rPr>
          <m:t>×</m:t>
        </m:r>
        <m:r>
          <m:t>0.9</m:t>
        </m:r>
      </m:oMath>
      <w:r>
        <w:t xml:space="preserve"> </w:t>
      </w:r>
      <w:r>
        <w:t xml:space="preserve">and</w:t>
      </w:r>
      <w:r>
        <w:t xml:space="preserve"> </w:t>
      </w:r>
      <m:oMath>
        <m:r>
          <m:rPr>
            <m:sty m:val="p"/>
          </m:rPr>
          <m:t>×</m:t>
        </m:r>
        <m:r>
          <m:t>1.1</m:t>
        </m:r>
      </m:oMath>
      <w:r>
        <w:t xml:space="preserve">, a</w:t>
      </w:r>
      <w:r>
        <w:t xml:space="preserve"> </w:t>
      </w:r>
      <m:oMath>
        <m:r>
          <m:t>1.05</m:t>
        </m:r>
        <m:r>
          <m:rPr>
            <m:sty m:val="p"/>
          </m:rPr>
          <m:t>×</m:t>
        </m:r>
      </m:oMath>
      <w:r>
        <w:t xml:space="preserve"> </w:t>
      </w:r>
      <w:r>
        <w:t xml:space="preserve">centre zoom, and horizontal flip with brightness</w:t>
      </w:r>
      <w:r>
        <w:t xml:space="preserve"> </w:t>
      </w:r>
      <m:oMath>
        <m:r>
          <m:rPr>
            <m:sty m:val="p"/>
          </m:rPr>
          <m:t>×</m:t>
        </m:r>
        <m:r>
          <m:t>1.1</m:t>
        </m:r>
      </m:oMath>
      <w:r>
        <w:t xml:space="preserve">. Each view feeds both streams:</w:t>
      </w:r>
    </w:p>
    <w:p>
      <w:pPr>
        <w:pStyle w:val="BodyText"/>
      </w:pPr>
      <m:oMathPara>
        <m:oMathParaPr>
          <m:jc m:val="center"/>
        </m:oMathParaPr>
        <m:oMath>
          <m:sSub>
            <m:e>
              <m:r>
                <m:t>p</m:t>
              </m:r>
            </m:e>
            <m:sub>
              <m:r>
                <m:rPr>
                  <m:sty m:val="p"/>
                </m:rPr>
                <m:t>f</m:t>
              </m:r>
              <m:r>
                <m:rPr>
                  <m:sty m:val="p"/>
                </m:rPr>
                <m:t>i</m:t>
              </m:r>
              <m:r>
                <m:rPr>
                  <m:sty m:val="p"/>
                </m:rPr>
                <m:t>n</m:t>
              </m:r>
              <m:r>
                <m:rPr>
                  <m:sty m:val="p"/>
                </m:rPr>
                <m:t>a</m:t>
              </m:r>
              <m:r>
                <m:rPr>
                  <m:sty m:val="p"/>
                </m:rPr>
                <m:t>l</m:t>
              </m:r>
            </m:sub>
          </m:sSub>
          <m:d>
            <m:dPr>
              <m:begChr m:val="("/>
              <m:endChr m:val=")"/>
              <m:sepChr m:val=""/>
              <m:grow/>
            </m:dPr>
            <m:e>
              <m:r>
                <m:t>x</m:t>
              </m:r>
            </m:e>
          </m:d>
          <m:r>
            <m:rPr>
              <m:sty m:val="p"/>
            </m:rPr>
            <m:t>=</m:t>
          </m:r>
          <m:f>
            <m:fPr>
              <m:type m:val="bar"/>
            </m:fPr>
            <m:num>
              <m:r>
                <m:t>1</m:t>
              </m:r>
            </m:num>
            <m:den>
              <m:r>
                <m:t>10</m:t>
              </m:r>
            </m:den>
          </m:f>
          <m:nary>
            <m:naryPr>
              <m:chr m:val="∑"/>
              <m:limLoc m:val="undOvr"/>
              <m:subHide m:val="off"/>
              <m:supHide m:val="off"/>
            </m:naryPr>
            <m:sub>
              <m:r>
                <m:t>a</m:t>
              </m:r>
              <m:r>
                <m:rPr>
                  <m:sty m:val="p"/>
                </m:rPr>
                <m:t>=</m:t>
              </m:r>
              <m:r>
                <m:t>1</m:t>
              </m:r>
            </m:sub>
            <m:sup>
              <m:r>
                <m:t>10</m:t>
              </m:r>
            </m:sup>
            <m:e>
              <m:r>
                <m:rPr>
                  <m:sty m:val="p"/>
                </m:rPr>
                <m:t>s</m:t>
              </m:r>
              <m:r>
                <m:rPr>
                  <m:sty m:val="p"/>
                </m:rPr>
                <m:t>o</m:t>
              </m:r>
              <m:r>
                <m:rPr>
                  <m:sty m:val="p"/>
                </m:rPr>
                <m:t>f</m:t>
              </m:r>
              <m:r>
                <m:rPr>
                  <m:sty m:val="p"/>
                </m:rPr>
                <m:t>t</m:t>
              </m:r>
              <m:r>
                <m:rPr>
                  <m:sty m:val="p"/>
                </m:rPr>
                <m:t>m</m:t>
              </m:r>
              <m:r>
                <m:rPr>
                  <m:sty m:val="p"/>
                </m:rPr>
                <m:t>a</m:t>
              </m:r>
              <m:r>
                <m:rPr>
                  <m:sty m:val="p"/>
                </m:rPr>
                <m:t>x</m:t>
              </m:r>
            </m:e>
          </m:nary>
          <m:d>
            <m:dPr>
              <m:begChr m:val="("/>
              <m:endChr m:val=")"/>
              <m:sepChr m:val=""/>
              <m:grow/>
            </m:dPr>
            <m:e>
              <m:r>
                <m:t>f</m:t>
              </m:r>
              <m:d>
                <m:dPr>
                  <m:begChr m:val="("/>
                  <m:endChr m:val=")"/>
                  <m:sepChr m:val=""/>
                  <m:grow/>
                </m:dPr>
                <m:e>
                  <m:sSub>
                    <m:e>
                      <m:r>
                        <m:t>T</m:t>
                      </m:r>
                    </m:e>
                    <m:sub>
                      <m:r>
                        <m:t>a</m:t>
                      </m:r>
                    </m:sub>
                  </m:sSub>
                  <m:d>
                    <m:dPr>
                      <m:begChr m:val="("/>
                      <m:endChr m:val=")"/>
                      <m:sepChr m:val=""/>
                      <m:grow/>
                    </m:dPr>
                    <m:e>
                      <m:r>
                        <m:t>x</m:t>
                      </m:r>
                    </m:e>
                  </m:d>
                </m:e>
              </m:d>
            </m:e>
          </m:d>
          <m:r>
            <m:rPr>
              <m:sty m:val="p"/>
            </m:rPr>
            <m:t>.</m:t>
          </m:r>
        </m:oMath>
      </m:oMathPara>
    </w:p>
    <w:p>
      <w:pPr>
        <w:pStyle w:val="FirstParagraph"/>
      </w:pPr>
      <w:r>
        <w:t xml:space="preserve">All views use the same resizing as training and validation.</w:t>
      </w:r>
    </w:p>
    <w:bookmarkEnd w:id="48"/>
    <w:bookmarkEnd w:id="49"/>
    <w:bookmarkStart w:id="55" w:name="X98ddbff223dcba83c2e1af9c3a303c663bd489a"/>
    <w:p>
      <w:pPr>
        <w:pStyle w:val="Heading1"/>
      </w:pPr>
      <w:r>
        <w:t xml:space="preserve">V. Experimental Setup and Evaluation Protocol</w:t>
      </w:r>
    </w:p>
    <w:bookmarkStart w:id="50" w:name="a.-implementation"/>
    <w:p>
      <w:pPr>
        <w:pStyle w:val="Heading2"/>
      </w:pPr>
      <w:r>
        <w:t xml:space="preserve">A. Implementation</w:t>
      </w:r>
    </w:p>
    <w:p>
      <w:pPr>
        <w:pStyle w:val="FirstParagraph"/>
      </w:pPr>
      <w:r>
        <w:t xml:space="preserve">The model was implemented in PyTorch </w:t>
      </w:r>
      <w:hyperlink w:anchor="ref-paszke2019pytorch">
        <w:r>
          <w:rPr>
            <w:rStyle w:val="Hyperlink"/>
          </w:rPr>
          <w:t xml:space="preserve">[34]</w:t>
        </w:r>
      </w:hyperlink>
      <w:r>
        <w:t xml:space="preserve"> </w:t>
      </w:r>
      <w:r>
        <w:t xml:space="preserve">with PyTorch Geometric </w:t>
      </w:r>
      <w:hyperlink w:anchor="ref-fey2019pyg">
        <w:r>
          <w:rPr>
            <w:rStyle w:val="Hyperlink"/>
          </w:rPr>
          <w:t xml:space="preserve">[35]</w:t>
        </w:r>
      </w:hyperlink>
      <w:r>
        <w:t xml:space="preserve"> </w:t>
      </w:r>
      <w:r>
        <w:t xml:space="preserve">and the torchvision EfficientNet-B3. It was trained on single-GPU Kaggle notebook sessions with an NVIDIA Tesla T4 (PyTorch 2.11.0 with CUDA 12.8, PyTorch Geometric 2.8.1) and automatic mixed precision. Each fold ran as a separate session, with only the fold index changed; one fold took about 17 min per epoch and 6.8 h in total.</w:t>
      </w:r>
    </w:p>
    <w:bookmarkEnd w:id="50"/>
    <w:bookmarkStart w:id="51" w:name="b.-cross-validation-and-test-isolation"/>
    <w:p>
      <w:pPr>
        <w:pStyle w:val="Heading2"/>
      </w:pPr>
      <w:r>
        <w:t xml:space="preserve">B. Cross-Validation and Test Isolation</w:t>
      </w:r>
    </w:p>
    <w:p>
      <w:pPr>
        <w:pStyle w:val="FirstParagraph"/>
      </w:pPr>
      <w:r>
        <w:rPr>
          <w:iCs/>
          <w:i/>
        </w:rPr>
        <w:t xml:space="preserve">Duplicate-aware groups:</w:t>
      </w:r>
      <w:r>
        <w:t xml:space="preserve"> </w:t>
      </w:r>
      <w:r>
        <w:t xml:space="preserve">Before splitting, related images were merged into groups by union–find. First, all files sharing a source-slice stem and class (</w:t>
      </w:r>
      <w:r>
        <w:rPr>
          <w:rStyle w:val="VerbatimChar"/>
        </w:rPr>
        <w:t xml:space="preserve">G_710.jpg</w:t>
      </w:r>
      <w:r>
        <w:t xml:space="preserve">,</w:t>
      </w:r>
      <w:r>
        <w:t xml:space="preserve"> </w:t>
      </w:r>
      <w:r>
        <w:rPr>
          <w:rStyle w:val="VerbatimChar"/>
        </w:rPr>
        <w:t xml:space="preserve">G_710_RO_.jpg</w:t>
      </w:r>
      <w:r>
        <w:t xml:space="preserve">, …) were joined. Second, a 64-bit perceptual hash (pHash) was computed for every image, and any two images whose hashes differed in at most 5 bits were joined, regardless of file name or class. This reduced the 12,064 images to 3,873 groups: 1,871 single images and 2,002 groups of two or more (largest 93 images).</w:t>
      </w:r>
    </w:p>
    <w:p>
      <w:pPr>
        <w:pStyle w:val="BodyText"/>
      </w:pPr>
      <w:r>
        <w:rPr>
          <w:iCs/>
          <w:i/>
        </w:rPr>
        <w:t xml:space="preserve">Outer and inner splits:</w:t>
      </w:r>
      <w:r>
        <w:t xml:space="preserve"> </w:t>
      </w:r>
      <w:r>
        <w:t xml:space="preserve">Stratified group five-fold cross-validation (scikit-learn</w:t>
      </w:r>
      <w:r>
        <w:t xml:space="preserve"> </w:t>
      </w:r>
      <w:r>
        <w:rPr>
          <w:rStyle w:val="VerbatimChar"/>
        </w:rPr>
        <w:t xml:space="preserve">StratifiedGroupKFold</w:t>
      </w:r>
      <w:r>
        <w:t xml:space="preserve">, shuffled, random state 42) was applied to the merged images, giving test folds of 2,310–2,539 images with near-identical class proportions. Within the remaining data of each fold, about 8% of the groups (a grouped split with random state</w:t>
      </w:r>
      <w:r>
        <w:t xml:space="preserve"> </w:t>
      </w:r>
      <m:oMath>
        <m:r>
          <m:t>42</m:t>
        </m:r>
        <m:r>
          <m:rPr>
            <m:sty m:val="p"/>
          </m:rPr>
          <m:t>+</m:t>
        </m:r>
        <m:r>
          <m:t>k</m:t>
        </m:r>
      </m:oMath>
      <w:r>
        <w:t xml:space="preserve"> </w:t>
      </w:r>
      <w:r>
        <w:t xml:space="preserve">for zero-based fold</w:t>
      </w:r>
      <w:r>
        <w:t xml:space="preserve"> </w:t>
      </w:r>
      <m:oMath>
        <m:r>
          <m:t>k</m:t>
        </m:r>
      </m:oMath>
      <w:r>
        <w:t xml:space="preserve">; 718–1,030 images) served for validation and checkpoint selection. For every fold, it was verified in code that no group was shared between training, validation and test images. Test images were used only after the fold’s checkpoint had been selected and reloaded.</w:t>
      </w:r>
    </w:p>
    <w:p>
      <w:pPr>
        <w:pStyle w:val="BodyText"/>
      </w:pPr>
      <w:r>
        <w:t xml:space="preserve">Grouping removes the leakage that file names and image similarity reveal. Patient identifiers are unavailable, so different slices of one patient can still fall on both sides of a split, and the estimates remain slice-level rather than patient-level.</w:t>
      </w:r>
    </w:p>
    <w:p>
      <w:pPr>
        <w:pStyle w:val="BodyText"/>
      </w:pPr>
      <w:r>
        <w:rPr>
          <w:iCs/>
          <w:i/>
        </w:rPr>
        <w:t xml:space="preserve">Image-level reference:</w:t>
      </w:r>
      <w:r>
        <w:t xml:space="preserve"> </w:t>
      </w:r>
      <w:r>
        <w:t xml:space="preserve">To measure leakage, the same architecture was also evaluated with an earlier version of the training script that used a conventional image-level stratified split (test folds of 2,412–2,413 images) and selected checkpoints on validation accuracy (Section VII-A).</w:t>
      </w:r>
    </w:p>
    <w:bookmarkEnd w:id="51"/>
    <w:bookmarkStart w:id="52" w:name="c.-optimisation-and-model-selection"/>
    <w:p>
      <w:pPr>
        <w:pStyle w:val="Heading2"/>
      </w:pPr>
      <w:r>
        <w:t xml:space="preserve">C. Optimisation and Model Selection</w:t>
      </w:r>
    </w:p>
    <w:p>
      <w:pPr>
        <w:pStyle w:val="FirstParagraph"/>
      </w:pPr>
      <w:r>
        <w:t xml:space="preserve">The training configuration, identical for all folds, is listed in Table III. The checkpoint with the lowest validation cross-entropy was kept. Because the gate’s MC dropout also runs during validation, the random number generator was re-seeded before every validation pass, so that the dropout masks, and therefore the selection criterion, did not change randomly from epoch to epoch.</w:t>
      </w:r>
    </w:p>
    <w:p>
      <w:pPr>
        <w:pStyle w:val="TableCaption"/>
      </w:pPr>
      <w:r>
        <w:t xml:space="preserve">TABLE III. Training Configuration, Identical for All Folds</w:t>
      </w:r>
    </w:p>
    <w:tbl>
      <w:tblPr>
        <w:tblStyle w:val="Table"/>
        <w:tblW w:type="dxa" w:w="9026"/>
        <w:tblLook w:firstRow="1" w:lastRow="0" w:firstColumn="0" w:lastColumn="0" w:noHBand="0" w:noVBand="0" w:val="0020"/>
        <w:jc w:val="start"/>
        <w:tblCaption w:val="TABLE III. Training Configuration, Identical for All Folds"/>
      </w:tblPr>
      <w:tblGrid>
        <w:gridCol w:w="3471"/>
        <w:gridCol w:w="5555"/>
      </w:tblGrid>
      <w:tr>
        <w:trPr>
          <w:tblHeader w:val="true"/>
        </w:trPr>
        <w:tc>
          <w:tcPr>
            <w:tcW w:w="3471" w:type="dxa"/>
          </w:tcPr>
          <w:tcPr/>
          <w:p>
            <w:pPr>
              <w:pStyle w:val="Compact"/>
              <w:jc w:val="left"/>
            </w:pPr>
            <w:r>
              <w:rPr>
                <w:sz w:val="18"/>
                <w:szCs w:val="18"/>
              </w:rPr>
              <w:t xml:space="preserve">Setting</w:t>
            </w:r>
          </w:p>
        </w:tc>
        <w:tc>
          <w:tcPr>
            <w:tcW w:w="5555" w:type="dxa"/>
          </w:tcPr>
          <w:tcPr/>
          <w:p>
            <w:pPr>
              <w:pStyle w:val="Compact"/>
              <w:jc w:val="left"/>
            </w:pPr>
            <w:r>
              <w:rPr>
                <w:sz w:val="18"/>
                <w:szCs w:val="18"/>
              </w:rPr>
              <w:t xml:space="preserve">Value</w:t>
            </w:r>
          </w:p>
        </w:tc>
      </w:tr>
      <w:tr>
        <w:tc>
          <w:tcPr>
            <w:tcW w:w="3471" w:type="dxa"/>
          </w:tcPr>
          <w:tcPr/>
          <w:p>
            <w:pPr>
              <w:pStyle w:val="Compact"/>
              <w:jc w:val="left"/>
            </w:pPr>
            <w:r>
              <w:rPr>
                <w:sz w:val="18"/>
                <w:szCs w:val="18"/>
              </w:rPr>
              <w:t xml:space="preserve">Optimiser</w:t>
            </w:r>
          </w:p>
        </w:tc>
        <w:tc>
          <w:tcPr>
            <w:tcW w:w="5555" w:type="dxa"/>
          </w:tcPr>
          <w:tcPr/>
          <w:p>
            <w:pPr>
              <w:pStyle w:val="Compact"/>
              <w:jc w:val="left"/>
            </w:pPr>
            <w:r>
              <w:rPr>
                <w:sz w:val="18"/>
                <w:szCs w:val="18"/>
              </w:rPr>
              <w:t xml:space="preserve">AdamW </w:t>
            </w:r>
            <w:hyperlink w:anchor="ref-loshchilov2019adamw">
              <w:r>
                <w:rPr>
                  <w:sz w:val="18"/>
                  <w:szCs w:val="18"/>
                  <w:rStyle w:val="Hyperlink"/>
                </w:rPr>
                <w:t xml:space="preserve">[36]</w:t>
              </w:r>
            </w:hyperlink>
            <w:r>
              <w:rPr>
                <w:sz w:val="18"/>
                <w:szCs w:val="18"/>
              </w:rPr>
              <w:t xml:space="preserve">, weight decay 0.01</w:t>
            </w:r>
          </w:p>
        </w:tc>
      </w:tr>
      <w:tr>
        <w:tc>
          <w:tcPr>
            <w:tcW w:w="3471" w:type="dxa"/>
          </w:tcPr>
          <w:tcPr/>
          <w:p>
            <w:pPr>
              <w:pStyle w:val="Compact"/>
              <w:jc w:val="left"/>
            </w:pPr>
            <w:r>
              <w:rPr>
                <w:sz w:val="18"/>
                <w:szCs w:val="18"/>
              </w:rPr>
              <w:t xml:space="preserve">Peak learning rate</w:t>
            </w:r>
          </w:p>
        </w:tc>
        <w:tc>
          <w:tcPr>
            <w:tcW w:w="5555" w:type="dxa"/>
          </w:tcPr>
          <w:tcPr/>
          <w:p>
            <w:pPr>
              <w:pStyle w:val="Compact"/>
              <w:jc w:val="left"/>
            </w:pPr>
            <m:oMath>
              <m:r>
                <w:rPr>
                  <w:sz w:val="18"/>
                  <w:szCs w:val="18"/>
                </w:rPr>
                <m:t>3</m:t>
              </m:r>
              <m:r>
                <m:rPr>
                  <m:sty m:val="p"/>
                </m:rPr>
                <w:rPr>
                  <w:sz w:val="18"/>
                  <w:szCs w:val="18"/>
                </w:rPr>
                <m:t>×</m:t>
              </m:r>
              <m:sSup>
                <m:e>
                  <m:r>
                    <w:rPr>
                      <w:sz w:val="18"/>
                      <w:szCs w:val="18"/>
                    </w:rPr>
                    <m:t>10</m:t>
                  </m:r>
                </m:e>
                <m:sup>
                  <m:r>
                    <m:rPr>
                      <m:sty m:val="p"/>
                    </m:rPr>
                    <w:rPr>
                      <w:sz w:val="18"/>
                      <w:szCs w:val="18"/>
                    </w:rPr>
                    <m:t>−</m:t>
                  </m:r>
                  <m:r>
                    <w:rPr>
                      <w:sz w:val="18"/>
                      <w:szCs w:val="18"/>
                    </w:rPr>
                    <m:t>4</m:t>
                  </m:r>
                </m:sup>
              </m:sSup>
            </m:oMath>
            <w:r>
              <w:rPr>
                <w:sz w:val="18"/>
                <w:szCs w:val="18"/>
              </w:rPr>
              <w:t xml:space="preserve">;</w:t>
            </w:r>
            <w:r>
              <w:rPr>
                <w:sz w:val="18"/>
                <w:szCs w:val="18"/>
              </w:rPr>
              <w:t xml:space="preserve"> </w:t>
            </w:r>
            <m:oMath>
              <m:r>
                <w:rPr>
                  <w:sz w:val="18"/>
                  <w:szCs w:val="18"/>
                </w:rPr>
                <m:t>6</m:t>
              </m:r>
              <m:r>
                <m:rPr>
                  <m:sty m:val="p"/>
                </m:rPr>
                <w:rPr>
                  <w:sz w:val="18"/>
                  <w:szCs w:val="18"/>
                </w:rPr>
                <m:t>×</m:t>
              </m:r>
              <m:sSup>
                <m:e>
                  <m:r>
                    <w:rPr>
                      <w:sz w:val="18"/>
                      <w:szCs w:val="18"/>
                    </w:rPr>
                    <m:t>10</m:t>
                  </m:r>
                </m:e>
                <m:sup>
                  <m:r>
                    <m:rPr>
                      <m:sty m:val="p"/>
                    </m:rPr>
                    <w:rPr>
                      <w:sz w:val="18"/>
                      <w:szCs w:val="18"/>
                    </w:rPr>
                    <m:t>−</m:t>
                  </m:r>
                  <m:r>
                    <w:rPr>
                      <w:sz w:val="18"/>
                      <w:szCs w:val="18"/>
                    </w:rPr>
                    <m:t>5</m:t>
                  </m:r>
                </m:sup>
              </m:sSup>
            </m:oMath>
            <w:r>
              <w:rPr>
                <w:sz w:val="18"/>
                <w:szCs w:val="18"/>
              </w:rPr>
              <w:t xml:space="preserve"> </w:t>
            </w:r>
            <w:r>
              <w:rPr>
                <w:sz w:val="18"/>
                <w:szCs w:val="18"/>
              </w:rPr>
              <w:t xml:space="preserve">for GAT, TransformerConv and cross-modal attention modules (with their normalisation layers)</w:t>
            </w:r>
          </w:p>
        </w:tc>
      </w:tr>
      <w:tr>
        <w:tc>
          <w:tcPr>
            <w:tcW w:w="3471" w:type="dxa"/>
          </w:tcPr>
          <w:tcPr/>
          <w:p>
            <w:pPr>
              <w:pStyle w:val="Compact"/>
              <w:jc w:val="left"/>
            </w:pPr>
            <w:r>
              <w:rPr>
                <w:sz w:val="18"/>
                <w:szCs w:val="18"/>
              </w:rPr>
              <w:t xml:space="preserve">Schedule</w:t>
            </w:r>
          </w:p>
        </w:tc>
        <w:tc>
          <w:tcPr>
            <w:tcW w:w="5555" w:type="dxa"/>
          </w:tcPr>
          <w:tcPr/>
          <w:p>
            <w:pPr>
              <w:pStyle w:val="Compact"/>
              <w:jc w:val="left"/>
            </w:pPr>
            <w:r>
              <w:rPr>
                <w:sz w:val="18"/>
                <w:szCs w:val="18"/>
              </w:rPr>
              <w:t xml:space="preserve">OneCycle </w:t>
            </w:r>
            <w:hyperlink w:anchor="ref-smith2019superconvergence">
              <w:r>
                <w:rPr>
                  <w:sz w:val="18"/>
                  <w:szCs w:val="18"/>
                  <w:rStyle w:val="Hyperlink"/>
                </w:rPr>
                <w:t xml:space="preserve">[37]</w:t>
              </w:r>
            </w:hyperlink>
            <w:r>
              <w:rPr>
                <w:sz w:val="18"/>
                <w:szCs w:val="18"/>
              </w:rPr>
              <w:t xml:space="preserve"> </w:t>
            </w:r>
            <w:r>
              <w:rPr>
                <w:sz w:val="18"/>
                <w:szCs w:val="18"/>
              </w:rPr>
              <w:t xml:space="preserve">over 30 epochs, 10% warm-up, cosine annealing</w:t>
            </w:r>
          </w:p>
        </w:tc>
      </w:tr>
      <w:tr>
        <w:tc>
          <w:tcPr>
            <w:tcW w:w="3471" w:type="dxa"/>
          </w:tcPr>
          <w:tcPr/>
          <w:p>
            <w:pPr>
              <w:pStyle w:val="Compact"/>
              <w:jc w:val="left"/>
            </w:pPr>
            <w:r>
              <w:rPr>
                <w:sz w:val="18"/>
                <w:szCs w:val="18"/>
              </w:rPr>
              <w:t xml:space="preserve">Batch size</w:t>
            </w:r>
          </w:p>
        </w:tc>
        <w:tc>
          <w:tcPr>
            <w:tcW w:w="5555" w:type="dxa"/>
          </w:tcPr>
          <w:tcPr/>
          <w:p>
            <w:pPr>
              <w:pStyle w:val="Compact"/>
              <w:jc w:val="left"/>
            </w:pPr>
            <w:r>
              <w:rPr>
                <w:sz w:val="18"/>
                <w:szCs w:val="18"/>
              </w:rPr>
              <w:t xml:space="preserve">36 (243–249 training batches per epoch)</w:t>
            </w:r>
          </w:p>
        </w:tc>
      </w:tr>
      <w:tr>
        <w:tc>
          <w:tcPr>
            <w:tcW w:w="3471" w:type="dxa"/>
          </w:tcPr>
          <w:tcPr/>
          <w:p>
            <w:pPr>
              <w:pStyle w:val="Compact"/>
              <w:jc w:val="left"/>
            </w:pPr>
            <w:r>
              <w:rPr>
                <w:sz w:val="18"/>
                <w:szCs w:val="18"/>
              </w:rPr>
              <w:t xml:space="preserve">Max. epochs / early stopping</w:t>
            </w:r>
          </w:p>
        </w:tc>
        <w:tc>
          <w:tcPr>
            <w:tcW w:w="5555" w:type="dxa"/>
          </w:tcPr>
          <w:tcPr/>
          <w:p>
            <w:pPr>
              <w:pStyle w:val="Compact"/>
              <w:jc w:val="left"/>
            </w:pPr>
            <w:r>
              <w:rPr>
                <w:sz w:val="18"/>
                <w:szCs w:val="18"/>
              </w:rPr>
              <w:t xml:space="preserve">30 / patience 5 on validation cross-entropy</w:t>
            </w:r>
          </w:p>
        </w:tc>
      </w:tr>
      <w:tr>
        <w:tc>
          <w:tcPr>
            <w:tcW w:w="3471" w:type="dxa"/>
          </w:tcPr>
          <w:tcPr/>
          <w:p>
            <w:pPr>
              <w:pStyle w:val="Compact"/>
              <w:jc w:val="left"/>
            </w:pPr>
            <w:r>
              <w:rPr>
                <w:sz w:val="18"/>
                <w:szCs w:val="18"/>
              </w:rPr>
              <w:t xml:space="preserve">Loss</w:t>
            </w:r>
          </w:p>
        </w:tc>
        <w:tc>
          <w:tcPr>
            <w:tcW w:w="5555" w:type="dxa"/>
          </w:tcPr>
          <w:tcPr/>
          <w:p>
            <w:pPr>
              <w:pStyle w:val="Compact"/>
              <w:jc w:val="left"/>
            </w:pPr>
            <w:r>
              <w:rPr>
                <w:sz w:val="18"/>
                <w:szCs w:val="18"/>
              </w:rPr>
              <w:t xml:space="preserve">Section IV-H: label smoothing 0.03, auxiliary weight</w:t>
            </w:r>
            <w:r>
              <w:rPr>
                <w:sz w:val="18"/>
                <w:szCs w:val="18"/>
              </w:rPr>
              <w:t xml:space="preserve"> </w:t>
            </w:r>
            <m:oMath>
              <m:r>
                <w:rPr>
                  <w:sz w:val="18"/>
                  <w:szCs w:val="18"/>
                </w:rPr>
                <m:t>λ</m:t>
              </m:r>
              <m:r>
                <m:rPr>
                  <m:sty m:val="p"/>
                </m:rPr>
                <w:rPr>
                  <w:sz w:val="18"/>
                  <w:szCs w:val="18"/>
                </w:rPr>
                <m:t>=</m:t>
              </m:r>
              <m:r>
                <w:rPr>
                  <w:sz w:val="18"/>
                  <w:szCs w:val="18"/>
                </w:rPr>
                <m:t>0.15</m:t>
              </m:r>
            </m:oMath>
          </w:p>
        </w:tc>
      </w:tr>
      <w:tr>
        <w:tc>
          <w:tcPr>
            <w:tcW w:w="3471" w:type="dxa"/>
          </w:tcPr>
          <w:tcPr/>
          <w:p>
            <w:pPr>
              <w:pStyle w:val="Compact"/>
              <w:jc w:val="left"/>
            </w:pPr>
            <w:r>
              <w:rPr>
                <w:sz w:val="18"/>
                <w:szCs w:val="18"/>
              </w:rPr>
              <w:t xml:space="preserve">Gradient clipping</w:t>
            </w:r>
          </w:p>
        </w:tc>
        <w:tc>
          <w:tcPr>
            <w:tcW w:w="5555" w:type="dxa"/>
          </w:tcPr>
          <w:tcPr/>
          <w:p>
            <w:pPr>
              <w:pStyle w:val="Compact"/>
              <w:jc w:val="left"/>
            </w:pPr>
            <w:r>
              <w:rPr>
                <w:sz w:val="18"/>
                <w:szCs w:val="18"/>
              </w:rPr>
              <w:t xml:space="preserve">global norm 1.0</w:t>
            </w:r>
          </w:p>
        </w:tc>
      </w:tr>
      <w:tr>
        <w:tc>
          <w:tcPr>
            <w:tcW w:w="3471" w:type="dxa"/>
          </w:tcPr>
          <w:tcPr/>
          <w:p>
            <w:pPr>
              <w:pStyle w:val="Compact"/>
              <w:jc w:val="left"/>
            </w:pPr>
            <w:r>
              <w:rPr>
                <w:sz w:val="18"/>
                <w:szCs w:val="18"/>
              </w:rPr>
              <w:t xml:space="preserve">MC-dropout samples / rate</w:t>
            </w:r>
          </w:p>
        </w:tc>
        <w:tc>
          <w:tcPr>
            <w:tcW w:w="5555" w:type="dxa"/>
          </w:tcPr>
          <w:tcPr/>
          <w:p>
            <w:pPr>
              <w:pStyle w:val="Compact"/>
              <w:jc w:val="left"/>
            </w:pPr>
            <m:oMath>
              <m:r>
                <w:rPr>
                  <w:sz w:val="18"/>
                  <w:szCs w:val="18"/>
                </w:rPr>
                <m:t>T</m:t>
              </m:r>
              <m:r>
                <m:rPr>
                  <m:sty m:val="p"/>
                </m:rPr>
                <w:rPr>
                  <w:sz w:val="18"/>
                  <w:szCs w:val="18"/>
                </w:rPr>
                <m:t>=</m:t>
              </m:r>
              <m:r>
                <w:rPr>
                  <w:sz w:val="18"/>
                  <w:szCs w:val="18"/>
                </w:rPr>
                <m:t>20</m:t>
              </m:r>
            </m:oMath>
            <w:r>
              <w:rPr>
                <w:sz w:val="18"/>
                <w:szCs w:val="18"/>
              </w:rPr>
              <w:t xml:space="preserve"> </w:t>
            </w:r>
            <w:r>
              <w:rPr>
                <w:sz w:val="18"/>
                <w:szCs w:val="18"/>
              </w:rPr>
              <w:t xml:space="preserve">/</w:t>
            </w:r>
            <w:r>
              <w:rPr>
                <w:sz w:val="18"/>
                <w:szCs w:val="18"/>
              </w:rPr>
              <w:t xml:space="preserve"> </w:t>
            </w:r>
            <m:oMath>
              <m:r>
                <w:rPr>
                  <w:sz w:val="18"/>
                  <w:szCs w:val="18"/>
                </w:rPr>
                <m:t>p</m:t>
              </m:r>
              <m:r>
                <m:rPr>
                  <m:sty m:val="p"/>
                </m:rPr>
                <w:rPr>
                  <w:sz w:val="18"/>
                  <w:szCs w:val="18"/>
                </w:rPr>
                <m:t>=</m:t>
              </m:r>
              <m:r>
                <w:rPr>
                  <w:sz w:val="18"/>
                  <w:szCs w:val="18"/>
                </w:rPr>
                <m:t>0.20</m:t>
              </m:r>
            </m:oMath>
          </w:p>
        </w:tc>
      </w:tr>
      <w:tr>
        <w:tc>
          <w:tcPr>
            <w:tcW w:w="3471" w:type="dxa"/>
          </w:tcPr>
          <w:tcPr/>
          <w:p>
            <w:pPr>
              <w:pStyle w:val="Compact"/>
              <w:jc w:val="left"/>
            </w:pPr>
            <w:r>
              <w:rPr>
                <w:sz w:val="18"/>
                <w:szCs w:val="18"/>
              </w:rPr>
              <w:t xml:space="preserve">Test-time augmentation</w:t>
            </w:r>
          </w:p>
        </w:tc>
        <w:tc>
          <w:tcPr>
            <w:tcW w:w="5555" w:type="dxa"/>
          </w:tcPr>
          <w:tcPr/>
          <w:p>
            <w:pPr>
              <w:pStyle w:val="Compact"/>
              <w:jc w:val="left"/>
            </w:pPr>
            <w:r>
              <w:rPr>
                <w:sz w:val="18"/>
                <w:szCs w:val="18"/>
              </w:rPr>
              <w:t xml:space="preserve">10 deterministic views (Section IV-I)</w:t>
            </w:r>
          </w:p>
        </w:tc>
      </w:tr>
      <w:tr>
        <w:tc>
          <w:tcPr>
            <w:tcW w:w="3471" w:type="dxa"/>
          </w:tcPr>
          <w:tcPr/>
          <w:p>
            <w:pPr>
              <w:pStyle w:val="Compact"/>
              <w:jc w:val="left"/>
            </w:pPr>
            <w:r>
              <w:rPr>
                <w:sz w:val="18"/>
                <w:szCs w:val="18"/>
              </w:rPr>
              <w:t xml:space="preserve">Random seed</w:t>
            </w:r>
          </w:p>
        </w:tc>
        <w:tc>
          <w:tcPr>
            <w:tcW w:w="5555" w:type="dxa"/>
          </w:tcPr>
          <w:tcPr/>
          <w:p>
            <w:pPr>
              <w:pStyle w:val="Compact"/>
              <w:jc w:val="left"/>
            </w:pPr>
            <w:r>
              <w:rPr>
                <w:sz w:val="18"/>
                <w:szCs w:val="18"/>
              </w:rPr>
              <w:t xml:space="preserve">42 (Python, NumPy, PyTorch, CUDA; deterministic cuDNN)</w:t>
            </w:r>
          </w:p>
        </w:tc>
      </w:tr>
    </w:tbl>
    <w:bookmarkEnd w:id="52"/>
    <w:bookmarkStart w:id="53" w:name="d.-metrics"/>
    <w:p>
      <w:pPr>
        <w:pStyle w:val="Heading2"/>
      </w:pPr>
      <w:r>
        <w:t xml:space="preserve">D. Metrics</w:t>
      </w:r>
    </w:p>
    <w:p>
      <w:pPr>
        <w:pStyle w:val="FirstParagraph"/>
      </w:pPr>
      <w:r>
        <w:t xml:space="preserve">We report accuracy and macro-averaged precision, recall and F1, which weight the four classes equally. With</w:t>
      </w:r>
      <w:r>
        <w:t xml:space="preserve"> </w:t>
      </w:r>
      <m:oMath>
        <m:r>
          <m:t>N</m:t>
        </m:r>
      </m:oMath>
      <w:r>
        <w:t xml:space="preserve"> </w:t>
      </w:r>
      <w:r>
        <w:t xml:space="preserve">test images,</w:t>
      </w:r>
      <w:r>
        <w:t xml:space="preserve"> </w:t>
      </w:r>
      <m:oMath>
        <m:r>
          <m:t>C</m:t>
        </m:r>
        <m:r>
          <m:rPr>
            <m:sty m:val="p"/>
          </m:rPr>
          <m:t>=</m:t>
        </m:r>
        <m:r>
          <m:t>4</m:t>
        </m:r>
      </m:oMath>
      <w:r>
        <w:t xml:space="preserve"> </w:t>
      </w:r>
      <w:r>
        <w:t xml:space="preserve">classes and per-class precision</w:t>
      </w:r>
      <w:r>
        <w:t xml:space="preserve"> </w:t>
      </w:r>
      <m:oMath>
        <m:sSub>
          <m:e>
            <m:r>
              <m:t>P</m:t>
            </m:r>
          </m:e>
          <m:sub>
            <m:r>
              <m:t>c</m:t>
            </m:r>
          </m:sub>
        </m:sSub>
      </m:oMath>
      <w:r>
        <w:t xml:space="preserve"> </w:t>
      </w:r>
      <w:r>
        <w:t xml:space="preserve">and recall</w:t>
      </w:r>
      <w:r>
        <w:t xml:space="preserve"> </w:t>
      </w:r>
      <m:oMath>
        <m:sSub>
          <m:e>
            <m:r>
              <m:t>R</m:t>
            </m:r>
          </m:e>
          <m:sub>
            <m:r>
              <m:t>c</m:t>
            </m:r>
          </m:sub>
        </m:sSub>
      </m:oMath>
      <w:r>
        <w:t xml:space="preserve">:</w:t>
      </w:r>
    </w:p>
    <w:p>
      <w:pPr>
        <w:pStyle w:val="BodyText"/>
      </w:pPr>
      <m:oMathPara>
        <m:oMathParaPr>
          <m:jc m:val="center"/>
        </m:oMathParaPr>
        <m:oMath>
          <m:r>
            <m:rPr>
              <m:sty m:val="p"/>
            </m:rPr>
            <m:t>A</m:t>
          </m:r>
          <m:r>
            <m:rPr>
              <m:sty m:val="p"/>
            </m:rPr>
            <m:t>c</m:t>
          </m:r>
          <m:r>
            <m:rPr>
              <m:sty m:val="p"/>
            </m:rPr>
            <m:t>c</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ty m:val="b"/>
                </m:rPr>
                <m:t>1</m:t>
              </m:r>
            </m:e>
          </m:nary>
          <m:d>
            <m:dPr>
              <m:begChr m:val="["/>
              <m:endChr m:val="]"/>
              <m:sepChr m:val=""/>
              <m:grow/>
            </m:dPr>
            <m:e>
              <m:sSub>
                <m:e>
                  <m:acc>
                    <m:accPr>
                      <m:chr m:val="̂"/>
                    </m:accPr>
                    <m:e>
                      <m:r>
                        <m:t>y</m:t>
                      </m:r>
                    </m:e>
                  </m:acc>
                </m:e>
                <m:sub>
                  <m:r>
                    <m:t>n</m:t>
                  </m:r>
                </m:sub>
              </m:sSub>
              <m:r>
                <m:rPr>
                  <m:sty m:val="p"/>
                </m:rPr>
                <m:t>=</m:t>
              </m:r>
              <m:sSub>
                <m:e>
                  <m:r>
                    <m:t>y</m:t>
                  </m:r>
                </m:e>
                <m:sub>
                  <m:r>
                    <m:t>n</m:t>
                  </m:r>
                </m:sub>
              </m:sSub>
            </m:e>
          </m:d>
          <m:r>
            <m:rPr>
              <m:sty m:val="p"/>
            </m:rPr>
            <m:t>,</m:t>
          </m:r>
          <m:r>
            <m:t>  </m:t>
          </m:r>
          <m:sSub>
            <m:e>
              <m:r>
                <m:rPr>
                  <m:sty m:val="p"/>
                </m:rPr>
                <m:t>F</m:t>
              </m:r>
              <m:r>
                <m:rPr>
                  <m:sty m:val="p"/>
                </m:rPr>
                <m:t>1</m:t>
              </m:r>
            </m:e>
            <m:sub>
              <m:r>
                <m:rPr>
                  <m:sty m:val="p"/>
                </m:rPr>
                <m:t>m</m:t>
              </m:r>
              <m:r>
                <m:rPr>
                  <m:sty m:val="p"/>
                </m:rPr>
                <m:t>a</m:t>
              </m:r>
              <m:r>
                <m:rPr>
                  <m:sty m:val="p"/>
                </m:rPr>
                <m:t>c</m:t>
              </m:r>
              <m:r>
                <m:rPr>
                  <m:sty m:val="p"/>
                </m:rPr>
                <m:t>r</m:t>
              </m:r>
              <m:r>
                <m:rPr>
                  <m:sty m:val="p"/>
                </m:rPr>
                <m:t>o</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sSub>
                    <m:e>
                      <m:r>
                        <m:t>P</m:t>
                      </m:r>
                    </m:e>
                    <m:sub>
                      <m:r>
                        <m:t>c</m:t>
                      </m:r>
                    </m:sub>
                  </m:sSub>
                  <m:sSub>
                    <m:e>
                      <m:r>
                        <m:t>R</m:t>
                      </m:r>
                    </m:e>
                    <m:sub>
                      <m:r>
                        <m:t>c</m:t>
                      </m:r>
                    </m:sub>
                  </m:sSub>
                </m:num>
                <m:den>
                  <m:sSub>
                    <m:e>
                      <m:r>
                        <m:t>P</m:t>
                      </m:r>
                    </m:e>
                    <m:sub>
                      <m:r>
                        <m:t>c</m:t>
                      </m:r>
                    </m:sub>
                  </m:sSub>
                  <m:r>
                    <m:rPr>
                      <m:sty m:val="p"/>
                    </m:rPr>
                    <m:t>+</m:t>
                  </m:r>
                  <m:sSub>
                    <m:e>
                      <m:r>
                        <m:t>R</m:t>
                      </m:r>
                    </m:e>
                    <m:sub>
                      <m:r>
                        <m:t>c</m:t>
                      </m:r>
                    </m:sub>
                  </m:sSub>
                </m:den>
              </m:f>
            </m:e>
          </m:nary>
          <m:r>
            <m:rPr>
              <m:sty m:val="p"/>
            </m:rPr>
            <m:t>.</m:t>
          </m:r>
        </m:oMath>
      </m:oMathPara>
    </w:p>
    <w:p>
      <w:pPr>
        <w:pStyle w:val="FirstParagraph"/>
      </w:pPr>
      <w:r>
        <w:t xml:space="preserve">Class-wise sensitivity (recall) and specificity are computed one-vs-rest. Calibration is measured by top-label ECE with ten equal-width confidence bins</w:t>
      </w:r>
      <w:r>
        <w:t xml:space="preserve"> </w:t>
      </w:r>
      <m:oMath>
        <m:sSub>
          <m:e>
            <m:r>
              <m:t>B</m:t>
            </m:r>
          </m:e>
          <m:sub>
            <m:r>
              <m:t>b</m:t>
            </m:r>
          </m:sub>
        </m:sSub>
      </m:oMath>
      <w:r>
        <w:t xml:space="preserve"> </w:t>
      </w:r>
      <w:hyperlink w:anchor="ref-guo2017calibration">
        <w:r>
          <w:rPr>
            <w:rStyle w:val="Hyperlink"/>
          </w:rPr>
          <w:t xml:space="preserve">[8]</w:t>
        </w:r>
      </w:hyperlink>
      <w:r>
        <w:t xml:space="preserve">,</w:t>
      </w:r>
      <w:r>
        <w:t xml:space="preserve"> </w:t>
      </w:r>
      <w:hyperlink w:anchor="ref-naeini2015bbq">
        <w:r>
          <w:rPr>
            <w:rStyle w:val="Hyperlink"/>
          </w:rPr>
          <w:t xml:space="preserve">[23]</w:t>
        </w:r>
      </w:hyperlink>
      <w:r>
        <w:t xml:space="preserve"> </w:t>
      </w:r>
      <w:r>
        <w:t xml:space="preserve">and by the multiclass Brier score </w:t>
      </w:r>
      <w:hyperlink w:anchor="ref-brier1950verification">
        <w:r>
          <w:rPr>
            <w:rStyle w:val="Hyperlink"/>
          </w:rPr>
          <w:t xml:space="preserve">[24]</w:t>
        </w:r>
      </w:hyperlink>
      <w:r>
        <w:t xml:space="preserve">, summed over classes (range 0–2):</w:t>
      </w:r>
    </w:p>
    <w:p>
      <w:pPr>
        <w:pStyle w:val="BodyText"/>
      </w:pPr>
      <m:oMathPara>
        <m:oMathParaPr>
          <m:jc m:val="center"/>
        </m:oMathParaPr>
        <m:oMath>
          <m:m>
            <m:mPr>
              <m:baseJc m:val="center"/>
              <m:plcHide m:val="on"/>
              <m:mcs>
                <m:mc>
                  <m:mcPr>
                    <m:mcJc m:val="center"/>
                    <m:count m:val="1"/>
                  </m:mcPr>
                </m:mc>
              </m:mcs>
            </m:mPr>
            <m:mr>
              <m:e>
                <m:r>
                  <m:rPr>
                    <m:sty m:val="p"/>
                  </m:rPr>
                  <m:t>E</m:t>
                </m:r>
                <m:r>
                  <m:rPr>
                    <m:sty m:val="p"/>
                  </m:rPr>
                  <m:t>C</m:t>
                </m:r>
                <m:r>
                  <m:rPr>
                    <m:sty m:val="p"/>
                  </m:rPr>
                  <m:t>E</m:t>
                </m:r>
                <m:r>
                  <m:rPr>
                    <m:sty m:val="p"/>
                  </m:rPr>
                  <m:t>=</m:t>
                </m:r>
                <m:nary>
                  <m:naryPr>
                    <m:chr m:val="∑"/>
                    <m:limLoc m:val="undOvr"/>
                    <m:subHide m:val="off"/>
                    <m:supHide m:val="off"/>
                  </m:naryPr>
                  <m:sub>
                    <m:r>
                      <m:t>b</m:t>
                    </m:r>
                    <m:r>
                      <m:rPr>
                        <m:sty m:val="p"/>
                      </m:rPr>
                      <m:t>=</m:t>
                    </m:r>
                    <m:r>
                      <m:t>1</m:t>
                    </m:r>
                  </m:sub>
                  <m:sup>
                    <m:r>
                      <m:t>10</m:t>
                    </m:r>
                  </m:sup>
                  <m:e>
                    <m:f>
                      <m:fPr>
                        <m:type m:val="bar"/>
                      </m:fPr>
                      <m:num>
                        <m:d>
                          <m:dPr>
                            <m:begChr m:val="|"/>
                            <m:endChr m:val="|"/>
                            <m:sepChr m:val=""/>
                            <m:grow/>
                          </m:dPr>
                          <m:e>
                            <m:sSub>
                              <m:e>
                                <m:r>
                                  <m:t>B</m:t>
                                </m:r>
                              </m:e>
                              <m:sub>
                                <m:r>
                                  <m:t>b</m:t>
                                </m:r>
                              </m:sub>
                            </m:sSub>
                          </m:e>
                        </m:d>
                      </m:num>
                      <m:den>
                        <m:r>
                          <m:t>N</m:t>
                        </m:r>
                      </m:den>
                    </m:f>
                  </m:e>
                </m:nary>
                <m:r>
                  <m:t> </m:t>
                </m:r>
                <m:r>
                  <m:rPr>
                    <m:sty m:val="p"/>
                  </m:rPr>
                  <m:t>|</m:t>
                </m:r>
                <m:r>
                  <m:rPr>
                    <m:sty m:val="p"/>
                  </m:rPr>
                  <m:t>a</m:t>
                </m:r>
                <m:r>
                  <m:rPr>
                    <m:sty m:val="p"/>
                  </m:rPr>
                  <m:t>c</m:t>
                </m:r>
                <m:r>
                  <m:rPr>
                    <m:sty m:val="p"/>
                  </m:rPr>
                  <m:t>c</m:t>
                </m:r>
                <m:d>
                  <m:dPr>
                    <m:begChr m:val="("/>
                    <m:endChr m:val=")"/>
                    <m:sepChr m:val=""/>
                    <m:grow/>
                  </m:dPr>
                  <m:e>
                    <m:sSub>
                      <m:e>
                        <m:r>
                          <m:t>B</m:t>
                        </m:r>
                      </m:e>
                      <m:sub>
                        <m:r>
                          <m:t>b</m:t>
                        </m:r>
                      </m:sub>
                    </m:sSub>
                  </m:e>
                </m:d>
                <m:r>
                  <m:rPr>
                    <m:sty m:val="p"/>
                  </m:rPr>
                  <m:t>−</m:t>
                </m:r>
                <m:r>
                  <m:rPr>
                    <m:sty m:val="p"/>
                  </m:rPr>
                  <m:t>c</m:t>
                </m:r>
                <m:r>
                  <m:rPr>
                    <m:sty m:val="p"/>
                  </m:rPr>
                  <m:t>o</m:t>
                </m:r>
                <m:r>
                  <m:rPr>
                    <m:sty m:val="p"/>
                  </m:rPr>
                  <m:t>n</m:t>
                </m:r>
                <m:r>
                  <m:rPr>
                    <m:sty m:val="p"/>
                  </m:rPr>
                  <m:t>f</m:t>
                </m:r>
                <m:d>
                  <m:dPr>
                    <m:begChr m:val="("/>
                    <m:endChr m:val=")"/>
                    <m:sepChr m:val=""/>
                    <m:grow/>
                  </m:dPr>
                  <m:e>
                    <m:sSub>
                      <m:e>
                        <m:r>
                          <m:t>B</m:t>
                        </m:r>
                      </m:e>
                      <m:sub>
                        <m:r>
                          <m:t>b</m:t>
                        </m:r>
                      </m:sub>
                    </m:sSub>
                  </m:e>
                </m:d>
                <m:r>
                  <m:rPr>
                    <m:sty m:val="p"/>
                  </m:rPr>
                  <m:t>|</m:t>
                </m:r>
                <m:r>
                  <m:rPr>
                    <m:sty m:val="p"/>
                  </m:rPr>
                  <m:t>,</m:t>
                </m:r>
              </m:e>
            </m:mr>
            <m:mr>
              <m:e>
                <m:r>
                  <m:rPr>
                    <m:sty m:val="p"/>
                  </m:rPr>
                  <m:t>B</m:t>
                </m:r>
                <m:r>
                  <m:rPr>
                    <m:sty m:val="p"/>
                  </m:rPr>
                  <m:t>r</m:t>
                </m:r>
                <m:r>
                  <m:rPr>
                    <m:sty m:val="p"/>
                  </m:rPr>
                  <m:t>i</m:t>
                </m:r>
                <m:r>
                  <m:rPr>
                    <m:sty m:val="p"/>
                  </m:rPr>
                  <m:t>e</m:t>
                </m:r>
                <m:r>
                  <m:rPr>
                    <m:sty m:val="p"/>
                  </m:rPr>
                  <m:t>r</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c</m:t>
                        </m:r>
                        <m:r>
                          <m:rPr>
                            <m:sty m:val="p"/>
                          </m:rPr>
                          <m:t>=</m:t>
                        </m:r>
                        <m:r>
                          <m:t>1</m:t>
                        </m:r>
                      </m:sub>
                      <m:sup>
                        <m:r>
                          <m:t>C</m:t>
                        </m:r>
                      </m:sup>
                      <m:e>
                        <m:r>
                          <m:rPr>
                            <m:sty m:val="p"/>
                          </m:rPr>
                          <m:t>(</m:t>
                        </m:r>
                      </m:e>
                    </m:nary>
                  </m:e>
                </m:nary>
                <m:sSub>
                  <m:e>
                    <m:r>
                      <m:t>p</m:t>
                    </m:r>
                  </m:e>
                  <m:sub>
                    <m:r>
                      <m:t>n</m:t>
                    </m:r>
                    <m:r>
                      <m:rPr>
                        <m:sty m:val="p"/>
                      </m:rPr>
                      <m:t>,</m:t>
                    </m:r>
                    <m:r>
                      <m:t>c</m:t>
                    </m:r>
                  </m:sub>
                </m:sSub>
                <m:r>
                  <m:rPr>
                    <m:sty m:val="p"/>
                  </m:rPr>
                  <m:t>−</m:t>
                </m:r>
                <m:r>
                  <m:rPr>
                    <m:sty m:val="b"/>
                  </m:rPr>
                  <m:t>1</m:t>
                </m:r>
                <m:d>
                  <m:dPr>
                    <m:begChr m:val="["/>
                    <m:endChr m:val="]"/>
                    <m:sepChr m:val=""/>
                    <m:grow/>
                  </m:dPr>
                  <m:e>
                    <m:sSub>
                      <m:e>
                        <m:r>
                          <m:t>y</m:t>
                        </m:r>
                      </m:e>
                      <m:sub>
                        <m:r>
                          <m:t>n</m:t>
                        </m:r>
                      </m:sub>
                    </m:sSub>
                    <m:r>
                      <m:rPr>
                        <m:sty m:val="p"/>
                      </m:rPr>
                      <m:t>=</m:t>
                    </m:r>
                    <m:r>
                      <m:t>c</m:t>
                    </m:r>
                  </m:e>
                </m:d>
                <m:sSup>
                  <m:e>
                    <m:r>
                      <m:rPr>
                        <m:sty m:val="p"/>
                      </m:rPr>
                      <m:t>)</m:t>
                    </m:r>
                  </m:e>
                  <m:sup>
                    <m:r>
                      <m:t>2</m:t>
                    </m:r>
                  </m:sup>
                </m:sSup>
                <m:r>
                  <m:rPr>
                    <m:sty m:val="p"/>
                  </m:rPr>
                  <m:t>.</m:t>
                </m:r>
              </m:e>
            </m:mr>
          </m:m>
        </m:oMath>
      </m:oMathPara>
    </w:p>
    <w:p>
      <w:pPr>
        <w:pStyle w:val="FirstParagraph"/>
      </w:pPr>
      <w:r>
        <w:t xml:space="preserve">We also report the negative log-likelihood (NLL) of the true class.</w:t>
      </w:r>
    </w:p>
    <w:bookmarkEnd w:id="53"/>
    <w:bookmarkStart w:id="54" w:name="e.-aggregation-and-verification"/>
    <w:p>
      <w:pPr>
        <w:pStyle w:val="Heading2"/>
      </w:pPr>
      <w:r>
        <w:t xml:space="preserve">E. Aggregation and Verification</w:t>
      </w:r>
    </w:p>
    <w:p>
      <w:pPr>
        <w:pStyle w:val="FirstParagraph"/>
      </w:pPr>
      <w:r>
        <w:t xml:space="preserve">Fold-level metrics are summarised as mean</w:t>
      </w:r>
      <w:r>
        <w:t xml:space="preserve"> </w:t>
      </w:r>
      <m:oMath>
        <m:r>
          <m:rPr>
            <m:sty m:val="p"/>
          </m:rPr>
          <m:t>±</m:t>
        </m:r>
      </m:oMath>
      <w:r>
        <w:t xml:space="preserve"> </w:t>
      </w:r>
      <w:r>
        <w:t xml:space="preserve">sample standard deviation (</w:t>
      </w:r>
      <m:oMath>
        <m:r>
          <m:t>n</m:t>
        </m:r>
        <m:r>
          <m:rPr>
            <m:sty m:val="p"/>
          </m:rPr>
          <m:t>=</m:t>
        </m:r>
        <m:r>
          <m:t>5</m:t>
        </m:r>
      </m:oMath>
      <w:r>
        <w:t xml:space="preserve">). Each image is predicted only by the model of the fold in which it was held out. The five prediction files were concatenated into one set of 12,064 out-of-fold (OOF) predictions, used for the pooled confusion matrix, per-class analysis and reliability diagram. The five models are never ensembled on these data. Pooled 95% confidence intervals come from 2,000 bootstrap resamples </w:t>
      </w:r>
      <w:hyperlink w:anchor="ref-efron1993bootstrap">
        <w:r>
          <w:rPr>
            <w:rStyle w:val="Hyperlink"/>
          </w:rPr>
          <w:t xml:space="preserve">[38]</w:t>
        </w:r>
      </w:hyperlink>
      <w:r>
        <w:t xml:space="preserve"> </w:t>
      </w:r>
      <w:r>
        <w:t xml:space="preserve">of whole duplicate groups, because errors are correlated within a group (Section VII-B).</w:t>
      </w:r>
    </w:p>
    <w:p>
      <w:pPr>
        <w:pStyle w:val="BodyText"/>
      </w:pPr>
      <w:r>
        <w:t xml:space="preserve">Before analysis, every saved metric was recomputed independently from the per-image predictions. The five test folds were checked to be pairwise disjoint, to cover all 12,064 images exactly once and to share no group with their training data. All recomputed values matched the saved ones.</w:t>
      </w:r>
    </w:p>
    <w:bookmarkEnd w:id="54"/>
    <w:bookmarkEnd w:id="55"/>
    <w:bookmarkStart w:id="75" w:name="vi.-results"/>
    <w:p>
      <w:pPr>
        <w:pStyle w:val="Heading1"/>
      </w:pPr>
      <w:r>
        <w:t xml:space="preserve">VI. Results</w:t>
      </w:r>
    </w:p>
    <w:p>
      <w:pPr>
        <w:pStyle w:val="FirstParagraph"/>
      </w:pPr>
      <w:r>
        <w:t xml:space="preserve">All results in this section come from the duplicate-aware split of Section V-B.</w:t>
      </w:r>
    </w:p>
    <w:bookmarkStart w:id="56" w:name="a.-fold-wise-performance"/>
    <w:p>
      <w:pPr>
        <w:pStyle w:val="Heading2"/>
      </w:pPr>
      <w:r>
        <w:t xml:space="preserve">A. Fold-Wise Performance</w:t>
      </w:r>
    </w:p>
    <w:p>
      <w:pPr>
        <w:pStyle w:val="FirstParagraph"/>
      </w:pPr>
      <w:r>
        <w:t xml:space="preserve">Across the five folds, accuracy was</w:t>
      </w:r>
      <w:r>
        <w:t xml:space="preserve"> </w:t>
      </w:r>
      <m:oMath>
        <m:r>
          <m:t>96.54</m:t>
        </m:r>
        <m:r>
          <m:rPr>
            <m:sty m:val="p"/>
          </m:rPr>
          <m:t>±</m:t>
        </m:r>
        <m:r>
          <m:t>1.71</m:t>
        </m:r>
        <m:r>
          <m:rPr>
            <m:sty m:val="p"/>
          </m:rPr>
          <m:t>%</m:t>
        </m:r>
      </m:oMath>
      <w:r>
        <w:t xml:space="preserve"> </w:t>
      </w:r>
      <w:r>
        <w:t xml:space="preserve">and macro-F1</w:t>
      </w:r>
      <w:r>
        <w:t xml:space="preserve"> </w:t>
      </w:r>
      <m:oMath>
        <m:r>
          <m:t>96.36</m:t>
        </m:r>
        <m:r>
          <m:rPr>
            <m:sty m:val="p"/>
          </m:rPr>
          <m:t>±</m:t>
        </m:r>
        <m:r>
          <m:t>1.81</m:t>
        </m:r>
        <m:r>
          <m:rPr>
            <m:sty m:val="p"/>
          </m:rPr>
          <m:t>%</m:t>
        </m:r>
      </m:oMath>
      <w:r>
        <w:t xml:space="preserve"> </w:t>
      </w:r>
      <w:r>
        <w:t xml:space="preserve">(Table IV). Folds 1, 2 and 4 reached 97.06–98.16%; folds 3 and 5 reached 95.16% and 94.34%, with 123 and 140 errors (see also Fig. 8). Early stopping selected checkpoints between epochs 8 and 16.</w:t>
      </w:r>
    </w:p>
    <w:p>
      <w:pPr>
        <w:pStyle w:val="TableCaption"/>
      </w:pPr>
      <w:r>
        <w:t xml:space="preserve">TABLE IV. Held-Out Performance per Fold Under the Duplicate-Aware Split (Macro-Averaged Precision, Recall and F1)</w:t>
      </w:r>
    </w:p>
    <w:tbl>
      <w:tblPr>
        <w:tblStyle w:val="Table"/>
        <w:tblW w:type="dxa" w:w="9026"/>
        <w:tblLook w:firstRow="1" w:lastRow="0" w:firstColumn="0" w:lastColumn="0" w:noHBand="0" w:noVBand="0" w:val="0020"/>
        <w:jc w:val="start"/>
        <w:tblCaption w:val="TABLE IV. Held-Out Performance per Fold Under the Duplicate-Aware Split (Macro-Averaged Precision, Recall and F1)"/>
      </w:tblPr>
      <w:tblGrid>
        <w:gridCol w:w="921"/>
        <w:gridCol w:w="828"/>
        <w:gridCol w:w="1013"/>
        <w:gridCol w:w="736"/>
        <w:gridCol w:w="828"/>
        <w:gridCol w:w="736"/>
        <w:gridCol w:w="828"/>
        <w:gridCol w:w="828"/>
        <w:gridCol w:w="828"/>
        <w:gridCol w:w="828"/>
        <w:gridCol w:w="652"/>
      </w:tblGrid>
      <w:tr>
        <w:trPr>
          <w:tblHeader w:val="true"/>
        </w:trPr>
        <w:tc>
          <w:tcPr>
            <w:tcW w:w="921" w:type="dxa"/>
          </w:tcPr>
          <w:tcPr/>
          <w:p>
            <w:pPr>
              <w:pStyle w:val="Compact"/>
              <w:jc w:val="center"/>
            </w:pPr>
            <w:r>
              <w:rPr>
                <w:sz w:val="18"/>
                <w:szCs w:val="18"/>
              </w:rPr>
              <w:t xml:space="preserve">Fold</w:t>
            </w:r>
          </w:p>
        </w:tc>
        <w:tc>
          <w:tcPr>
            <w:tcW w:w="828" w:type="dxa"/>
          </w:tcPr>
          <w:tcPr/>
          <w:p>
            <w:pPr>
              <w:pStyle w:val="Compact"/>
              <w:jc w:val="right"/>
            </w:pPr>
            <w:r>
              <w:rPr>
                <w:sz w:val="18"/>
                <w:szCs w:val="18"/>
              </w:rPr>
              <w:t xml:space="preserve">Images</w:t>
            </w:r>
          </w:p>
        </w:tc>
        <w:tc>
          <w:tcPr>
            <w:tcW w:w="1013" w:type="dxa"/>
          </w:tcPr>
          <w:tcPr/>
          <w:p>
            <w:pPr>
              <w:pStyle w:val="Compact"/>
              <w:jc w:val="center"/>
            </w:pPr>
            <w:r>
              <w:rPr>
                <w:sz w:val="18"/>
                <w:szCs w:val="18"/>
              </w:rPr>
              <w:t xml:space="preserve">Accuracy (%)</w:t>
            </w:r>
          </w:p>
        </w:tc>
        <w:tc>
          <w:tcPr>
            <w:tcW w:w="736" w:type="dxa"/>
          </w:tcPr>
          <w:tcPr/>
          <w:p>
            <w:pPr>
              <w:pStyle w:val="Compact"/>
              <w:jc w:val="center"/>
            </w:pPr>
            <w:r>
              <w:rPr>
                <w:sz w:val="18"/>
                <w:szCs w:val="18"/>
              </w:rPr>
              <w:t xml:space="preserve">Prec. (%)</w:t>
            </w:r>
          </w:p>
        </w:tc>
        <w:tc>
          <w:tcPr>
            <w:tcW w:w="828" w:type="dxa"/>
          </w:tcPr>
          <w:tcPr/>
          <w:p>
            <w:pPr>
              <w:pStyle w:val="Compact"/>
              <w:jc w:val="center"/>
            </w:pPr>
            <w:r>
              <w:rPr>
                <w:sz w:val="18"/>
                <w:szCs w:val="18"/>
              </w:rPr>
              <w:t xml:space="preserve">Recall (%)</w:t>
            </w:r>
          </w:p>
        </w:tc>
        <w:tc>
          <w:tcPr>
            <w:tcW w:w="736" w:type="dxa"/>
          </w:tcPr>
          <w:tcPr/>
          <w:p>
            <w:pPr>
              <w:pStyle w:val="Compact"/>
              <w:jc w:val="center"/>
            </w:pPr>
            <w:r>
              <w:rPr>
                <w:sz w:val="18"/>
                <w:szCs w:val="18"/>
              </w:rPr>
              <w:t xml:space="preserve">F1 (%)</w:t>
            </w:r>
          </w:p>
        </w:tc>
        <w:tc>
          <w:tcPr>
            <w:tcW w:w="828" w:type="dxa"/>
          </w:tcPr>
          <w:tcPr/>
          <w:p>
            <w:pPr>
              <w:pStyle w:val="Compact"/>
              <w:jc w:val="center"/>
            </w:pPr>
            <w:r>
              <w:rPr>
                <w:sz w:val="18"/>
                <w:szCs w:val="18"/>
              </w:rPr>
              <w:t xml:space="preserve">ECE</w:t>
            </w:r>
          </w:p>
        </w:tc>
        <w:tc>
          <w:tcPr>
            <w:tcW w:w="828" w:type="dxa"/>
          </w:tcPr>
          <w:tcPr/>
          <w:p>
            <w:pPr>
              <w:pStyle w:val="Compact"/>
              <w:jc w:val="center"/>
            </w:pPr>
            <w:r>
              <w:rPr>
                <w:sz w:val="18"/>
                <w:szCs w:val="18"/>
              </w:rPr>
              <w:t xml:space="preserve">Brier</w:t>
            </w:r>
          </w:p>
        </w:tc>
        <w:tc>
          <w:tcPr>
            <w:tcW w:w="828" w:type="dxa"/>
          </w:tcPr>
          <w:tcPr/>
          <w:p>
            <w:pPr>
              <w:pStyle w:val="Compact"/>
              <w:jc w:val="center"/>
            </w:pPr>
            <w:r>
              <w:rPr>
                <w:sz w:val="18"/>
                <w:szCs w:val="18"/>
              </w:rPr>
              <w:t xml:space="preserve">NLL</w:t>
            </w:r>
          </w:p>
        </w:tc>
        <w:tc>
          <w:tcPr>
            <w:tcW w:w="828" w:type="dxa"/>
          </w:tcPr>
          <w:tcPr/>
          <w:p>
            <w:pPr>
              <w:pStyle w:val="Compact"/>
              <w:jc w:val="right"/>
            </w:pPr>
            <w:r>
              <w:rPr>
                <w:sz w:val="18"/>
                <w:szCs w:val="18"/>
              </w:rPr>
              <w:t xml:space="preserve">Errors</w:t>
            </w:r>
          </w:p>
        </w:tc>
        <w:tc>
          <w:tcPr>
            <w:tcW w:w="652" w:type="dxa"/>
          </w:tcPr>
          <w:tcPr/>
          <w:p>
            <w:pPr>
              <w:pStyle w:val="Compact"/>
              <w:jc w:val="center"/>
            </w:pPr>
            <w:r>
              <w:rPr>
                <w:sz w:val="18"/>
                <w:szCs w:val="18"/>
              </w:rPr>
              <w:t xml:space="preserve">Best ep.</w:t>
            </w:r>
          </w:p>
        </w:tc>
      </w:tr>
      <w:tr>
        <w:tc>
          <w:tcPr>
            <w:tcW w:w="921" w:type="dxa"/>
          </w:tcPr>
          <w:tcPr/>
          <w:p>
            <w:pPr>
              <w:pStyle w:val="Compact"/>
              <w:jc w:val="center"/>
            </w:pPr>
            <w:r>
              <w:rPr>
                <w:sz w:val="18"/>
                <w:szCs w:val="18"/>
              </w:rPr>
              <w:t xml:space="preserve">1</w:t>
            </w:r>
          </w:p>
        </w:tc>
        <w:tc>
          <w:tcPr>
            <w:tcW w:w="828" w:type="dxa"/>
          </w:tcPr>
          <w:tcPr/>
          <w:p>
            <w:pPr>
              <w:pStyle w:val="Compact"/>
              <w:jc w:val="right"/>
            </w:pPr>
            <w:r>
              <w:rPr>
                <w:sz w:val="18"/>
                <w:szCs w:val="18"/>
              </w:rPr>
              <w:t xml:space="preserve">2,343</w:t>
            </w:r>
          </w:p>
        </w:tc>
        <w:tc>
          <w:tcPr>
            <w:tcW w:w="1013" w:type="dxa"/>
          </w:tcPr>
          <w:tcPr/>
          <w:p>
            <w:pPr>
              <w:pStyle w:val="Compact"/>
              <w:jc w:val="center"/>
            </w:pPr>
            <w:r>
              <w:rPr>
                <w:sz w:val="18"/>
                <w:szCs w:val="18"/>
              </w:rPr>
              <w:t xml:space="preserve">97.06</w:t>
            </w:r>
          </w:p>
        </w:tc>
        <w:tc>
          <w:tcPr>
            <w:tcW w:w="736" w:type="dxa"/>
          </w:tcPr>
          <w:tcPr/>
          <w:p>
            <w:pPr>
              <w:pStyle w:val="Compact"/>
              <w:jc w:val="center"/>
            </w:pPr>
            <w:r>
              <w:rPr>
                <w:sz w:val="18"/>
                <w:szCs w:val="18"/>
              </w:rPr>
              <w:t xml:space="preserve">96.81</w:t>
            </w:r>
          </w:p>
        </w:tc>
        <w:tc>
          <w:tcPr>
            <w:tcW w:w="828" w:type="dxa"/>
          </w:tcPr>
          <w:tcPr/>
          <w:p>
            <w:pPr>
              <w:pStyle w:val="Compact"/>
              <w:jc w:val="center"/>
            </w:pPr>
            <w:r>
              <w:rPr>
                <w:sz w:val="18"/>
                <w:szCs w:val="18"/>
              </w:rPr>
              <w:t xml:space="preserve">96.85</w:t>
            </w:r>
          </w:p>
        </w:tc>
        <w:tc>
          <w:tcPr>
            <w:tcW w:w="736" w:type="dxa"/>
          </w:tcPr>
          <w:tcPr/>
          <w:p>
            <w:pPr>
              <w:pStyle w:val="Compact"/>
              <w:jc w:val="center"/>
            </w:pPr>
            <w:r>
              <w:rPr>
                <w:sz w:val="18"/>
                <w:szCs w:val="18"/>
              </w:rPr>
              <w:t xml:space="preserve">96.83</w:t>
            </w:r>
          </w:p>
        </w:tc>
        <w:tc>
          <w:tcPr>
            <w:tcW w:w="828" w:type="dxa"/>
          </w:tcPr>
          <w:tcPr/>
          <w:p>
            <w:pPr>
              <w:pStyle w:val="Compact"/>
              <w:jc w:val="center"/>
            </w:pPr>
            <w:r>
              <w:rPr>
                <w:sz w:val="18"/>
                <w:szCs w:val="18"/>
              </w:rPr>
              <w:t xml:space="preserve">0.0140</w:t>
            </w:r>
          </w:p>
        </w:tc>
        <w:tc>
          <w:tcPr>
            <w:tcW w:w="828" w:type="dxa"/>
          </w:tcPr>
          <w:tcPr/>
          <w:p>
            <w:pPr>
              <w:pStyle w:val="Compact"/>
              <w:jc w:val="center"/>
            </w:pPr>
            <w:r>
              <w:rPr>
                <w:sz w:val="18"/>
                <w:szCs w:val="18"/>
              </w:rPr>
              <w:t xml:space="preserve">0.0495</w:t>
            </w:r>
          </w:p>
        </w:tc>
        <w:tc>
          <w:tcPr>
            <w:tcW w:w="828" w:type="dxa"/>
          </w:tcPr>
          <w:tcPr/>
          <w:p>
            <w:pPr>
              <w:pStyle w:val="Compact"/>
              <w:jc w:val="center"/>
            </w:pPr>
            <w:r>
              <w:rPr>
                <w:sz w:val="18"/>
                <w:szCs w:val="18"/>
              </w:rPr>
              <w:t xml:space="preserve">0.1281</w:t>
            </w:r>
          </w:p>
        </w:tc>
        <w:tc>
          <w:tcPr>
            <w:tcW w:w="828" w:type="dxa"/>
          </w:tcPr>
          <w:tcPr/>
          <w:p>
            <w:pPr>
              <w:pStyle w:val="Compact"/>
              <w:jc w:val="right"/>
            </w:pPr>
            <w:r>
              <w:rPr>
                <w:sz w:val="18"/>
                <w:szCs w:val="18"/>
              </w:rPr>
              <w:t xml:space="preserve">69</w:t>
            </w:r>
          </w:p>
        </w:tc>
        <w:tc>
          <w:tcPr>
            <w:tcW w:w="652" w:type="dxa"/>
          </w:tcPr>
          <w:tcPr/>
          <w:p>
            <w:pPr>
              <w:pStyle w:val="Compact"/>
              <w:jc w:val="center"/>
            </w:pPr>
            <w:r>
              <w:rPr>
                <w:sz w:val="18"/>
                <w:szCs w:val="18"/>
              </w:rPr>
              <w:t xml:space="preserve">16</w:t>
            </w:r>
          </w:p>
        </w:tc>
      </w:tr>
      <w:tr>
        <w:tc>
          <w:tcPr>
            <w:tcW w:w="921" w:type="dxa"/>
          </w:tcPr>
          <w:tcPr/>
          <w:p>
            <w:pPr>
              <w:pStyle w:val="Compact"/>
              <w:jc w:val="center"/>
            </w:pPr>
            <w:r>
              <w:rPr>
                <w:sz w:val="18"/>
                <w:szCs w:val="18"/>
              </w:rPr>
              <w:t xml:space="preserve">2</w:t>
            </w:r>
          </w:p>
        </w:tc>
        <w:tc>
          <w:tcPr>
            <w:tcW w:w="828" w:type="dxa"/>
          </w:tcPr>
          <w:tcPr/>
          <w:p>
            <w:pPr>
              <w:pStyle w:val="Compact"/>
              <w:jc w:val="right"/>
            </w:pPr>
            <w:r>
              <w:rPr>
                <w:sz w:val="18"/>
                <w:szCs w:val="18"/>
              </w:rPr>
              <w:t xml:space="preserve">2,310</w:t>
            </w:r>
          </w:p>
        </w:tc>
        <w:tc>
          <w:tcPr>
            <w:tcW w:w="1013" w:type="dxa"/>
          </w:tcPr>
          <w:tcPr/>
          <w:p>
            <w:pPr>
              <w:pStyle w:val="Compact"/>
              <w:jc w:val="center"/>
            </w:pPr>
            <w:r>
              <w:rPr>
                <w:sz w:val="18"/>
                <w:szCs w:val="18"/>
              </w:rPr>
              <w:t xml:space="preserve">97.97</w:t>
            </w:r>
          </w:p>
        </w:tc>
        <w:tc>
          <w:tcPr>
            <w:tcW w:w="736" w:type="dxa"/>
          </w:tcPr>
          <w:tcPr/>
          <w:p>
            <w:pPr>
              <w:pStyle w:val="Compact"/>
              <w:jc w:val="center"/>
            </w:pPr>
            <w:r>
              <w:rPr>
                <w:sz w:val="18"/>
                <w:szCs w:val="18"/>
              </w:rPr>
              <w:t xml:space="preserve">97.68</w:t>
            </w:r>
          </w:p>
        </w:tc>
        <w:tc>
          <w:tcPr>
            <w:tcW w:w="828" w:type="dxa"/>
          </w:tcPr>
          <w:tcPr/>
          <w:p>
            <w:pPr>
              <w:pStyle w:val="Compact"/>
              <w:jc w:val="center"/>
            </w:pPr>
            <w:r>
              <w:rPr>
                <w:sz w:val="18"/>
                <w:szCs w:val="18"/>
              </w:rPr>
              <w:t xml:space="preserve">98.03</w:t>
            </w:r>
          </w:p>
        </w:tc>
        <w:tc>
          <w:tcPr>
            <w:tcW w:w="736" w:type="dxa"/>
          </w:tcPr>
          <w:tcPr/>
          <w:p>
            <w:pPr>
              <w:pStyle w:val="Compact"/>
              <w:jc w:val="center"/>
            </w:pPr>
            <w:r>
              <w:rPr>
                <w:sz w:val="18"/>
                <w:szCs w:val="18"/>
              </w:rPr>
              <w:t xml:space="preserve">97.84</w:t>
            </w:r>
          </w:p>
        </w:tc>
        <w:tc>
          <w:tcPr>
            <w:tcW w:w="828" w:type="dxa"/>
          </w:tcPr>
          <w:tcPr/>
          <w:p>
            <w:pPr>
              <w:pStyle w:val="Compact"/>
              <w:jc w:val="center"/>
            </w:pPr>
            <w:r>
              <w:rPr>
                <w:sz w:val="18"/>
                <w:szCs w:val="18"/>
              </w:rPr>
              <w:t xml:space="preserve">0.0139</w:t>
            </w:r>
          </w:p>
        </w:tc>
        <w:tc>
          <w:tcPr>
            <w:tcW w:w="828" w:type="dxa"/>
          </w:tcPr>
          <w:tcPr/>
          <w:p>
            <w:pPr>
              <w:pStyle w:val="Compact"/>
              <w:jc w:val="center"/>
            </w:pPr>
            <w:r>
              <w:rPr>
                <w:sz w:val="18"/>
                <w:szCs w:val="18"/>
              </w:rPr>
              <w:t xml:space="preserve">0.0374</w:t>
            </w:r>
          </w:p>
        </w:tc>
        <w:tc>
          <w:tcPr>
            <w:tcW w:w="828" w:type="dxa"/>
          </w:tcPr>
          <w:tcPr/>
          <w:p>
            <w:pPr>
              <w:pStyle w:val="Compact"/>
              <w:jc w:val="center"/>
            </w:pPr>
            <w:r>
              <w:rPr>
                <w:sz w:val="18"/>
                <w:szCs w:val="18"/>
              </w:rPr>
              <w:t xml:space="preserve">0.1098</w:t>
            </w:r>
          </w:p>
        </w:tc>
        <w:tc>
          <w:tcPr>
            <w:tcW w:w="828" w:type="dxa"/>
          </w:tcPr>
          <w:tcPr/>
          <w:p>
            <w:pPr>
              <w:pStyle w:val="Compact"/>
              <w:jc w:val="right"/>
            </w:pPr>
            <w:r>
              <w:rPr>
                <w:sz w:val="18"/>
                <w:szCs w:val="18"/>
              </w:rPr>
              <w:t xml:space="preserve">47</w:t>
            </w:r>
          </w:p>
        </w:tc>
        <w:tc>
          <w:tcPr>
            <w:tcW w:w="652" w:type="dxa"/>
          </w:tcPr>
          <w:tcPr/>
          <w:p>
            <w:pPr>
              <w:pStyle w:val="Compact"/>
              <w:jc w:val="center"/>
            </w:pPr>
            <w:r>
              <w:rPr>
                <w:sz w:val="18"/>
                <w:szCs w:val="18"/>
              </w:rPr>
              <w:t xml:space="preserve">15</w:t>
            </w:r>
          </w:p>
        </w:tc>
      </w:tr>
      <w:tr>
        <w:tc>
          <w:tcPr>
            <w:tcW w:w="921" w:type="dxa"/>
          </w:tcPr>
          <w:tcPr/>
          <w:p>
            <w:pPr>
              <w:pStyle w:val="Compact"/>
              <w:jc w:val="center"/>
            </w:pPr>
            <w:r>
              <w:rPr>
                <w:sz w:val="18"/>
                <w:szCs w:val="18"/>
              </w:rPr>
              <w:t xml:space="preserve">3</w:t>
            </w:r>
          </w:p>
        </w:tc>
        <w:tc>
          <w:tcPr>
            <w:tcW w:w="828" w:type="dxa"/>
          </w:tcPr>
          <w:tcPr/>
          <w:p>
            <w:pPr>
              <w:pStyle w:val="Compact"/>
              <w:jc w:val="right"/>
            </w:pPr>
            <w:r>
              <w:rPr>
                <w:sz w:val="18"/>
                <w:szCs w:val="18"/>
              </w:rPr>
              <w:t xml:space="preserve">2,539</w:t>
            </w:r>
          </w:p>
        </w:tc>
        <w:tc>
          <w:tcPr>
            <w:tcW w:w="1013" w:type="dxa"/>
          </w:tcPr>
          <w:tcPr/>
          <w:p>
            <w:pPr>
              <w:pStyle w:val="Compact"/>
              <w:jc w:val="center"/>
            </w:pPr>
            <w:r>
              <w:rPr>
                <w:sz w:val="18"/>
                <w:szCs w:val="18"/>
              </w:rPr>
              <w:t xml:space="preserve">95.16</w:t>
            </w:r>
          </w:p>
        </w:tc>
        <w:tc>
          <w:tcPr>
            <w:tcW w:w="736" w:type="dxa"/>
          </w:tcPr>
          <w:tcPr/>
          <w:p>
            <w:pPr>
              <w:pStyle w:val="Compact"/>
              <w:jc w:val="center"/>
            </w:pPr>
            <w:r>
              <w:rPr>
                <w:sz w:val="18"/>
                <w:szCs w:val="18"/>
              </w:rPr>
              <w:t xml:space="preserve">95.02</w:t>
            </w:r>
          </w:p>
        </w:tc>
        <w:tc>
          <w:tcPr>
            <w:tcW w:w="828" w:type="dxa"/>
          </w:tcPr>
          <w:tcPr/>
          <w:p>
            <w:pPr>
              <w:pStyle w:val="Compact"/>
              <w:jc w:val="center"/>
            </w:pPr>
            <w:r>
              <w:rPr>
                <w:sz w:val="18"/>
                <w:szCs w:val="18"/>
              </w:rPr>
              <w:t xml:space="preserve">95.43</w:t>
            </w:r>
          </w:p>
        </w:tc>
        <w:tc>
          <w:tcPr>
            <w:tcW w:w="736" w:type="dxa"/>
          </w:tcPr>
          <w:tcPr/>
          <w:p>
            <w:pPr>
              <w:pStyle w:val="Compact"/>
              <w:jc w:val="center"/>
            </w:pPr>
            <w:r>
              <w:rPr>
                <w:sz w:val="18"/>
                <w:szCs w:val="18"/>
              </w:rPr>
              <w:t xml:space="preserve">95.11</w:t>
            </w:r>
          </w:p>
        </w:tc>
        <w:tc>
          <w:tcPr>
            <w:tcW w:w="828" w:type="dxa"/>
          </w:tcPr>
          <w:tcPr/>
          <w:p>
            <w:pPr>
              <w:pStyle w:val="Compact"/>
              <w:jc w:val="center"/>
            </w:pPr>
            <w:r>
              <w:rPr>
                <w:sz w:val="18"/>
                <w:szCs w:val="18"/>
              </w:rPr>
              <w:t xml:space="preserve">0.0131</w:t>
            </w:r>
          </w:p>
        </w:tc>
        <w:tc>
          <w:tcPr>
            <w:tcW w:w="828" w:type="dxa"/>
          </w:tcPr>
          <w:tcPr/>
          <w:p>
            <w:pPr>
              <w:pStyle w:val="Compact"/>
              <w:jc w:val="center"/>
            </w:pPr>
            <w:r>
              <w:rPr>
                <w:sz w:val="18"/>
                <w:szCs w:val="18"/>
              </w:rPr>
              <w:t xml:space="preserve">0.0809</w:t>
            </w:r>
          </w:p>
        </w:tc>
        <w:tc>
          <w:tcPr>
            <w:tcW w:w="828" w:type="dxa"/>
          </w:tcPr>
          <w:tcPr/>
          <w:p>
            <w:pPr>
              <w:pStyle w:val="Compact"/>
              <w:jc w:val="center"/>
            </w:pPr>
            <w:r>
              <w:rPr>
                <w:sz w:val="18"/>
                <w:szCs w:val="18"/>
              </w:rPr>
              <w:t xml:space="preserve">0.1890</w:t>
            </w:r>
          </w:p>
        </w:tc>
        <w:tc>
          <w:tcPr>
            <w:tcW w:w="828" w:type="dxa"/>
          </w:tcPr>
          <w:tcPr/>
          <w:p>
            <w:pPr>
              <w:pStyle w:val="Compact"/>
              <w:jc w:val="right"/>
            </w:pPr>
            <w:r>
              <w:rPr>
                <w:sz w:val="18"/>
                <w:szCs w:val="18"/>
              </w:rPr>
              <w:t xml:space="preserve">123</w:t>
            </w:r>
          </w:p>
        </w:tc>
        <w:tc>
          <w:tcPr>
            <w:tcW w:w="652" w:type="dxa"/>
          </w:tcPr>
          <w:tcPr/>
          <w:p>
            <w:pPr>
              <w:pStyle w:val="Compact"/>
              <w:jc w:val="center"/>
            </w:pPr>
            <w:r>
              <w:rPr>
                <w:sz w:val="18"/>
                <w:szCs w:val="18"/>
              </w:rPr>
              <w:t xml:space="preserve">8</w:t>
            </w:r>
          </w:p>
        </w:tc>
      </w:tr>
      <w:tr>
        <w:tc>
          <w:tcPr>
            <w:tcW w:w="921" w:type="dxa"/>
          </w:tcPr>
          <w:tcPr/>
          <w:p>
            <w:pPr>
              <w:pStyle w:val="Compact"/>
              <w:jc w:val="center"/>
            </w:pPr>
            <w:r>
              <w:rPr>
                <w:sz w:val="18"/>
                <w:szCs w:val="18"/>
              </w:rPr>
              <w:t xml:space="preserve">4</w:t>
            </w:r>
          </w:p>
        </w:tc>
        <w:tc>
          <w:tcPr>
            <w:tcW w:w="828" w:type="dxa"/>
          </w:tcPr>
          <w:tcPr/>
          <w:p>
            <w:pPr>
              <w:pStyle w:val="Compact"/>
              <w:jc w:val="right"/>
            </w:pPr>
            <w:r>
              <w:rPr>
                <w:sz w:val="18"/>
                <w:szCs w:val="18"/>
              </w:rPr>
              <w:t xml:space="preserve">2,397</w:t>
            </w:r>
          </w:p>
        </w:tc>
        <w:tc>
          <w:tcPr>
            <w:tcW w:w="1013" w:type="dxa"/>
          </w:tcPr>
          <w:tcPr/>
          <w:p>
            <w:pPr>
              <w:pStyle w:val="Compact"/>
              <w:jc w:val="center"/>
            </w:pPr>
            <w:r>
              <w:rPr>
                <w:sz w:val="18"/>
                <w:szCs w:val="18"/>
              </w:rPr>
              <w:t xml:space="preserve">98.16</w:t>
            </w:r>
          </w:p>
        </w:tc>
        <w:tc>
          <w:tcPr>
            <w:tcW w:w="736" w:type="dxa"/>
          </w:tcPr>
          <w:tcPr/>
          <w:p>
            <w:pPr>
              <w:pStyle w:val="Compact"/>
              <w:jc w:val="center"/>
            </w:pPr>
            <w:r>
              <w:rPr>
                <w:sz w:val="18"/>
                <w:szCs w:val="18"/>
              </w:rPr>
              <w:t xml:space="preserve">98.15</w:t>
            </w:r>
          </w:p>
        </w:tc>
        <w:tc>
          <w:tcPr>
            <w:tcW w:w="828" w:type="dxa"/>
          </w:tcPr>
          <w:tcPr/>
          <w:p>
            <w:pPr>
              <w:pStyle w:val="Compact"/>
              <w:jc w:val="center"/>
            </w:pPr>
            <w:r>
              <w:rPr>
                <w:sz w:val="18"/>
                <w:szCs w:val="18"/>
              </w:rPr>
              <w:t xml:space="preserve">98.09</w:t>
            </w:r>
          </w:p>
        </w:tc>
        <w:tc>
          <w:tcPr>
            <w:tcW w:w="736" w:type="dxa"/>
          </w:tcPr>
          <w:tcPr/>
          <w:p>
            <w:pPr>
              <w:pStyle w:val="Compact"/>
              <w:jc w:val="center"/>
            </w:pPr>
            <w:r>
              <w:rPr>
                <w:sz w:val="18"/>
                <w:szCs w:val="18"/>
              </w:rPr>
              <w:t xml:space="preserve">98.11</w:t>
            </w:r>
          </w:p>
        </w:tc>
        <w:tc>
          <w:tcPr>
            <w:tcW w:w="828" w:type="dxa"/>
          </w:tcPr>
          <w:tcPr/>
          <w:p>
            <w:pPr>
              <w:pStyle w:val="Compact"/>
              <w:jc w:val="center"/>
            </w:pPr>
            <w:r>
              <w:rPr>
                <w:sz w:val="18"/>
                <w:szCs w:val="18"/>
              </w:rPr>
              <w:t xml:space="preserve">0.0243</w:t>
            </w:r>
          </w:p>
        </w:tc>
        <w:tc>
          <w:tcPr>
            <w:tcW w:w="828" w:type="dxa"/>
          </w:tcPr>
          <w:tcPr/>
          <w:p>
            <w:pPr>
              <w:pStyle w:val="Compact"/>
              <w:jc w:val="center"/>
            </w:pPr>
            <w:r>
              <w:rPr>
                <w:sz w:val="18"/>
                <w:szCs w:val="18"/>
              </w:rPr>
              <w:t xml:space="preserve">0.0301</w:t>
            </w:r>
          </w:p>
        </w:tc>
        <w:tc>
          <w:tcPr>
            <w:tcW w:w="828" w:type="dxa"/>
          </w:tcPr>
          <w:tcPr/>
          <w:p>
            <w:pPr>
              <w:pStyle w:val="Compact"/>
              <w:jc w:val="center"/>
            </w:pPr>
            <w:r>
              <w:rPr>
                <w:sz w:val="18"/>
                <w:szCs w:val="18"/>
              </w:rPr>
              <w:t xml:space="preserve">0.0810</w:t>
            </w:r>
          </w:p>
        </w:tc>
        <w:tc>
          <w:tcPr>
            <w:tcW w:w="828" w:type="dxa"/>
          </w:tcPr>
          <w:tcPr/>
          <w:p>
            <w:pPr>
              <w:pStyle w:val="Compact"/>
              <w:jc w:val="right"/>
            </w:pPr>
            <w:r>
              <w:rPr>
                <w:sz w:val="18"/>
                <w:szCs w:val="18"/>
              </w:rPr>
              <w:t xml:space="preserve">44</w:t>
            </w:r>
          </w:p>
        </w:tc>
        <w:tc>
          <w:tcPr>
            <w:tcW w:w="652" w:type="dxa"/>
          </w:tcPr>
          <w:tcPr/>
          <w:p>
            <w:pPr>
              <w:pStyle w:val="Compact"/>
              <w:jc w:val="center"/>
            </w:pPr>
            <w:r>
              <w:rPr>
                <w:sz w:val="18"/>
                <w:szCs w:val="18"/>
              </w:rPr>
              <w:t xml:space="preserve">11</w:t>
            </w:r>
          </w:p>
        </w:tc>
      </w:tr>
      <w:tr>
        <w:tc>
          <w:tcPr>
            <w:tcW w:w="921" w:type="dxa"/>
          </w:tcPr>
          <w:tcPr/>
          <w:p>
            <w:pPr>
              <w:pStyle w:val="Compact"/>
              <w:jc w:val="center"/>
            </w:pPr>
            <w:r>
              <w:rPr>
                <w:sz w:val="18"/>
                <w:szCs w:val="18"/>
              </w:rPr>
              <w:t xml:space="preserve">5</w:t>
            </w:r>
          </w:p>
        </w:tc>
        <w:tc>
          <w:tcPr>
            <w:tcW w:w="828" w:type="dxa"/>
          </w:tcPr>
          <w:tcPr/>
          <w:p>
            <w:pPr>
              <w:pStyle w:val="Compact"/>
              <w:jc w:val="right"/>
            </w:pPr>
            <w:r>
              <w:rPr>
                <w:sz w:val="18"/>
                <w:szCs w:val="18"/>
              </w:rPr>
              <w:t xml:space="preserve">2,475</w:t>
            </w:r>
          </w:p>
        </w:tc>
        <w:tc>
          <w:tcPr>
            <w:tcW w:w="1013" w:type="dxa"/>
          </w:tcPr>
          <w:tcPr/>
          <w:p>
            <w:pPr>
              <w:pStyle w:val="Compact"/>
              <w:jc w:val="center"/>
            </w:pPr>
            <w:r>
              <w:rPr>
                <w:sz w:val="18"/>
                <w:szCs w:val="18"/>
              </w:rPr>
              <w:t xml:space="preserve">94.34</w:t>
            </w:r>
          </w:p>
        </w:tc>
        <w:tc>
          <w:tcPr>
            <w:tcW w:w="736" w:type="dxa"/>
          </w:tcPr>
          <w:tcPr/>
          <w:p>
            <w:pPr>
              <w:pStyle w:val="Compact"/>
              <w:jc w:val="center"/>
            </w:pPr>
            <w:r>
              <w:rPr>
                <w:sz w:val="18"/>
                <w:szCs w:val="18"/>
              </w:rPr>
              <w:t xml:space="preserve">94.57</w:t>
            </w:r>
          </w:p>
        </w:tc>
        <w:tc>
          <w:tcPr>
            <w:tcW w:w="828" w:type="dxa"/>
          </w:tcPr>
          <w:tcPr/>
          <w:p>
            <w:pPr>
              <w:pStyle w:val="Compact"/>
              <w:jc w:val="center"/>
            </w:pPr>
            <w:r>
              <w:rPr>
                <w:sz w:val="18"/>
                <w:szCs w:val="18"/>
              </w:rPr>
              <w:t xml:space="preserve">93.58</w:t>
            </w:r>
          </w:p>
        </w:tc>
        <w:tc>
          <w:tcPr>
            <w:tcW w:w="736" w:type="dxa"/>
          </w:tcPr>
          <w:tcPr/>
          <w:p>
            <w:pPr>
              <w:pStyle w:val="Compact"/>
              <w:jc w:val="center"/>
            </w:pPr>
            <w:r>
              <w:rPr>
                <w:sz w:val="18"/>
                <w:szCs w:val="18"/>
              </w:rPr>
              <w:t xml:space="preserve">93.89</w:t>
            </w:r>
          </w:p>
        </w:tc>
        <w:tc>
          <w:tcPr>
            <w:tcW w:w="828" w:type="dxa"/>
          </w:tcPr>
          <w:tcPr/>
          <w:p>
            <w:pPr>
              <w:pStyle w:val="Compact"/>
              <w:jc w:val="center"/>
            </w:pPr>
            <w:r>
              <w:rPr>
                <w:sz w:val="18"/>
                <w:szCs w:val="18"/>
              </w:rPr>
              <w:t xml:space="preserve">0.0248</w:t>
            </w:r>
          </w:p>
        </w:tc>
        <w:tc>
          <w:tcPr>
            <w:tcW w:w="828" w:type="dxa"/>
          </w:tcPr>
          <w:tcPr/>
          <w:p>
            <w:pPr>
              <w:pStyle w:val="Compact"/>
              <w:jc w:val="center"/>
            </w:pPr>
            <w:r>
              <w:rPr>
                <w:sz w:val="18"/>
                <w:szCs w:val="18"/>
              </w:rPr>
              <w:t xml:space="preserve">0.0944</w:t>
            </w:r>
          </w:p>
        </w:tc>
        <w:tc>
          <w:tcPr>
            <w:tcW w:w="828" w:type="dxa"/>
          </w:tcPr>
          <w:tcPr/>
          <w:p>
            <w:pPr>
              <w:pStyle w:val="Compact"/>
              <w:jc w:val="center"/>
            </w:pPr>
            <w:r>
              <w:rPr>
                <w:sz w:val="18"/>
                <w:szCs w:val="18"/>
              </w:rPr>
              <w:t xml:space="preserve">0.2064</w:t>
            </w:r>
          </w:p>
        </w:tc>
        <w:tc>
          <w:tcPr>
            <w:tcW w:w="828" w:type="dxa"/>
          </w:tcPr>
          <w:tcPr/>
          <w:p>
            <w:pPr>
              <w:pStyle w:val="Compact"/>
              <w:jc w:val="right"/>
            </w:pPr>
            <w:r>
              <w:rPr>
                <w:sz w:val="18"/>
                <w:szCs w:val="18"/>
              </w:rPr>
              <w:t xml:space="preserve">140</w:t>
            </w:r>
          </w:p>
        </w:tc>
        <w:tc>
          <w:tcPr>
            <w:tcW w:w="652" w:type="dxa"/>
          </w:tcPr>
          <w:tcPr/>
          <w:p>
            <w:pPr>
              <w:pStyle w:val="Compact"/>
              <w:jc w:val="center"/>
            </w:pPr>
            <w:r>
              <w:rPr>
                <w:sz w:val="18"/>
                <w:szCs w:val="18"/>
              </w:rPr>
              <w:t xml:space="preserve">11</w:t>
            </w:r>
          </w:p>
        </w:tc>
      </w:tr>
      <w:tr>
        <w:tc>
          <w:tcPr>
            <w:tcW w:w="921" w:type="dxa"/>
          </w:tcPr>
          <w:tcPr/>
          <w:p>
            <w:pPr>
              <w:pStyle w:val="Compact"/>
              <w:jc w:val="center"/>
            </w:pPr>
            <w:r>
              <w:rPr>
                <w:sz w:val="18"/>
                <w:szCs w:val="18"/>
                <w:bCs/>
                <w:b/>
              </w:rPr>
              <w:t xml:space="preserve">Mean</w:t>
            </w:r>
            <w:r>
              <w:rPr>
                <w:sz w:val="18"/>
                <w:szCs w:val="18"/>
                <w:bCs/>
                <w:b/>
              </w:rPr>
              <w:t xml:space="preserve"> </w:t>
            </w:r>
            <m:oMath>
              <m:r>
                <m:rPr>
                  <m:sty m:val="p"/>
                </m:rPr>
                <w:rPr>
                  <w:sz w:val="18"/>
                  <w:szCs w:val="18"/>
                </w:rPr>
                <m:t>±</m:t>
              </m:r>
            </m:oMath>
            <w:r>
              <w:rPr>
                <w:sz w:val="18"/>
                <w:szCs w:val="18"/>
                <w:bCs/>
                <w:b/>
              </w:rPr>
              <w:t xml:space="preserve"> </w:t>
            </w:r>
            <w:r>
              <w:rPr>
                <w:sz w:val="18"/>
                <w:szCs w:val="18"/>
                <w:bCs/>
                <w:b/>
              </w:rPr>
              <w:t xml:space="preserve">SD</w:t>
            </w:r>
          </w:p>
        </w:tc>
        <w:tc>
          <w:tcPr>
            <w:tcW w:w="828" w:type="dxa"/>
          </w:tcPr>
          <w:tcPr/>
          <w:p>
            <w:pPr>
              <w:pStyle w:val="Compact"/>
              <w:jc w:val="right"/>
            </w:pPr>
            <w:r>
              <w:rPr>
                <w:sz w:val="18"/>
                <w:szCs w:val="18"/>
              </w:rPr>
              <w:t xml:space="preserve">–</w:t>
            </w:r>
          </w:p>
        </w:tc>
        <w:tc>
          <w:tcPr>
            <w:tcW w:w="1013" w:type="dxa"/>
          </w:tcPr>
          <w:tcPr/>
          <w:p>
            <w:pPr>
              <w:pStyle w:val="Compact"/>
              <w:jc w:val="center"/>
            </w:pPr>
            <w:r>
              <w:rPr>
                <w:sz w:val="18"/>
                <w:szCs w:val="18"/>
                <w:bCs/>
                <w:b/>
              </w:rPr>
              <w:t xml:space="preserve">96.54 ± 1.71</w:t>
            </w:r>
          </w:p>
        </w:tc>
        <w:tc>
          <w:tcPr>
            <w:tcW w:w="736" w:type="dxa"/>
          </w:tcPr>
          <w:tcPr/>
          <w:p>
            <w:pPr>
              <w:pStyle w:val="Compact"/>
              <w:jc w:val="center"/>
            </w:pPr>
            <w:r>
              <w:rPr>
                <w:sz w:val="18"/>
                <w:szCs w:val="18"/>
                <w:bCs/>
                <w:b/>
              </w:rPr>
              <w:t xml:space="preserve">96.45 ± 1.59</w:t>
            </w:r>
          </w:p>
        </w:tc>
        <w:tc>
          <w:tcPr>
            <w:tcW w:w="828" w:type="dxa"/>
          </w:tcPr>
          <w:tcPr/>
          <w:p>
            <w:pPr>
              <w:pStyle w:val="Compact"/>
              <w:jc w:val="center"/>
            </w:pPr>
            <w:r>
              <w:rPr>
                <w:sz w:val="18"/>
                <w:szCs w:val="18"/>
                <w:bCs/>
                <w:b/>
              </w:rPr>
              <w:t xml:space="preserve">96.39 ± 1.91</w:t>
            </w:r>
          </w:p>
        </w:tc>
        <w:tc>
          <w:tcPr>
            <w:tcW w:w="736" w:type="dxa"/>
          </w:tcPr>
          <w:tcPr/>
          <w:p>
            <w:pPr>
              <w:pStyle w:val="Compact"/>
              <w:jc w:val="center"/>
            </w:pPr>
            <w:r>
              <w:rPr>
                <w:sz w:val="18"/>
                <w:szCs w:val="18"/>
                <w:bCs/>
                <w:b/>
              </w:rPr>
              <w:t xml:space="preserve">96.36 ± 1.81</w:t>
            </w:r>
          </w:p>
        </w:tc>
        <w:tc>
          <w:tcPr>
            <w:tcW w:w="828" w:type="dxa"/>
          </w:tcPr>
          <w:tcPr/>
          <w:p>
            <w:pPr>
              <w:pStyle w:val="Compact"/>
              <w:jc w:val="center"/>
            </w:pPr>
            <w:r>
              <w:rPr>
                <w:sz w:val="18"/>
                <w:szCs w:val="18"/>
                <w:bCs/>
                <w:b/>
              </w:rPr>
              <w:t xml:space="preserve">0.018 ± 0.006</w:t>
            </w:r>
          </w:p>
        </w:tc>
        <w:tc>
          <w:tcPr>
            <w:tcW w:w="828" w:type="dxa"/>
          </w:tcPr>
          <w:tcPr/>
          <w:p>
            <w:pPr>
              <w:pStyle w:val="Compact"/>
              <w:jc w:val="center"/>
            </w:pPr>
            <w:r>
              <w:rPr>
                <w:sz w:val="18"/>
                <w:szCs w:val="18"/>
                <w:bCs/>
                <w:b/>
              </w:rPr>
              <w:t xml:space="preserve">0.058 ± 0.028</w:t>
            </w:r>
          </w:p>
        </w:tc>
        <w:tc>
          <w:tcPr>
            <w:tcW w:w="828" w:type="dxa"/>
          </w:tcPr>
          <w:tcPr/>
          <w:p>
            <w:pPr>
              <w:pStyle w:val="Compact"/>
              <w:jc w:val="center"/>
            </w:pPr>
            <w:r>
              <w:rPr>
                <w:sz w:val="18"/>
                <w:szCs w:val="18"/>
                <w:bCs/>
                <w:b/>
              </w:rPr>
              <w:t xml:space="preserve">0.143 ± 0.053</w:t>
            </w:r>
          </w:p>
        </w:tc>
        <w:tc>
          <w:tcPr>
            <w:tcW w:w="828" w:type="dxa"/>
          </w:tcPr>
          <w:tcPr/>
          <w:p>
            <w:pPr>
              <w:pStyle w:val="Compact"/>
              <w:jc w:val="right"/>
            </w:pPr>
            <w:r>
              <w:rPr>
                <w:sz w:val="18"/>
                <w:szCs w:val="18"/>
              </w:rPr>
              <w:t xml:space="preserve">423</w:t>
            </w:r>
          </w:p>
        </w:tc>
        <w:tc>
          <w:tcPr>
            <w:tcW w:w="652" w:type="dxa"/>
          </w:tcPr>
          <w:tcPr/>
          <w:p>
            <w:pPr>
              <w:pStyle w:val="Compact"/>
              <w:jc w:val="center"/>
            </w:pPr>
            <w:r>
              <w:rPr>
                <w:sz w:val="18"/>
                <w:szCs w:val="18"/>
              </w:rPr>
              <w:t xml:space="preserve">–</w:t>
            </w:r>
          </w:p>
        </w:tc>
      </w:tr>
    </w:tbl>
    <w:bookmarkEnd w:id="56"/>
    <w:bookmarkStart w:id="57" w:name="b.-pooled-out-of-fold-performance"/>
    <w:p>
      <w:pPr>
        <w:pStyle w:val="Heading2"/>
      </w:pPr>
      <w:r>
        <w:t xml:space="preserve">B. Pooled Out-of-Fold Performance</w:t>
      </w:r>
    </w:p>
    <w:p>
      <w:pPr>
        <w:pStyle w:val="FirstParagraph"/>
      </w:pPr>
      <w:r>
        <w:t xml:space="preserve">Pooling the 12,064 out-of-fold predictions gave 11,641 correct classifications: 96.49% accuracy (95% group-bootstrap CI 95.50–97.37%) and macro-F1 96.40% (95.36–97.29%). Pooled ECE was 0.012 (0.008–0.018), Brier 0.059 (0.044–0.076) and NLL 0.144. Resampling single images instead of groups would give a CI about half as wide (accuracy 96.17–96.83%), which overstates the precision because errors cluster within groups.</w:t>
      </w:r>
    </w:p>
    <w:bookmarkEnd w:id="57"/>
    <w:bookmarkStart w:id="61" w:name="c.-per-class-performance-and-errors"/>
    <w:p>
      <w:pPr>
        <w:pStyle w:val="Heading2"/>
      </w:pPr>
      <w:r>
        <w:t xml:space="preserve">C. Per-Class Performance and Errors</w:t>
      </w:r>
    </w:p>
    <w:p>
      <w:pPr>
        <w:pStyle w:val="FirstParagraph"/>
      </w:pPr>
      <w:r>
        <w:t xml:space="preserve">Sensitivity ranged from 95.02% (no tumour) to 97.40% (meningioma), and specificity from 98.23% to 99.27% (Table V). Meningioma had the lowest precision, because glioma and pituitary images were often called meningioma.</w:t>
      </w:r>
    </w:p>
    <w:p>
      <w:pPr>
        <w:pStyle w:val="TableCaption"/>
      </w:pPr>
      <w:r>
        <w:t xml:space="preserve">TABLE V. Per-Class Results on the Pooled Out-of-Fold Predictions (</w:t>
      </w:r>
      <m:oMath>
        <m:r>
          <m:t>n</m:t>
        </m:r>
        <m:r>
          <m:rPr>
            <m:sty m:val="p"/>
          </m:rPr>
          <m:t>=</m:t>
        </m:r>
        <m:r>
          <m:t>12</m:t>
        </m:r>
        <m:r>
          <m:rPr>
            <m:sty m:val="p"/>
          </m:rPr>
          <m:t>,</m:t>
        </m:r>
        <m:r>
          <m:t>064</m:t>
        </m:r>
      </m:oMath>
      <w:r>
        <w:t xml:space="preserve">)</w:t>
      </w:r>
    </w:p>
    <w:tbl>
      <w:tblPr>
        <w:tblStyle w:val="Table"/>
        <w:tblW w:type="dxa" w:w="9026"/>
        <w:tblLook w:firstRow="1" w:lastRow="0" w:firstColumn="0" w:lastColumn="0" w:noHBand="0" w:noVBand="0" w:val="0020"/>
        <w:jc w:val="start"/>
        <w:tblCaption w:val="TABLE V. Per-Class Results on the Pooled Out-of-Fold Predictions (n = 12{,}064)"/>
      </w:tblPr>
      <w:tblGrid>
        <w:gridCol w:w="2133"/>
        <w:gridCol w:w="1641"/>
        <w:gridCol w:w="1312"/>
        <w:gridCol w:w="1312"/>
        <w:gridCol w:w="1312"/>
        <w:gridCol w:w="1316"/>
      </w:tblGrid>
      <w:tr>
        <w:trPr>
          <w:tblHeader w:val="true"/>
        </w:trPr>
        <w:tc>
          <w:tcPr>
            <w:tcW w:w="2133" w:type="dxa"/>
          </w:tcPr>
          <w:tcPr/>
          <w:p>
            <w:pPr>
              <w:pStyle w:val="Compact"/>
              <w:jc w:val="left"/>
            </w:pPr>
            <w:r>
              <w:rPr>
                <w:sz w:val="18"/>
                <w:szCs w:val="18"/>
              </w:rPr>
              <w:t xml:space="preserve">Class</w:t>
            </w:r>
          </w:p>
        </w:tc>
        <w:tc>
          <w:tcPr>
            <w:tcW w:w="1641" w:type="dxa"/>
          </w:tcPr>
          <w:tcPr/>
          <w:p>
            <w:pPr>
              <w:pStyle w:val="Compact"/>
              <w:jc w:val="right"/>
            </w:pPr>
            <w:r>
              <w:rPr>
                <w:sz w:val="18"/>
                <w:szCs w:val="18"/>
              </w:rPr>
              <w:t xml:space="preserve">Support</w:t>
            </w:r>
          </w:p>
        </w:tc>
        <w:tc>
          <w:tcPr>
            <w:tcW w:w="1312" w:type="dxa"/>
          </w:tcPr>
          <w:tcPr/>
          <w:p>
            <w:pPr>
              <w:pStyle w:val="Compact"/>
              <w:jc w:val="center"/>
            </w:pPr>
            <w:r>
              <w:rPr>
                <w:sz w:val="18"/>
                <w:szCs w:val="18"/>
              </w:rPr>
              <w:t xml:space="preserve">Prec. (%)</w:t>
            </w:r>
          </w:p>
        </w:tc>
        <w:tc>
          <w:tcPr>
            <w:tcW w:w="1312" w:type="dxa"/>
          </w:tcPr>
          <w:tcPr/>
          <w:p>
            <w:pPr>
              <w:pStyle w:val="Compact"/>
              <w:jc w:val="center"/>
            </w:pPr>
            <w:r>
              <w:rPr>
                <w:sz w:val="18"/>
                <w:szCs w:val="18"/>
              </w:rPr>
              <w:t xml:space="preserve">Sens. (%)</w:t>
            </w:r>
          </w:p>
        </w:tc>
        <w:tc>
          <w:tcPr>
            <w:tcW w:w="1312" w:type="dxa"/>
          </w:tcPr>
          <w:tcPr/>
          <w:p>
            <w:pPr>
              <w:pStyle w:val="Compact"/>
              <w:jc w:val="center"/>
            </w:pPr>
            <w:r>
              <w:rPr>
                <w:sz w:val="18"/>
                <w:szCs w:val="18"/>
              </w:rPr>
              <w:t xml:space="preserve">Spec. (%)</w:t>
            </w:r>
          </w:p>
        </w:tc>
        <w:tc>
          <w:tcPr>
            <w:tcW w:w="1316" w:type="dxa"/>
          </w:tcPr>
          <w:tcPr/>
          <w:p>
            <w:pPr>
              <w:pStyle w:val="Compact"/>
              <w:jc w:val="center"/>
            </w:pPr>
            <w:r>
              <w:rPr>
                <w:sz w:val="18"/>
                <w:szCs w:val="18"/>
              </w:rPr>
              <w:t xml:space="preserve">F1 (%)</w:t>
            </w:r>
          </w:p>
        </w:tc>
      </w:tr>
      <w:tr>
        <w:tc>
          <w:tcPr>
            <w:tcW w:w="2133" w:type="dxa"/>
          </w:tcPr>
          <w:tcPr/>
          <w:p>
            <w:pPr>
              <w:pStyle w:val="Compact"/>
              <w:jc w:val="left"/>
            </w:pPr>
            <w:r>
              <w:rPr>
                <w:sz w:val="18"/>
                <w:szCs w:val="18"/>
              </w:rPr>
              <w:t xml:space="preserve">Glioma</w:t>
            </w:r>
          </w:p>
        </w:tc>
        <w:tc>
          <w:tcPr>
            <w:tcW w:w="1641" w:type="dxa"/>
          </w:tcPr>
          <w:tcPr/>
          <w:p>
            <w:pPr>
              <w:pStyle w:val="Compact"/>
              <w:jc w:val="right"/>
            </w:pPr>
            <w:r>
              <w:rPr>
                <w:sz w:val="18"/>
                <w:szCs w:val="18"/>
              </w:rPr>
              <w:t xml:space="preserve">3,773</w:t>
            </w:r>
          </w:p>
        </w:tc>
        <w:tc>
          <w:tcPr>
            <w:tcW w:w="1312" w:type="dxa"/>
          </w:tcPr>
          <w:tcPr/>
          <w:p>
            <w:pPr>
              <w:pStyle w:val="Compact"/>
              <w:jc w:val="center"/>
            </w:pPr>
            <w:r>
              <w:rPr>
                <w:sz w:val="18"/>
                <w:szCs w:val="18"/>
              </w:rPr>
              <w:t xml:space="preserve">97.30</w:t>
            </w:r>
          </w:p>
        </w:tc>
        <w:tc>
          <w:tcPr>
            <w:tcW w:w="1312" w:type="dxa"/>
          </w:tcPr>
          <w:tcPr/>
          <w:p>
            <w:pPr>
              <w:pStyle w:val="Compact"/>
              <w:jc w:val="center"/>
            </w:pPr>
            <w:r>
              <w:rPr>
                <w:sz w:val="18"/>
                <w:szCs w:val="18"/>
              </w:rPr>
              <w:t xml:space="preserve">96.58</w:t>
            </w:r>
          </w:p>
        </w:tc>
        <w:tc>
          <w:tcPr>
            <w:tcW w:w="1312" w:type="dxa"/>
          </w:tcPr>
          <w:tcPr/>
          <w:p>
            <w:pPr>
              <w:pStyle w:val="Compact"/>
              <w:jc w:val="center"/>
            </w:pPr>
            <w:r>
              <w:rPr>
                <w:sz w:val="18"/>
                <w:szCs w:val="18"/>
              </w:rPr>
              <w:t xml:space="preserve">98.78</w:t>
            </w:r>
          </w:p>
        </w:tc>
        <w:tc>
          <w:tcPr>
            <w:tcW w:w="1316" w:type="dxa"/>
          </w:tcPr>
          <w:tcPr/>
          <w:p>
            <w:pPr>
              <w:pStyle w:val="Compact"/>
              <w:jc w:val="center"/>
            </w:pPr>
            <w:r>
              <w:rPr>
                <w:sz w:val="18"/>
                <w:szCs w:val="18"/>
              </w:rPr>
              <w:t xml:space="preserve">96.94</w:t>
            </w:r>
          </w:p>
        </w:tc>
      </w:tr>
      <w:tr>
        <w:tc>
          <w:tcPr>
            <w:tcW w:w="2133" w:type="dxa"/>
          </w:tcPr>
          <w:tcPr/>
          <w:p>
            <w:pPr>
              <w:pStyle w:val="Compact"/>
              <w:jc w:val="left"/>
            </w:pPr>
            <w:r>
              <w:rPr>
                <w:sz w:val="18"/>
                <w:szCs w:val="18"/>
              </w:rPr>
              <w:t xml:space="preserve">Meningioma</w:t>
            </w:r>
          </w:p>
        </w:tc>
        <w:tc>
          <w:tcPr>
            <w:tcW w:w="1641" w:type="dxa"/>
          </w:tcPr>
          <w:tcPr/>
          <w:p>
            <w:pPr>
              <w:pStyle w:val="Compact"/>
              <w:jc w:val="right"/>
            </w:pPr>
            <w:r>
              <w:rPr>
                <w:sz w:val="18"/>
                <w:szCs w:val="18"/>
              </w:rPr>
              <w:t xml:space="preserve">2,729</w:t>
            </w:r>
          </w:p>
        </w:tc>
        <w:tc>
          <w:tcPr>
            <w:tcW w:w="1312" w:type="dxa"/>
          </w:tcPr>
          <w:tcPr/>
          <w:p>
            <w:pPr>
              <w:pStyle w:val="Compact"/>
              <w:jc w:val="center"/>
            </w:pPr>
            <w:r>
              <w:rPr>
                <w:sz w:val="18"/>
                <w:szCs w:val="18"/>
              </w:rPr>
              <w:t xml:space="preserve">94.16</w:t>
            </w:r>
          </w:p>
        </w:tc>
        <w:tc>
          <w:tcPr>
            <w:tcW w:w="1312" w:type="dxa"/>
          </w:tcPr>
          <w:tcPr/>
          <w:p>
            <w:pPr>
              <w:pStyle w:val="Compact"/>
              <w:jc w:val="center"/>
            </w:pPr>
            <w:r>
              <w:rPr>
                <w:sz w:val="18"/>
                <w:szCs w:val="18"/>
              </w:rPr>
              <w:t xml:space="preserve">97.40</w:t>
            </w:r>
          </w:p>
        </w:tc>
        <w:tc>
          <w:tcPr>
            <w:tcW w:w="1312" w:type="dxa"/>
          </w:tcPr>
          <w:tcPr/>
          <w:p>
            <w:pPr>
              <w:pStyle w:val="Compact"/>
              <w:jc w:val="center"/>
            </w:pPr>
            <w:r>
              <w:rPr>
                <w:sz w:val="18"/>
                <w:szCs w:val="18"/>
              </w:rPr>
              <w:t xml:space="preserve">98.23</w:t>
            </w:r>
          </w:p>
        </w:tc>
        <w:tc>
          <w:tcPr>
            <w:tcW w:w="1316" w:type="dxa"/>
          </w:tcPr>
          <w:tcPr/>
          <w:p>
            <w:pPr>
              <w:pStyle w:val="Compact"/>
              <w:jc w:val="center"/>
            </w:pPr>
            <w:r>
              <w:rPr>
                <w:sz w:val="18"/>
                <w:szCs w:val="18"/>
              </w:rPr>
              <w:t xml:space="preserve">95.75</w:t>
            </w:r>
          </w:p>
        </w:tc>
      </w:tr>
      <w:tr>
        <w:tc>
          <w:tcPr>
            <w:tcW w:w="2133" w:type="dxa"/>
          </w:tcPr>
          <w:tcPr/>
          <w:p>
            <w:pPr>
              <w:pStyle w:val="Compact"/>
              <w:jc w:val="left"/>
            </w:pPr>
            <w:r>
              <w:rPr>
                <w:sz w:val="18"/>
                <w:szCs w:val="18"/>
              </w:rPr>
              <w:t xml:space="preserve">No tumour</w:t>
            </w:r>
          </w:p>
        </w:tc>
        <w:tc>
          <w:tcPr>
            <w:tcW w:w="1641" w:type="dxa"/>
          </w:tcPr>
          <w:tcPr/>
          <w:p>
            <w:pPr>
              <w:pStyle w:val="Compact"/>
              <w:jc w:val="right"/>
            </w:pPr>
            <w:r>
              <w:rPr>
                <w:sz w:val="18"/>
                <w:szCs w:val="18"/>
              </w:rPr>
              <w:t xml:space="preserve">2,432</w:t>
            </w:r>
          </w:p>
        </w:tc>
        <w:tc>
          <w:tcPr>
            <w:tcW w:w="1312" w:type="dxa"/>
          </w:tcPr>
          <w:tcPr/>
          <w:p>
            <w:pPr>
              <w:pStyle w:val="Compact"/>
              <w:jc w:val="center"/>
            </w:pPr>
            <w:r>
              <w:rPr>
                <w:sz w:val="18"/>
                <w:szCs w:val="18"/>
              </w:rPr>
              <w:t xml:space="preserve">96.17</w:t>
            </w:r>
          </w:p>
        </w:tc>
        <w:tc>
          <w:tcPr>
            <w:tcW w:w="1312" w:type="dxa"/>
          </w:tcPr>
          <w:tcPr/>
          <w:p>
            <w:pPr>
              <w:pStyle w:val="Compact"/>
              <w:jc w:val="center"/>
            </w:pPr>
            <w:r>
              <w:rPr>
                <w:sz w:val="18"/>
                <w:szCs w:val="18"/>
              </w:rPr>
              <w:t xml:space="preserve">95.02</w:t>
            </w:r>
          </w:p>
        </w:tc>
        <w:tc>
          <w:tcPr>
            <w:tcW w:w="1312" w:type="dxa"/>
          </w:tcPr>
          <w:tcPr/>
          <w:p>
            <w:pPr>
              <w:pStyle w:val="Compact"/>
              <w:jc w:val="center"/>
            </w:pPr>
            <w:r>
              <w:rPr>
                <w:sz w:val="18"/>
                <w:szCs w:val="18"/>
              </w:rPr>
              <w:t xml:space="preserve">99.04</w:t>
            </w:r>
          </w:p>
        </w:tc>
        <w:tc>
          <w:tcPr>
            <w:tcW w:w="1316" w:type="dxa"/>
          </w:tcPr>
          <w:tcPr/>
          <w:p>
            <w:pPr>
              <w:pStyle w:val="Compact"/>
              <w:jc w:val="center"/>
            </w:pPr>
            <w:r>
              <w:rPr>
                <w:sz w:val="18"/>
                <w:szCs w:val="18"/>
              </w:rPr>
              <w:t xml:space="preserve">95.59</w:t>
            </w:r>
          </w:p>
        </w:tc>
      </w:tr>
      <w:tr>
        <w:tc>
          <w:tcPr>
            <w:tcW w:w="2133" w:type="dxa"/>
          </w:tcPr>
          <w:tcPr/>
          <w:p>
            <w:pPr>
              <w:pStyle w:val="Compact"/>
              <w:jc w:val="left"/>
            </w:pPr>
            <w:r>
              <w:rPr>
                <w:sz w:val="18"/>
                <w:szCs w:val="18"/>
              </w:rPr>
              <w:t xml:space="preserve">Pituitary</w:t>
            </w:r>
          </w:p>
        </w:tc>
        <w:tc>
          <w:tcPr>
            <w:tcW w:w="1641" w:type="dxa"/>
          </w:tcPr>
          <w:tcPr/>
          <w:p>
            <w:pPr>
              <w:pStyle w:val="Compact"/>
              <w:jc w:val="right"/>
            </w:pPr>
            <w:r>
              <w:rPr>
                <w:sz w:val="18"/>
                <w:szCs w:val="18"/>
              </w:rPr>
              <w:t xml:space="preserve">3,130</w:t>
            </w:r>
          </w:p>
        </w:tc>
        <w:tc>
          <w:tcPr>
            <w:tcW w:w="1312" w:type="dxa"/>
          </w:tcPr>
          <w:tcPr/>
          <w:p>
            <w:pPr>
              <w:pStyle w:val="Compact"/>
              <w:jc w:val="center"/>
            </w:pPr>
            <w:r>
              <w:rPr>
                <w:sz w:val="18"/>
                <w:szCs w:val="18"/>
              </w:rPr>
              <w:t xml:space="preserve">97.90</w:t>
            </w:r>
          </w:p>
        </w:tc>
        <w:tc>
          <w:tcPr>
            <w:tcW w:w="1312" w:type="dxa"/>
          </w:tcPr>
          <w:tcPr/>
          <w:p>
            <w:pPr>
              <w:pStyle w:val="Compact"/>
              <w:jc w:val="center"/>
            </w:pPr>
            <w:r>
              <w:rPr>
                <w:sz w:val="18"/>
                <w:szCs w:val="18"/>
              </w:rPr>
              <w:t xml:space="preserve">96.74</w:t>
            </w:r>
          </w:p>
        </w:tc>
        <w:tc>
          <w:tcPr>
            <w:tcW w:w="1312" w:type="dxa"/>
          </w:tcPr>
          <w:tcPr/>
          <w:p>
            <w:pPr>
              <w:pStyle w:val="Compact"/>
              <w:jc w:val="center"/>
            </w:pPr>
            <w:r>
              <w:rPr>
                <w:sz w:val="18"/>
                <w:szCs w:val="18"/>
              </w:rPr>
              <w:t xml:space="preserve">99.27</w:t>
            </w:r>
          </w:p>
        </w:tc>
        <w:tc>
          <w:tcPr>
            <w:tcW w:w="1316" w:type="dxa"/>
          </w:tcPr>
          <w:tcPr/>
          <w:p>
            <w:pPr>
              <w:pStyle w:val="Compact"/>
              <w:jc w:val="center"/>
            </w:pPr>
            <w:r>
              <w:rPr>
                <w:sz w:val="18"/>
                <w:szCs w:val="18"/>
              </w:rPr>
              <w:t xml:space="preserve">97.32</w:t>
            </w:r>
          </w:p>
        </w:tc>
      </w:tr>
    </w:tbl>
    <w:p>
      <w:pPr>
        <w:pStyle w:val="BodyText"/>
      </w:pPr>
      <w:r>
        <w:t xml:space="preserve">The 423 errors are spread over several class pairs (Fig. 5): glioma–meningioma 112 (26%), glioma–no tumour 108 (26%), meningioma–pituitary 88 (21%), no tumour–pituitary 69, meningioma–no tumour 36 and glioma–pituitary 10. Ninety-two of 9,632 tumour images (0.96%) were called tumour-free, and 121 of 2,432 tumour-free images (4.98%) were called tumour, 69 of them glioma.</w:t>
      </w:r>
    </w:p>
    <w:p>
      <w:pPr>
        <w:pStyle w:val="CaptionedFigure"/>
      </w:pPr>
      <w:r>
        <w:drawing>
          <wp:inline>
            <wp:extent cx="3291840" cy="2915629"/>
            <wp:effectExtent b="0" l="0" r="0" t="0"/>
            <wp:docPr descr="" title="" id="59" name="Picture"/>
            <a:graphic>
              <a:graphicData uri="http://schemas.openxmlformats.org/drawingml/2006/picture">
                <pic:pic>
                  <pic:nvPicPr>
                    <pic:cNvPr descr="figures/fig_confusion.png" id="60" name="Picture"/>
                    <pic:cNvPicPr>
                      <a:picLocks noChangeArrowheads="1" noChangeAspect="1"/>
                    </pic:cNvPicPr>
                  </pic:nvPicPr>
                  <pic:blipFill>
                    <a:blip r:embed="rId58"/>
                    <a:stretch>
                      <a:fillRect/>
                    </a:stretch>
                  </pic:blipFill>
                  <pic:spPr bwMode="auto">
                    <a:xfrm>
                      <a:off x="0" y="0"/>
                      <a:ext cx="3291840" cy="2915629"/>
                    </a:xfrm>
                    <a:prstGeom prst="rect">
                      <a:avLst/>
                    </a:prstGeom>
                    <a:noFill/>
                    <a:ln w="9525">
                      <a:noFill/>
                      <a:headEnd/>
                      <a:tailEnd/>
                    </a:ln>
                  </pic:spPr>
                </pic:pic>
              </a:graphicData>
            </a:graphic>
          </wp:inline>
        </w:drawing>
      </w:r>
    </w:p>
    <w:p>
      <w:pPr>
        <w:pStyle w:val="ImageCaption"/>
      </w:pPr>
      <w:r>
        <w:t xml:space="preserve">Fig. 5. Pooled out-of-fold confusion matrix of the duplicate-aware five-fold cross-validation (</w:t>
      </w:r>
      <m:oMath>
        <m:r>
          <m:t>n</m:t>
        </m:r>
        <m:r>
          <m:rPr>
            <m:sty m:val="p"/>
          </m:rPr>
          <m:t>=</m:t>
        </m:r>
        <m:r>
          <m:t>12</m:t>
        </m:r>
        <m:r>
          <m:rPr>
            <m:sty m:val="p"/>
          </m:rPr>
          <m:t>,</m:t>
        </m:r>
        <m:r>
          <m:t>064</m:t>
        </m:r>
      </m:oMath>
      <w:r>
        <w:t xml:space="preserve">). Each cell gives the image count and the row percentage; shading follows the row percentage on a logarithmic scale so that small error counts remain visible.</w:t>
      </w:r>
    </w:p>
    <w:bookmarkEnd w:id="61"/>
    <w:bookmarkStart w:id="65" w:name="d.-calibration"/>
    <w:p>
      <w:pPr>
        <w:pStyle w:val="Heading2"/>
      </w:pPr>
      <w:r>
        <w:t xml:space="preserve">D. Calibration</w:t>
      </w:r>
    </w:p>
    <w:p>
      <w:pPr>
        <w:pStyle w:val="FirstParagraph"/>
      </w:pPr>
      <w:r>
        <w:t xml:space="preserve">The confidence of the top bin matched its accuracy closely: 11,577 images (96.0%) were predicted with confidence above 0.9, with 98.17% accuracy at 97.73% mean confidence (Fig. 6). Below 0.9 the model was over-confident; for example, the 206 images in the 0.8–0.9 bin had 64.1% accuracy at 86.0% mean confidence. The highest probability assigned to any image was 0.984.</w:t>
      </w:r>
    </w:p>
    <w:p>
      <w:pPr>
        <w:pStyle w:val="CaptionedFigure"/>
      </w:pPr>
      <w:r>
        <w:drawing>
          <wp:inline>
            <wp:extent cx="3291840" cy="2915629"/>
            <wp:effectExtent b="0" l="0" r="0" t="0"/>
            <wp:docPr descr="" title="" id="63" name="Picture"/>
            <a:graphic>
              <a:graphicData uri="http://schemas.openxmlformats.org/drawingml/2006/picture">
                <pic:pic>
                  <pic:nvPicPr>
                    <pic:cNvPr descr="figures/fig4_reliability.png" id="64" name="Picture"/>
                    <pic:cNvPicPr>
                      <a:picLocks noChangeArrowheads="1" noChangeAspect="1"/>
                    </pic:cNvPicPr>
                  </pic:nvPicPr>
                  <pic:blipFill>
                    <a:blip r:embed="rId62"/>
                    <a:stretch>
                      <a:fillRect/>
                    </a:stretch>
                  </pic:blipFill>
                  <pic:spPr bwMode="auto">
                    <a:xfrm>
                      <a:off x="0" y="0"/>
                      <a:ext cx="3291840" cy="2915629"/>
                    </a:xfrm>
                    <a:prstGeom prst="rect">
                      <a:avLst/>
                    </a:prstGeom>
                    <a:noFill/>
                    <a:ln w="9525">
                      <a:noFill/>
                      <a:headEnd/>
                      <a:tailEnd/>
                    </a:ln>
                  </pic:spPr>
                </pic:pic>
              </a:graphicData>
            </a:graphic>
          </wp:inline>
        </w:drawing>
      </w:r>
    </w:p>
    <w:p>
      <w:pPr>
        <w:pStyle w:val="ImageCaption"/>
      </w:pPr>
      <w:r>
        <w:t xml:space="preserve">Fig. 6. Reliability diagram of the pooled out-of-fold predictions of the duplicate-aware cross-validation (12,064 images, ten equal-width bins; numbers above the bars give the images per bin).</w:t>
      </w:r>
    </w:p>
    <w:p>
      <w:pPr>
        <w:pStyle w:val="BodyText"/>
      </w:pPr>
      <w:r>
        <w:t xml:space="preserve">Confidence is only partly informative for triage. The 487 images (4.0%) predicted with confidence below 0.9 had 56.7% accuracy and contained 211 of the 423 errors (50%). However, 199 errors (47%) were made at confidence of 0.95 or higher, and 175 of these belonged to groups in which at least half of the copies were misclassified (Section VII-B).</w:t>
      </w:r>
    </w:p>
    <w:bookmarkEnd w:id="65"/>
    <w:bookmarkStart w:id="66" w:name="e.-model-size-and-cost"/>
    <w:p>
      <w:pPr>
        <w:pStyle w:val="Heading2"/>
      </w:pPr>
      <w:r>
        <w:t xml:space="preserve">E. Model Size and Cost</w:t>
      </w:r>
    </w:p>
    <w:p>
      <w:pPr>
        <w:pStyle w:val="FirstParagraph"/>
      </w:pPr>
      <w:r>
        <w:t xml:space="preserve">The model has 19,350,155 trainable parameters (Table VI). A single forward pass costs about 2.26 GFLOPs of dense operations, measured with the PyTorch FLOP counter (</w:t>
      </w:r>
      <w:r>
        <w:rPr>
          <w:rStyle w:val="VerbatimChar"/>
        </w:rPr>
        <w:t xml:space="preserve">torch.utils.flop_counter</w:t>
      </w:r>
      <w:r>
        <w:t xml:space="preserve">) at</w:t>
      </w:r>
      <w:r>
        <w:t xml:space="preserve"> </w:t>
      </w:r>
      <m:oMath>
        <m:r>
          <m:t>224</m:t>
        </m:r>
        <m:r>
          <m:rPr>
            <m:sty m:val="p"/>
          </m:rPr>
          <m:t>×</m:t>
        </m:r>
        <m:r>
          <m:t>224</m:t>
        </m:r>
      </m:oMath>
      <w:r>
        <w:t xml:space="preserve"> </w:t>
      </w:r>
      <w:r>
        <w:t xml:space="preserve">input; graph message passing is not included.</w:t>
      </w:r>
    </w:p>
    <w:p>
      <w:pPr>
        <w:pStyle w:val="TableCaption"/>
      </w:pPr>
      <w:r>
        <w:t xml:space="preserve">TABLE VI. Parameter Count per Module (Identical in All Five Checkpoints)</w:t>
      </w:r>
    </w:p>
    <w:tbl>
      <w:tblPr>
        <w:tblStyle w:val="Table"/>
        <w:tblW w:type="dxa" w:w="9026"/>
        <w:tblLook w:firstRow="1" w:lastRow="0" w:firstColumn="0" w:lastColumn="0" w:noHBand="0" w:noVBand="0" w:val="0020"/>
        <w:jc w:val="start"/>
        <w:tblCaption w:val="TABLE VI. Parameter Count per Module (Identical in All Five Checkpoints)"/>
      </w:tblPr>
      <w:tblGrid>
        <w:gridCol w:w="4813"/>
        <w:gridCol w:w="2607"/>
        <w:gridCol w:w="1606"/>
      </w:tblGrid>
      <w:tr>
        <w:trPr>
          <w:tblHeader w:val="true"/>
        </w:trPr>
        <w:tc>
          <w:tcPr>
            <w:tcW w:w="4813" w:type="dxa"/>
          </w:tcPr>
          <w:tcPr/>
          <w:p>
            <w:pPr>
              <w:pStyle w:val="Compact"/>
              <w:jc w:val="left"/>
            </w:pPr>
            <w:r>
              <w:rPr>
                <w:sz w:val="18"/>
                <w:szCs w:val="18"/>
              </w:rPr>
              <w:t xml:space="preserve">Module</w:t>
            </w:r>
          </w:p>
        </w:tc>
        <w:tc>
          <w:tcPr>
            <w:tcW w:w="2607" w:type="dxa"/>
          </w:tcPr>
          <w:tcPr/>
          <w:p>
            <w:pPr>
              <w:pStyle w:val="Compact"/>
              <w:jc w:val="right"/>
            </w:pPr>
            <w:r>
              <w:rPr>
                <w:sz w:val="18"/>
                <w:szCs w:val="18"/>
              </w:rPr>
              <w:t xml:space="preserve">Parameters</w:t>
            </w:r>
          </w:p>
        </w:tc>
        <w:tc>
          <w:tcPr>
            <w:tcW w:w="1606" w:type="dxa"/>
          </w:tcPr>
          <w:tcPr/>
          <w:p>
            <w:pPr>
              <w:pStyle w:val="Compact"/>
              <w:jc w:val="right"/>
            </w:pPr>
            <w:r>
              <w:rPr>
                <w:sz w:val="18"/>
                <w:szCs w:val="18"/>
              </w:rPr>
              <w:t xml:space="preserve">Share</w:t>
            </w:r>
          </w:p>
        </w:tc>
      </w:tr>
      <w:tr>
        <w:tc>
          <w:tcPr>
            <w:tcW w:w="4813" w:type="dxa"/>
          </w:tcPr>
          <w:tcPr/>
          <w:p>
            <w:pPr>
              <w:pStyle w:val="Compact"/>
              <w:jc w:val="left"/>
            </w:pPr>
            <w:r>
              <w:rPr>
                <w:sz w:val="18"/>
                <w:szCs w:val="18"/>
              </w:rPr>
              <w:t xml:space="preserve">EfficientNet-B3 features</w:t>
            </w:r>
          </w:p>
        </w:tc>
        <w:tc>
          <w:tcPr>
            <w:tcW w:w="2607" w:type="dxa"/>
          </w:tcPr>
          <w:tcPr/>
          <w:p>
            <w:pPr>
              <w:pStyle w:val="Compact"/>
              <w:jc w:val="right"/>
            </w:pPr>
            <w:r>
              <w:rPr>
                <w:sz w:val="18"/>
                <w:szCs w:val="18"/>
              </w:rPr>
              <w:t xml:space="preserve">10,696,232</w:t>
            </w:r>
          </w:p>
        </w:tc>
        <w:tc>
          <w:tcPr>
            <w:tcW w:w="1606" w:type="dxa"/>
          </w:tcPr>
          <w:tcPr/>
          <w:p>
            <w:pPr>
              <w:pStyle w:val="Compact"/>
              <w:jc w:val="right"/>
            </w:pPr>
            <w:r>
              <w:rPr>
                <w:sz w:val="18"/>
                <w:szCs w:val="18"/>
              </w:rPr>
              <w:t xml:space="preserve">55.3%</w:t>
            </w:r>
          </w:p>
        </w:tc>
      </w:tr>
      <w:tr>
        <w:tc>
          <w:tcPr>
            <w:tcW w:w="4813" w:type="dxa"/>
          </w:tcPr>
          <w:tcPr/>
          <w:p>
            <w:pPr>
              <w:pStyle w:val="Compact"/>
              <w:jc w:val="left"/>
            </w:pPr>
            <w:r>
              <w:rPr>
                <w:sz w:val="18"/>
                <w:szCs w:val="18"/>
              </w:rPr>
              <w:t xml:space="preserve">Image projection head</w:t>
            </w:r>
          </w:p>
        </w:tc>
        <w:tc>
          <w:tcPr>
            <w:tcW w:w="2607" w:type="dxa"/>
          </w:tcPr>
          <w:tcPr/>
          <w:p>
            <w:pPr>
              <w:pStyle w:val="Compact"/>
              <w:jc w:val="right"/>
            </w:pPr>
            <w:r>
              <w:rPr>
                <w:sz w:val="18"/>
                <w:szCs w:val="18"/>
              </w:rPr>
              <w:t xml:space="preserve">1,478,016</w:t>
            </w:r>
          </w:p>
        </w:tc>
        <w:tc>
          <w:tcPr>
            <w:tcW w:w="1606" w:type="dxa"/>
          </w:tcPr>
          <w:tcPr/>
          <w:p>
            <w:pPr>
              <w:pStyle w:val="Compact"/>
              <w:jc w:val="right"/>
            </w:pPr>
            <w:r>
              <w:rPr>
                <w:sz w:val="18"/>
                <w:szCs w:val="18"/>
              </w:rPr>
              <w:t xml:space="preserve">7.6%</w:t>
            </w:r>
          </w:p>
        </w:tc>
      </w:tr>
      <w:tr>
        <w:tc>
          <w:tcPr>
            <w:tcW w:w="4813" w:type="dxa"/>
          </w:tcPr>
          <w:tcPr/>
          <w:p>
            <w:pPr>
              <w:pStyle w:val="Compact"/>
              <w:jc w:val="left"/>
            </w:pPr>
            <w:r>
              <w:rPr>
                <w:sz w:val="18"/>
                <w:szCs w:val="18"/>
              </w:rPr>
              <w:t xml:space="preserve">Cross-modal transformer</w:t>
            </w:r>
          </w:p>
        </w:tc>
        <w:tc>
          <w:tcPr>
            <w:tcW w:w="2607" w:type="dxa"/>
          </w:tcPr>
          <w:tcPr/>
          <w:p>
            <w:pPr>
              <w:pStyle w:val="Compact"/>
              <w:jc w:val="right"/>
            </w:pPr>
            <w:r>
              <w:rPr>
                <w:sz w:val="18"/>
                <w:szCs w:val="18"/>
              </w:rPr>
              <w:t xml:space="preserve">5,324,160</w:t>
            </w:r>
          </w:p>
        </w:tc>
        <w:tc>
          <w:tcPr>
            <w:tcW w:w="1606" w:type="dxa"/>
          </w:tcPr>
          <w:tcPr/>
          <w:p>
            <w:pPr>
              <w:pStyle w:val="Compact"/>
              <w:jc w:val="right"/>
            </w:pPr>
            <w:r>
              <w:rPr>
                <w:sz w:val="18"/>
                <w:szCs w:val="18"/>
              </w:rPr>
              <w:t xml:space="preserve">27.5%</w:t>
            </w:r>
          </w:p>
        </w:tc>
      </w:tr>
      <w:tr>
        <w:tc>
          <w:tcPr>
            <w:tcW w:w="4813" w:type="dxa"/>
          </w:tcPr>
          <w:tcPr/>
          <w:p>
            <w:pPr>
              <w:pStyle w:val="Compact"/>
              <w:jc w:val="left"/>
            </w:pPr>
            <w:r>
              <w:rPr>
                <w:sz w:val="18"/>
                <w:szCs w:val="18"/>
              </w:rPr>
              <w:t xml:space="preserve">Multi-path GNN (graph stream)</w:t>
            </w:r>
          </w:p>
        </w:tc>
        <w:tc>
          <w:tcPr>
            <w:tcW w:w="2607" w:type="dxa"/>
          </w:tcPr>
          <w:tcPr/>
          <w:p>
            <w:pPr>
              <w:pStyle w:val="Compact"/>
              <w:jc w:val="right"/>
            </w:pPr>
            <w:r>
              <w:rPr>
                <w:sz w:val="18"/>
                <w:szCs w:val="18"/>
              </w:rPr>
              <w:t xml:space="preserve">617,222</w:t>
            </w:r>
          </w:p>
        </w:tc>
        <w:tc>
          <w:tcPr>
            <w:tcW w:w="1606" w:type="dxa"/>
          </w:tcPr>
          <w:tcPr/>
          <w:p>
            <w:pPr>
              <w:pStyle w:val="Compact"/>
              <w:jc w:val="right"/>
            </w:pPr>
            <w:r>
              <w:rPr>
                <w:sz w:val="18"/>
                <w:szCs w:val="18"/>
              </w:rPr>
              <w:t xml:space="preserve">3.2%</w:t>
            </w:r>
          </w:p>
        </w:tc>
      </w:tr>
      <w:tr>
        <w:tc>
          <w:tcPr>
            <w:tcW w:w="4813" w:type="dxa"/>
          </w:tcPr>
          <w:tcPr/>
          <w:p>
            <w:pPr>
              <w:pStyle w:val="Compact"/>
              <w:jc w:val="left"/>
            </w:pPr>
            <w:r>
              <w:rPr>
                <w:sz w:val="18"/>
                <w:szCs w:val="18"/>
              </w:rPr>
              <w:t xml:space="preserve">Dynamic recalibration</w:t>
            </w:r>
          </w:p>
        </w:tc>
        <w:tc>
          <w:tcPr>
            <w:tcW w:w="2607" w:type="dxa"/>
          </w:tcPr>
          <w:tcPr/>
          <w:p>
            <w:pPr>
              <w:pStyle w:val="Compact"/>
              <w:jc w:val="right"/>
            </w:pPr>
            <w:r>
              <w:rPr>
                <w:sz w:val="18"/>
                <w:szCs w:val="18"/>
              </w:rPr>
              <w:t xml:space="preserve">557,520</w:t>
            </w:r>
          </w:p>
        </w:tc>
        <w:tc>
          <w:tcPr>
            <w:tcW w:w="1606" w:type="dxa"/>
          </w:tcPr>
          <w:tcPr/>
          <w:p>
            <w:pPr>
              <w:pStyle w:val="Compact"/>
              <w:jc w:val="right"/>
            </w:pPr>
            <w:r>
              <w:rPr>
                <w:sz w:val="18"/>
                <w:szCs w:val="18"/>
              </w:rPr>
              <w:t xml:space="preserve">2.9%</w:t>
            </w:r>
          </w:p>
        </w:tc>
      </w:tr>
      <w:tr>
        <w:tc>
          <w:tcPr>
            <w:tcW w:w="4813" w:type="dxa"/>
          </w:tcPr>
          <w:tcPr/>
          <w:p>
            <w:pPr>
              <w:pStyle w:val="Compact"/>
              <w:jc w:val="left"/>
            </w:pPr>
            <w:r>
              <w:rPr>
                <w:sz w:val="18"/>
                <w:szCs w:val="18"/>
              </w:rPr>
              <w:t xml:space="preserve">Classifier</w:t>
            </w:r>
          </w:p>
        </w:tc>
        <w:tc>
          <w:tcPr>
            <w:tcW w:w="2607" w:type="dxa"/>
          </w:tcPr>
          <w:tcPr/>
          <w:p>
            <w:pPr>
              <w:pStyle w:val="Compact"/>
              <w:jc w:val="right"/>
            </w:pPr>
            <w:r>
              <w:rPr>
                <w:sz w:val="18"/>
                <w:szCs w:val="18"/>
              </w:rPr>
              <w:t xml:space="preserve">527,620</w:t>
            </w:r>
          </w:p>
        </w:tc>
        <w:tc>
          <w:tcPr>
            <w:tcW w:w="1606" w:type="dxa"/>
          </w:tcPr>
          <w:tcPr/>
          <w:p>
            <w:pPr>
              <w:pStyle w:val="Compact"/>
              <w:jc w:val="right"/>
            </w:pPr>
            <w:r>
              <w:rPr>
                <w:sz w:val="18"/>
                <w:szCs w:val="18"/>
              </w:rPr>
              <w:t xml:space="preserve">2.7%</w:t>
            </w:r>
          </w:p>
        </w:tc>
      </w:tr>
      <w:tr>
        <w:tc>
          <w:tcPr>
            <w:tcW w:w="4813" w:type="dxa"/>
          </w:tcPr>
          <w:tcPr/>
          <w:p>
            <w:pPr>
              <w:pStyle w:val="Compact"/>
              <w:jc w:val="left"/>
            </w:pPr>
            <w:r>
              <w:rPr>
                <w:sz w:val="18"/>
                <w:szCs w:val="18"/>
              </w:rPr>
              <w:t xml:space="preserve">Uncertainty heads and</w:t>
            </w:r>
            <w:r>
              <w:rPr>
                <w:sz w:val="18"/>
                <w:szCs w:val="18"/>
              </w:rPr>
              <w:t xml:space="preserve"> </w:t>
            </w:r>
            <m:oMath>
              <m:r>
                <w:rPr>
                  <w:sz w:val="18"/>
                  <w:szCs w:val="18"/>
                </w:rPr>
                <m:t>τ</m:t>
              </m:r>
            </m:oMath>
          </w:p>
        </w:tc>
        <w:tc>
          <w:tcPr>
            <w:tcW w:w="2607" w:type="dxa"/>
          </w:tcPr>
          <w:tcPr/>
          <w:p>
            <w:pPr>
              <w:pStyle w:val="Compact"/>
              <w:jc w:val="right"/>
            </w:pPr>
            <w:r>
              <w:rPr>
                <w:sz w:val="18"/>
                <w:szCs w:val="18"/>
              </w:rPr>
              <w:t xml:space="preserve">149,385</w:t>
            </w:r>
          </w:p>
        </w:tc>
        <w:tc>
          <w:tcPr>
            <w:tcW w:w="1606" w:type="dxa"/>
          </w:tcPr>
          <w:tcPr/>
          <w:p>
            <w:pPr>
              <w:pStyle w:val="Compact"/>
              <w:jc w:val="right"/>
            </w:pPr>
            <w:r>
              <w:rPr>
                <w:sz w:val="18"/>
                <w:szCs w:val="18"/>
              </w:rPr>
              <w:t xml:space="preserve">0.8%</w:t>
            </w:r>
          </w:p>
        </w:tc>
      </w:tr>
      <w:tr>
        <w:tc>
          <w:tcPr>
            <w:tcW w:w="4813" w:type="dxa"/>
          </w:tcPr>
          <w:tcPr/>
          <w:p>
            <w:pPr>
              <w:pStyle w:val="Compact"/>
              <w:jc w:val="left"/>
            </w:pPr>
            <w:r>
              <w:rPr>
                <w:sz w:val="18"/>
                <w:szCs w:val="18"/>
                <w:bCs/>
                <w:b/>
              </w:rPr>
              <w:t xml:space="preserve">Total</w:t>
            </w:r>
          </w:p>
        </w:tc>
        <w:tc>
          <w:tcPr>
            <w:tcW w:w="2607" w:type="dxa"/>
          </w:tcPr>
          <w:tcPr/>
          <w:p>
            <w:pPr>
              <w:pStyle w:val="Compact"/>
              <w:jc w:val="right"/>
            </w:pPr>
            <w:r>
              <w:rPr>
                <w:sz w:val="18"/>
                <w:szCs w:val="18"/>
                <w:bCs/>
                <w:b/>
              </w:rPr>
              <w:t xml:space="preserve">19,350,155</w:t>
            </w:r>
          </w:p>
        </w:tc>
        <w:tc>
          <w:tcPr>
            <w:tcW w:w="1606" w:type="dxa"/>
          </w:tcPr>
          <w:tcPr/>
          <w:p>
            <w:pPr>
              <w:pStyle w:val="Compact"/>
              <w:jc w:val="right"/>
            </w:pPr>
            <w:r>
              <w:rPr>
                <w:sz w:val="18"/>
                <w:szCs w:val="18"/>
                <w:bCs/>
                <w:b/>
              </w:rPr>
              <w:t xml:space="preserve">100%</w:t>
            </w:r>
          </w:p>
        </w:tc>
      </w:tr>
    </w:tbl>
    <w:p>
      <w:pPr>
        <w:pStyle w:val="BodyText"/>
      </w:pPr>
      <w:r>
        <w:t xml:space="preserve">On the Tesla T4, one forward pass, including the 20 MC-dropout samples of the gate, took 21.1 ms per image. Building one graph on the notebook’s CPU took 232 ms, and the complete ten-view TTA pipeline, which builds a graph for every view, took 2.63 s per image. Graph construction therefore dominates inference time.</w:t>
      </w:r>
    </w:p>
    <w:bookmarkEnd w:id="66"/>
    <w:bookmarkStart w:id="67" w:name="f.-learned-fusion-parameters"/>
    <w:p>
      <w:pPr>
        <w:pStyle w:val="Heading2"/>
      </w:pPr>
      <w:r>
        <w:t xml:space="preserve">F. Learned Fusion Parameters</w:t>
      </w:r>
    </w:p>
    <w:p>
      <w:pPr>
        <w:pStyle w:val="FirstParagraph"/>
      </w:pPr>
      <w:r>
        <w:t xml:space="preserve">The learned path weights stayed close to their initial value of</w:t>
      </w:r>
      <w:r>
        <w:t xml:space="preserve"> </w:t>
      </w:r>
      <m:oMath>
        <m:r>
          <m:t>1</m:t>
        </m:r>
        <m:r>
          <m:rPr>
            <m:sty m:val="p"/>
          </m:rPr>
          <m:t>/</m:t>
        </m:r>
        <m:r>
          <m:t>3</m:t>
        </m:r>
      </m:oMath>
      <w:r>
        <w:t xml:space="preserve"> </w:t>
      </w:r>
      <w:r>
        <w:t xml:space="preserve">in all five folds: every component of</w:t>
      </w:r>
      <w:r>
        <w:t xml:space="preserve"> </w:t>
      </w:r>
      <m:oMath>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t>a</m:t>
            </m:r>
          </m:e>
        </m:d>
      </m:oMath>
      <w:r>
        <w:t xml:space="preserve"> </w:t>
      </w:r>
      <w:r>
        <w:t xml:space="preserve">and</w:t>
      </w:r>
      <w:r>
        <w:t xml:space="preserve"> </w:t>
      </w:r>
      <m:oMath>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t>b</m:t>
            </m:r>
          </m:e>
        </m:d>
      </m:oMath>
      <w:r>
        <w:t xml:space="preserve"> </w:t>
      </w:r>
      <w:r>
        <w:t xml:space="preserve">lay between 0.327 and 0.341 (fold 1:</w:t>
      </w:r>
      <w:r>
        <w:t xml:space="preserve"> </w:t>
      </w:r>
      <m:oMath>
        <m:d>
          <m:dPr>
            <m:begChr m:val="("/>
            <m:endChr m:val=")"/>
            <m:sepChr m:val=""/>
            <m:grow/>
          </m:dPr>
          <m:e>
            <m:r>
              <m:t>0.329</m:t>
            </m:r>
            <m:r>
              <m:rPr>
                <m:sty m:val="p"/>
              </m:rPr>
              <m:t>,</m:t>
            </m:r>
            <m:r>
              <m:t>0.330</m:t>
            </m:r>
            <m:r>
              <m:rPr>
                <m:sty m:val="p"/>
              </m:rPr>
              <m:t>,</m:t>
            </m:r>
            <m:r>
              <m:t>0.341</m:t>
            </m:r>
          </m:e>
        </m:d>
      </m:oMath>
      <w:r>
        <w:t xml:space="preserve"> </w:t>
      </w:r>
      <w:r>
        <w:t xml:space="preserve">and</w:t>
      </w:r>
      <w:r>
        <w:t xml:space="preserve"> </w:t>
      </w:r>
      <m:oMath>
        <m:d>
          <m:dPr>
            <m:begChr m:val="("/>
            <m:endChr m:val=")"/>
            <m:sepChr m:val=""/>
            <m:grow/>
          </m:dPr>
          <m:e>
            <m:r>
              <m:t>0.333</m:t>
            </m:r>
            <m:r>
              <m:rPr>
                <m:sty m:val="p"/>
              </m:rPr>
              <m:t>,</m:t>
            </m:r>
            <m:r>
              <m:t>0.336</m:t>
            </m:r>
            <m:r>
              <m:rPr>
                <m:sty m:val="p"/>
              </m:rPr>
              <m:t>,</m:t>
            </m:r>
            <m:r>
              <m:t>0.330</m:t>
            </m:r>
          </m:e>
        </m:d>
      </m:oMath>
      <w:r>
        <w:t xml:space="preserve"> </w:t>
      </w:r>
      <w:r>
        <w:t xml:space="preserve">for GCN, GAT and TransformerConv). The gate temperature rose from its initial 0.693 to 0.743–0.768.</w:t>
      </w:r>
    </w:p>
    <w:p>
      <w:pPr>
        <w:pStyle w:val="BodyText"/>
      </w:pPr>
      <w:r>
        <w:t xml:space="preserve">The uncertainty gate favoured the image stream. Averaged over the ten TTA views, the image weight</w:t>
      </w:r>
      <w:r>
        <w:t xml:space="preserve"> </w:t>
      </w:r>
      <m:oMath>
        <m:sSub>
          <m:e>
            <m:r>
              <m:t>w</m:t>
            </m:r>
          </m:e>
          <m:sub>
            <m:r>
              <m:t>i</m:t>
            </m:r>
          </m:sub>
        </m:sSub>
      </m:oMath>
      <w:r>
        <w:t xml:space="preserve"> </w:t>
      </w:r>
      <w:r>
        <w:t xml:space="preserve">had a mean of 0.731 and a median of 0.866, and it exceeded 0.5 for 79.5% of the test images (fold means 0.82, 0.69, 0.72, 0.69 and 0.73). Misclassified images had a higher mean image weight (0.806) than correctly classified ones (0.729).</w:t>
      </w:r>
    </w:p>
    <w:bookmarkEnd w:id="67"/>
    <w:bookmarkStart w:id="74" w:name="g.-ablation-study-four-models"/>
    <w:p>
      <w:pPr>
        <w:pStyle w:val="Heading2"/>
      </w:pPr>
      <w:r>
        <w:t xml:space="preserve">G. Ablation Study: Four Models</w:t>
      </w:r>
    </w:p>
    <w:p>
      <w:pPr>
        <w:pStyle w:val="FirstParagraph"/>
      </w:pPr>
      <w:r>
        <w:t xml:space="preserve">The four variants of the workflow (Fig. 2, panel E) were trained on the same duplicate-aware folds with otherwise identical settings: the baseline uses only the EfficientNet-B3 stream (with its projection head and the same classifier); Variant A uses only the graph pyramid and multi-path GNN; Variant B concatenates the two embeddings without recalibration, transformer or gate; and the proposed model is the complete framework. Table VII summarises the results, Fig. 7 shows the pooled out-of-fold confusion matrix of each model, and Fig. 8 shows the fold-by-fold behaviour. Because every model is evaluated on the same images, the variants are compared with the full model by McNemar’s exact test on the paired out-of-fold predictions and, because errors cluster within groups, by a group-bootstrap 95% CI of the difference in pooled accuracy (4,000 resamples of whole groups).</w:t>
      </w:r>
    </w:p>
    <w:p>
      <w:pPr>
        <w:pStyle w:val="BodyText"/>
      </w:pPr>
      <w:r>
        <w:t xml:space="preserve">The image stream alone matched the complete framework. The baseline reached</w:t>
      </w:r>
      <w:r>
        <w:t xml:space="preserve"> </w:t>
      </w:r>
      <m:oMath>
        <m:r>
          <m:t>96.58</m:t>
        </m:r>
        <m:r>
          <m:rPr>
            <m:sty m:val="p"/>
          </m:rPr>
          <m:t>±</m:t>
        </m:r>
        <m:r>
          <m:t>1.44</m:t>
        </m:r>
        <m:r>
          <m:rPr>
            <m:sty m:val="p"/>
          </m:rPr>
          <m:t>%</m:t>
        </m:r>
      </m:oMath>
      <w:r>
        <w:t xml:space="preserve"> </w:t>
      </w:r>
      <w:r>
        <w:t xml:space="preserve">accuracy (pooled 96.55%), against</w:t>
      </w:r>
      <w:r>
        <w:t xml:space="preserve"> </w:t>
      </w:r>
      <m:oMath>
        <m:r>
          <m:t>96.54</m:t>
        </m:r>
        <m:r>
          <m:rPr>
            <m:sty m:val="p"/>
          </m:rPr>
          <m:t>±</m:t>
        </m:r>
        <m:r>
          <m:t>1.71</m:t>
        </m:r>
        <m:r>
          <m:rPr>
            <m:sty m:val="p"/>
          </m:rPr>
          <m:t>%</m:t>
        </m:r>
      </m:oMath>
      <w:r>
        <w:t xml:space="preserve"> </w:t>
      </w:r>
      <w:r>
        <w:t xml:space="preserve">(pooled 96.49%) for the full model; 138 images were classified correctly only by the full model and 145 only by the baseline (McNemar</w:t>
      </w:r>
      <w:r>
        <w:t xml:space="preserve"> </w:t>
      </w:r>
      <m:oMath>
        <m:r>
          <m:t>p</m:t>
        </m:r>
        <m:r>
          <m:rPr>
            <m:sty m:val="p"/>
          </m:rPr>
          <m:t>=</m:t>
        </m:r>
        <m:r>
          <m:t>0.72</m:t>
        </m:r>
      </m:oMath>
      <w:r>
        <w:t xml:space="preserve">), and the difference in pooled accuracy was</w:t>
      </w:r>
      <w:r>
        <w:t xml:space="preserve"> </w:t>
      </w:r>
      <m:oMath>
        <m:r>
          <m:rPr>
            <m:sty m:val="p"/>
          </m:rPr>
          <m:t>−</m:t>
        </m:r>
        <m:r>
          <m:t>0.06</m:t>
        </m:r>
      </m:oMath>
      <w:r>
        <w:t xml:space="preserve"> </w:t>
      </w:r>
      <w:r>
        <w:t xml:space="preserve">percentage points (95% CI</w:t>
      </w:r>
      <w:r>
        <w:t xml:space="preserve"> </w:t>
      </w:r>
      <m:oMath>
        <m:r>
          <m:rPr>
            <m:sty m:val="p"/>
          </m:rPr>
          <m:t>−</m:t>
        </m:r>
        <m:r>
          <m:t>0.61</m:t>
        </m:r>
      </m:oMath>
      <w:r>
        <w:t xml:space="preserve"> </w:t>
      </w:r>
      <w:r>
        <w:t xml:space="preserve">to</w:t>
      </w:r>
      <w:r>
        <w:t xml:space="preserve"> </w:t>
      </w:r>
      <m:oMath>
        <m:r>
          <m:rPr>
            <m:sty m:val="p"/>
          </m:rPr>
          <m:t>+</m:t>
        </m:r>
        <m:r>
          <m:t>0.46</m:t>
        </m:r>
      </m:oMath>
      <w:r>
        <w:t xml:space="preserve">). The graph stream alone was much weaker, at</w:t>
      </w:r>
      <w:r>
        <w:t xml:space="preserve"> </w:t>
      </w:r>
      <m:oMath>
        <m:r>
          <m:t>87.48</m:t>
        </m:r>
        <m:r>
          <m:rPr>
            <m:sty m:val="p"/>
          </m:rPr>
          <m:t>±</m:t>
        </m:r>
        <m:r>
          <m:t>1.73</m:t>
        </m:r>
        <m:r>
          <m:rPr>
            <m:sty m:val="p"/>
          </m:rPr>
          <m:t>%</m:t>
        </m:r>
      </m:oMath>
      <w:r>
        <w:t xml:space="preserve"> </w:t>
      </w:r>
      <w:r>
        <w:t xml:space="preserve">(pooled 87.43%; difference</w:t>
      </w:r>
      <w:r>
        <w:t xml:space="preserve"> </w:t>
      </w:r>
      <m:oMath>
        <m:r>
          <m:rPr>
            <m:sty m:val="p"/>
          </m:rPr>
          <m:t>+</m:t>
        </m:r>
        <m:r>
          <m:t>9.06</m:t>
        </m:r>
      </m:oMath>
      <w:r>
        <w:t xml:space="preserve"> </w:t>
      </w:r>
      <w:r>
        <w:t xml:space="preserve">points in favour of the full model, CI</w:t>
      </w:r>
      <w:r>
        <w:t xml:space="preserve"> </w:t>
      </w:r>
      <m:oMath>
        <m:r>
          <m:rPr>
            <m:sty m:val="p"/>
          </m:rPr>
          <m:t>+</m:t>
        </m:r>
        <m:r>
          <m:t>7.76</m:t>
        </m:r>
      </m:oMath>
      <w:r>
        <w:t xml:space="preserve"> </w:t>
      </w:r>
      <w:r>
        <w:t xml:space="preserve">to</w:t>
      </w:r>
      <w:r>
        <w:t xml:space="preserve"> </w:t>
      </w:r>
      <m:oMath>
        <m:r>
          <m:rPr>
            <m:sty m:val="p"/>
          </m:rPr>
          <m:t>+</m:t>
        </m:r>
        <m:r>
          <m:t>10.48</m:t>
        </m:r>
      </m:oMath>
      <w:r>
        <w:t xml:space="preserve">,</w:t>
      </w:r>
      <w:r>
        <w:t xml:space="preserve"> </w:t>
      </w:r>
      <w:r>
        <w:rPr>
          <w:iCs/>
          <w:i/>
        </w:rPr>
        <w:t xml:space="preserve">p</w:t>
      </w:r>
      <w:r>
        <w:t xml:space="preserve"> </w:t>
      </w:r>
      <w:r>
        <w:t xml:space="preserve">&lt; 10</w:t>
      </w:r>
      <w:r>
        <w:rPr>
          <w:vertAlign w:val="superscript"/>
        </w:rPr>
        <w:t xml:space="preserve">−200</w:t>
      </w:r>
      <w:r>
        <w:t xml:space="preserve">); it confused meningioma most, with 72.8% sensitivity (Fig. 7). Plain concatenation of the two streams reached</w:t>
      </w:r>
      <w:r>
        <w:t xml:space="preserve"> </w:t>
      </w:r>
      <m:oMath>
        <m:r>
          <m:t>96.25</m:t>
        </m:r>
        <m:r>
          <m:rPr>
            <m:sty m:val="p"/>
          </m:rPr>
          <m:t>±</m:t>
        </m:r>
        <m:r>
          <m:t>1.74</m:t>
        </m:r>
        <m:r>
          <m:rPr>
            <m:sty m:val="p"/>
          </m:rPr>
          <m:t>%</m:t>
        </m:r>
      </m:oMath>
      <w:r>
        <w:t xml:space="preserve"> </w:t>
      </w:r>
      <w:r>
        <w:t xml:space="preserve">(pooled 96.21%). The full model was 0.28 points more accurate; this difference was nominally significant by McNemar’s test (</w:t>
      </w:r>
      <m:oMath>
        <m:r>
          <m:t>p</m:t>
        </m:r>
        <m:r>
          <m:rPr>
            <m:sty m:val="p"/>
          </m:rPr>
          <m:t>=</m:t>
        </m:r>
        <m:r>
          <m:t>0.049</m:t>
        </m:r>
      </m:oMath>
      <w:r>
        <w:t xml:space="preserve">), which treats images as independent, but its group-bootstrap CI included zero (</w:t>
      </w:r>
      <m:oMath>
        <m:r>
          <m:rPr>
            <m:sty m:val="p"/>
          </m:rPr>
          <m:t>−</m:t>
        </m:r>
        <m:r>
          <m:t>0.16</m:t>
        </m:r>
      </m:oMath>
      <w:r>
        <w:t xml:space="preserve"> </w:t>
      </w:r>
      <w:r>
        <w:t xml:space="preserve">to</w:t>
      </w:r>
      <w:r>
        <w:t xml:space="preserve"> </w:t>
      </w:r>
      <m:oMath>
        <m:r>
          <m:rPr>
            <m:sty m:val="p"/>
          </m:rPr>
          <m:t>+</m:t>
        </m:r>
        <m:r>
          <m:t>0.72</m:t>
        </m:r>
      </m:oMath>
      <w:r>
        <w:t xml:space="preserve">). Across folds, the three models that contain the image stream moved together (Fig. 8): all were weakest in folds 3 and 5, the folds that contain the hard source slices of Section VII-B. The image-only model has 12.5 M parameters, against 19.35 M for the full model, and it needs no graph construction at inference.</w:t>
      </w:r>
    </w:p>
    <w:p>
      <w:pPr>
        <w:pStyle w:val="TableCaption"/>
      </w:pPr>
      <w:r>
        <w:t xml:space="preserve">TABLE VII. Ablation on the Same Duplicate-Aware Folds (Mean</w:t>
      </w:r>
      <w:r>
        <w:t xml:space="preserve"> </w:t>
      </w:r>
      <m:oMath>
        <m:r>
          <m:rPr>
            <m:sty m:val="p"/>
          </m:rPr>
          <m:t>±</m:t>
        </m:r>
      </m:oMath>
      <w:r>
        <w:t xml:space="preserve"> </w:t>
      </w:r>
      <w:r>
        <w:t xml:space="preserve">SD Over Five Folds; Pooled Out-of-Fold Accuracy in Parentheses)</w:t>
      </w:r>
    </w:p>
    <w:tbl>
      <w:tblPr>
        <w:tblStyle w:val="Table"/>
        <w:tblW w:type="dxa" w:w="9026"/>
        <w:tblLook w:firstRow="1" w:lastRow="0" w:firstColumn="0" w:lastColumn="0" w:noHBand="0" w:noVBand="0" w:val="0020"/>
        <w:jc w:val="start"/>
        <w:tblCaption w:val="TABLE VII. Ablation on the Same Duplicate-Aware Folds (Mean \pm SD Over Five Folds; Pooled Out-of-Fold Accuracy in Parentheses)"/>
      </w:tblPr>
      <w:tblGrid>
        <w:gridCol w:w="2221"/>
        <w:gridCol w:w="1527"/>
        <w:gridCol w:w="1527"/>
        <w:gridCol w:w="1110"/>
        <w:gridCol w:w="2641"/>
      </w:tblGrid>
      <w:tr>
        <w:trPr>
          <w:tblHeader w:val="true"/>
        </w:trPr>
        <w:tc>
          <w:tcPr>
            <w:tcW w:w="2221" w:type="dxa"/>
          </w:tcPr>
          <w:tcPr/>
          <w:p>
            <w:pPr>
              <w:pStyle w:val="Compact"/>
              <w:jc w:val="left"/>
            </w:pPr>
            <w:r>
              <w:rPr>
                <w:sz w:val="18"/>
                <w:szCs w:val="18"/>
              </w:rPr>
              <w:t xml:space="preserve">Model</w:t>
            </w:r>
          </w:p>
        </w:tc>
        <w:tc>
          <w:tcPr>
            <w:tcW w:w="1527" w:type="dxa"/>
          </w:tcPr>
          <w:tcPr/>
          <w:p>
            <w:pPr>
              <w:pStyle w:val="Compact"/>
              <w:jc w:val="center"/>
            </w:pPr>
            <w:r>
              <w:rPr>
                <w:sz w:val="18"/>
                <w:szCs w:val="18"/>
              </w:rPr>
              <w:t xml:space="preserve">Accuracy (%)</w:t>
            </w:r>
          </w:p>
        </w:tc>
        <w:tc>
          <w:tcPr>
            <w:tcW w:w="1527" w:type="dxa"/>
          </w:tcPr>
          <w:tcPr/>
          <w:p>
            <w:pPr>
              <w:pStyle w:val="Compact"/>
              <w:jc w:val="center"/>
            </w:pPr>
            <w:r>
              <w:rPr>
                <w:sz w:val="18"/>
                <w:szCs w:val="18"/>
              </w:rPr>
              <w:t xml:space="preserve">Macro-F1 (%)</w:t>
            </w:r>
          </w:p>
        </w:tc>
        <w:tc>
          <w:tcPr>
            <w:tcW w:w="1110" w:type="dxa"/>
          </w:tcPr>
          <w:tcPr/>
          <w:p>
            <w:pPr>
              <w:pStyle w:val="Compact"/>
              <w:jc w:val="center"/>
            </w:pPr>
            <w:r>
              <w:rPr>
                <w:sz w:val="18"/>
                <w:szCs w:val="18"/>
              </w:rPr>
              <w:t xml:space="preserve">ECE</w:t>
            </w:r>
          </w:p>
        </w:tc>
        <w:tc>
          <w:tcPr>
            <w:tcW w:w="2641" w:type="dxa"/>
          </w:tcPr>
          <w:tcPr/>
          <w:p>
            <w:pPr>
              <w:pStyle w:val="Compact"/>
              <w:jc w:val="center"/>
            </w:pPr>
            <w:r>
              <w:rPr>
                <w:sz w:val="18"/>
                <w:szCs w:val="18"/>
              </w:rPr>
              <w:t xml:space="preserve">McNemar</w:t>
            </w:r>
            <w:r>
              <w:rPr>
                <w:sz w:val="18"/>
                <w:szCs w:val="18"/>
              </w:rPr>
              <w:t xml:space="preserve"> </w:t>
            </w:r>
            <m:oMath>
              <m:r>
                <w:rPr>
                  <w:sz w:val="18"/>
                  <w:szCs w:val="18"/>
                </w:rPr>
                <m:t>p</m:t>
              </m:r>
            </m:oMath>
            <w:r>
              <w:rPr>
                <w:sz w:val="18"/>
                <w:szCs w:val="18"/>
              </w:rPr>
              <w:t xml:space="preserve"> </w:t>
            </w:r>
            <w:r>
              <w:rPr>
                <w:sz w:val="18"/>
                <w:szCs w:val="18"/>
              </w:rPr>
              <w:t xml:space="preserve">vs. full</w:t>
            </w:r>
          </w:p>
        </w:tc>
      </w:tr>
      <w:tr>
        <w:tc>
          <w:tcPr>
            <w:tcW w:w="2221" w:type="dxa"/>
          </w:tcPr>
          <w:tcPr/>
          <w:p>
            <w:pPr>
              <w:pStyle w:val="Compact"/>
              <w:jc w:val="left"/>
            </w:pPr>
            <w:r>
              <w:rPr>
                <w:sz w:val="18"/>
                <w:szCs w:val="18"/>
              </w:rPr>
              <w:t xml:space="preserve">Baseline: image stream only</w:t>
            </w:r>
          </w:p>
        </w:tc>
        <w:tc>
          <w:tcPr>
            <w:tcW w:w="1527" w:type="dxa"/>
          </w:tcPr>
          <w:tcPr/>
          <w:p>
            <w:pPr>
              <w:pStyle w:val="Compact"/>
              <w:jc w:val="center"/>
            </w:pPr>
            <w:r>
              <w:rPr>
                <w:sz w:val="18"/>
                <w:szCs w:val="18"/>
              </w:rPr>
              <w:t xml:space="preserve">96.58 ± 1.44 (96.55)</w:t>
            </w:r>
          </w:p>
        </w:tc>
        <w:tc>
          <w:tcPr>
            <w:tcW w:w="1527" w:type="dxa"/>
          </w:tcPr>
          <w:tcPr/>
          <w:p>
            <w:pPr>
              <w:pStyle w:val="Compact"/>
              <w:jc w:val="center"/>
            </w:pPr>
            <w:r>
              <w:rPr>
                <w:sz w:val="18"/>
                <w:szCs w:val="18"/>
              </w:rPr>
              <w:t xml:space="preserve">96.45 ± 1.51</w:t>
            </w:r>
          </w:p>
        </w:tc>
        <w:tc>
          <w:tcPr>
            <w:tcW w:w="1110" w:type="dxa"/>
          </w:tcPr>
          <w:tcPr/>
          <w:p>
            <w:pPr>
              <w:pStyle w:val="Compact"/>
              <w:jc w:val="center"/>
            </w:pPr>
            <w:r>
              <w:rPr>
                <w:sz w:val="18"/>
                <w:szCs w:val="18"/>
              </w:rPr>
              <w:t xml:space="preserve">0.015 ± 0.006</w:t>
            </w:r>
          </w:p>
        </w:tc>
        <w:tc>
          <w:tcPr>
            <w:tcW w:w="2641" w:type="dxa"/>
          </w:tcPr>
          <w:tcPr/>
          <w:p>
            <w:pPr>
              <w:pStyle w:val="Compact"/>
              <w:jc w:val="center"/>
            </w:pPr>
            <w:r>
              <w:rPr>
                <w:sz w:val="18"/>
                <w:szCs w:val="18"/>
              </w:rPr>
              <w:t xml:space="preserve">0.72</w:t>
            </w:r>
          </w:p>
        </w:tc>
      </w:tr>
      <w:tr>
        <w:tc>
          <w:tcPr>
            <w:tcW w:w="2221" w:type="dxa"/>
          </w:tcPr>
          <w:tcPr/>
          <w:p>
            <w:pPr>
              <w:pStyle w:val="Compact"/>
              <w:jc w:val="left"/>
            </w:pPr>
            <w:r>
              <w:rPr>
                <w:sz w:val="18"/>
                <w:szCs w:val="18"/>
              </w:rPr>
              <w:t xml:space="preserve">Variant A: graph stream only</w:t>
            </w:r>
          </w:p>
        </w:tc>
        <w:tc>
          <w:tcPr>
            <w:tcW w:w="1527" w:type="dxa"/>
          </w:tcPr>
          <w:tcPr/>
          <w:p>
            <w:pPr>
              <w:pStyle w:val="Compact"/>
              <w:jc w:val="center"/>
            </w:pPr>
            <w:r>
              <w:rPr>
                <w:sz w:val="18"/>
                <w:szCs w:val="18"/>
              </w:rPr>
              <w:t xml:space="preserve">87.48 ± 1.73 (87.43)</w:t>
            </w:r>
          </w:p>
        </w:tc>
        <w:tc>
          <w:tcPr>
            <w:tcW w:w="1527" w:type="dxa"/>
          </w:tcPr>
          <w:tcPr/>
          <w:p>
            <w:pPr>
              <w:pStyle w:val="Compact"/>
              <w:jc w:val="center"/>
            </w:pPr>
            <w:r>
              <w:rPr>
                <w:sz w:val="18"/>
                <w:szCs w:val="18"/>
              </w:rPr>
              <w:t xml:space="preserve">87.13 ± 1.79</w:t>
            </w:r>
          </w:p>
        </w:tc>
        <w:tc>
          <w:tcPr>
            <w:tcW w:w="1110" w:type="dxa"/>
          </w:tcPr>
          <w:tcPr/>
          <w:p>
            <w:pPr>
              <w:pStyle w:val="Compact"/>
              <w:jc w:val="center"/>
            </w:pPr>
            <w:r>
              <w:rPr>
                <w:sz w:val="18"/>
                <w:szCs w:val="18"/>
              </w:rPr>
              <w:t xml:space="preserve">0.030 ± 0.009</w:t>
            </w:r>
          </w:p>
        </w:tc>
        <w:tc>
          <w:tcPr>
            <w:tcW w:w="2641" w:type="dxa"/>
          </w:tcPr>
          <w:tcPr/>
          <w:p>
            <w:pPr>
              <w:pStyle w:val="Compact"/>
              <w:jc w:val="center"/>
            </w:pPr>
            <w:r>
              <w:rPr>
                <w:sz w:val="18"/>
                <w:szCs w:val="18"/>
              </w:rPr>
              <w:t xml:space="preserve">&lt; 10</w:t>
            </w:r>
            <w:r>
              <w:rPr>
                <w:sz w:val="18"/>
                <w:szCs w:val="18"/>
                <w:vertAlign w:val="superscript"/>
              </w:rPr>
              <w:t xml:space="preserve">−200</w:t>
            </w:r>
          </w:p>
        </w:tc>
      </w:tr>
      <w:tr>
        <w:tc>
          <w:tcPr>
            <w:tcW w:w="2221" w:type="dxa"/>
          </w:tcPr>
          <w:tcPr/>
          <w:p>
            <w:pPr>
              <w:pStyle w:val="Compact"/>
              <w:jc w:val="left"/>
            </w:pPr>
            <w:r>
              <w:rPr>
                <w:sz w:val="18"/>
                <w:szCs w:val="18"/>
              </w:rPr>
              <w:t xml:space="preserve">Variant B: concatenation</w:t>
            </w:r>
          </w:p>
        </w:tc>
        <w:tc>
          <w:tcPr>
            <w:tcW w:w="1527" w:type="dxa"/>
          </w:tcPr>
          <w:tcPr/>
          <w:p>
            <w:pPr>
              <w:pStyle w:val="Compact"/>
              <w:jc w:val="center"/>
            </w:pPr>
            <w:r>
              <w:rPr>
                <w:sz w:val="18"/>
                <w:szCs w:val="18"/>
              </w:rPr>
              <w:t xml:space="preserve">96.25 ± 1.74 (96.21)</w:t>
            </w:r>
          </w:p>
        </w:tc>
        <w:tc>
          <w:tcPr>
            <w:tcW w:w="1527" w:type="dxa"/>
          </w:tcPr>
          <w:tcPr/>
          <w:p>
            <w:pPr>
              <w:pStyle w:val="Compact"/>
              <w:jc w:val="center"/>
            </w:pPr>
            <w:r>
              <w:rPr>
                <w:sz w:val="18"/>
                <w:szCs w:val="18"/>
              </w:rPr>
              <w:t xml:space="preserve">96.14 ± 1.85</w:t>
            </w:r>
          </w:p>
        </w:tc>
        <w:tc>
          <w:tcPr>
            <w:tcW w:w="1110" w:type="dxa"/>
          </w:tcPr>
          <w:tcPr/>
          <w:p>
            <w:pPr>
              <w:pStyle w:val="Compact"/>
              <w:jc w:val="center"/>
            </w:pPr>
            <w:r>
              <w:rPr>
                <w:sz w:val="18"/>
                <w:szCs w:val="18"/>
              </w:rPr>
              <w:t xml:space="preserve">0.019 ± 0.004</w:t>
            </w:r>
          </w:p>
        </w:tc>
        <w:tc>
          <w:tcPr>
            <w:tcW w:w="2641" w:type="dxa"/>
          </w:tcPr>
          <w:tcPr/>
          <w:p>
            <w:pPr>
              <w:pStyle w:val="Compact"/>
              <w:jc w:val="center"/>
            </w:pPr>
            <w:r>
              <w:rPr>
                <w:sz w:val="18"/>
                <w:szCs w:val="18"/>
              </w:rPr>
              <w:t xml:space="preserve">0.049</w:t>
            </w:r>
          </w:p>
        </w:tc>
      </w:tr>
      <w:tr>
        <w:tc>
          <w:tcPr>
            <w:tcW w:w="2221" w:type="dxa"/>
          </w:tcPr>
          <w:tcPr/>
          <w:p>
            <w:pPr>
              <w:pStyle w:val="Compact"/>
              <w:jc w:val="left"/>
            </w:pPr>
            <w:r>
              <w:rPr>
                <w:sz w:val="18"/>
                <w:szCs w:val="18"/>
              </w:rPr>
              <w:t xml:space="preserve">Proposed: complete framework</w:t>
            </w:r>
          </w:p>
        </w:tc>
        <w:tc>
          <w:tcPr>
            <w:tcW w:w="1527" w:type="dxa"/>
          </w:tcPr>
          <w:tcPr/>
          <w:p>
            <w:pPr>
              <w:pStyle w:val="Compact"/>
              <w:jc w:val="center"/>
            </w:pPr>
            <w:r>
              <w:rPr>
                <w:sz w:val="18"/>
                <w:szCs w:val="18"/>
              </w:rPr>
              <w:t xml:space="preserve">96.54 ± 1.71 (96.49)</w:t>
            </w:r>
          </w:p>
        </w:tc>
        <w:tc>
          <w:tcPr>
            <w:tcW w:w="1527" w:type="dxa"/>
          </w:tcPr>
          <w:tcPr/>
          <w:p>
            <w:pPr>
              <w:pStyle w:val="Compact"/>
              <w:jc w:val="center"/>
            </w:pPr>
            <w:r>
              <w:rPr>
                <w:sz w:val="18"/>
                <w:szCs w:val="18"/>
              </w:rPr>
              <w:t xml:space="preserve">96.36 ± 1.81</w:t>
            </w:r>
          </w:p>
        </w:tc>
        <w:tc>
          <w:tcPr>
            <w:tcW w:w="1110" w:type="dxa"/>
          </w:tcPr>
          <w:tcPr/>
          <w:p>
            <w:pPr>
              <w:pStyle w:val="Compact"/>
              <w:jc w:val="center"/>
            </w:pPr>
            <w:r>
              <w:rPr>
                <w:sz w:val="18"/>
                <w:szCs w:val="18"/>
              </w:rPr>
              <w:t xml:space="preserve">0.018 ± 0.006</w:t>
            </w:r>
          </w:p>
        </w:tc>
        <w:tc>
          <w:tcPr>
            <w:tcW w:w="2641" w:type="dxa"/>
          </w:tcPr>
          <w:tcPr/>
          <w:p>
            <w:pPr>
              <w:pStyle w:val="Compact"/>
              <w:jc w:val="center"/>
            </w:pPr>
            <w:r>
              <w:rPr>
                <w:sz w:val="18"/>
                <w:szCs w:val="18"/>
              </w:rPr>
              <w:t xml:space="preserve">–</w:t>
            </w:r>
          </w:p>
        </w:tc>
      </w:tr>
    </w:tbl>
    <w:p>
      <w:pPr>
        <w:pStyle w:val="CaptionedFigure"/>
      </w:pPr>
      <w:r>
        <w:drawing>
          <wp:inline>
            <wp:extent cx="5120640" cy="4681728"/>
            <wp:effectExtent b="0" l="0" r="0" t="0"/>
            <wp:docPr descr="" title="" id="69" name="Picture"/>
            <a:graphic>
              <a:graphicData uri="http://schemas.openxmlformats.org/drawingml/2006/picture">
                <pic:pic>
                  <pic:nvPicPr>
                    <pic:cNvPr descr="figures/fig_cm_models.png" id="70" name="Picture"/>
                    <pic:cNvPicPr>
                      <a:picLocks noChangeArrowheads="1" noChangeAspect="1"/>
                    </pic:cNvPicPr>
                  </pic:nvPicPr>
                  <pic:blipFill>
                    <a:blip r:embed="rId68"/>
                    <a:stretch>
                      <a:fillRect/>
                    </a:stretch>
                  </pic:blipFill>
                  <pic:spPr bwMode="auto">
                    <a:xfrm>
                      <a:off x="0" y="0"/>
                      <a:ext cx="5120640" cy="4681728"/>
                    </a:xfrm>
                    <a:prstGeom prst="rect">
                      <a:avLst/>
                    </a:prstGeom>
                    <a:noFill/>
                    <a:ln w="9525">
                      <a:noFill/>
                      <a:headEnd/>
                      <a:tailEnd/>
                    </a:ln>
                  </pic:spPr>
                </pic:pic>
              </a:graphicData>
            </a:graphic>
          </wp:inline>
        </w:drawing>
      </w:r>
    </w:p>
    <w:p>
      <w:pPr>
        <w:pStyle w:val="ImageCaption"/>
      </w:pPr>
      <w:r>
        <w:t xml:space="preserve">Fig. 7. Pooled out-of-fold confusion matrices of the four models on the duplicate-aware folds (</w:t>
      </w:r>
      <m:oMath>
        <m:r>
          <m:t>n</m:t>
        </m:r>
        <m:r>
          <m:rPr>
            <m:sty m:val="p"/>
          </m:rPr>
          <m:t>=</m:t>
        </m:r>
        <m:r>
          <m:t>12</m:t>
        </m:r>
        <m:r>
          <m:rPr>
            <m:sty m:val="p"/>
          </m:rPr>
          <m:t>,</m:t>
        </m:r>
        <m:r>
          <m:t>064</m:t>
        </m:r>
      </m:oMath>
      <w:r>
        <w:t xml:space="preserve"> </w:t>
      </w:r>
      <w:r>
        <w:t xml:space="preserve">each). Each cell gives the image count and the row percentage.</w:t>
      </w:r>
    </w:p>
    <w:p>
      <w:pPr>
        <w:pStyle w:val="CaptionedFigure"/>
      </w:pPr>
      <w:r>
        <w:drawing>
          <wp:inline>
            <wp:extent cx="5334000" cy="1926166"/>
            <wp:effectExtent b="0" l="0" r="0" t="0"/>
            <wp:docPr descr="" title="" id="72" name="Picture"/>
            <a:graphic>
              <a:graphicData uri="http://schemas.openxmlformats.org/drawingml/2006/picture">
                <pic:pic>
                  <pic:nvPicPr>
                    <pic:cNvPr descr="figures/fig_cv_folds.png" id="73" name="Picture"/>
                    <pic:cNvPicPr>
                      <a:picLocks noChangeArrowheads="1" noChangeAspect="1"/>
                    </pic:cNvPicPr>
                  </pic:nvPicPr>
                  <pic:blipFill>
                    <a:blip r:embed="rId71"/>
                    <a:stretch>
                      <a:fillRect/>
                    </a:stretch>
                  </pic:blipFill>
                  <pic:spPr bwMode="auto">
                    <a:xfrm>
                      <a:off x="0" y="0"/>
                      <a:ext cx="5334000" cy="1926166"/>
                    </a:xfrm>
                    <a:prstGeom prst="rect">
                      <a:avLst/>
                    </a:prstGeom>
                    <a:noFill/>
                    <a:ln w="9525">
                      <a:noFill/>
                      <a:headEnd/>
                      <a:tailEnd/>
                    </a:ln>
                  </pic:spPr>
                </pic:pic>
              </a:graphicData>
            </a:graphic>
          </wp:inline>
        </w:drawing>
      </w:r>
    </w:p>
    <w:p>
      <w:pPr>
        <w:pStyle w:val="ImageCaption"/>
      </w:pPr>
      <w:r>
        <w:t xml:space="preserve">Fig. 8. Five-fold cross-validation results per fold for the four models; from left to right: accuracy, macro-F1 and expected calibration error. All models use the same duplicate-aware folds.</w:t>
      </w:r>
    </w:p>
    <w:bookmarkEnd w:id="74"/>
    <w:bookmarkEnd w:id="75"/>
    <w:bookmarkStart w:id="84" w:name="vii.-discussion"/>
    <w:p>
      <w:pPr>
        <w:pStyle w:val="Heading1"/>
      </w:pPr>
      <w:r>
        <w:t xml:space="preserve">VII. Discussion</w:t>
      </w:r>
    </w:p>
    <w:bookmarkStart w:id="76" w:name="Xabe34e4af4c338fadbc3b3b471041ce57ccd365"/>
    <w:p>
      <w:pPr>
        <w:pStyle w:val="Heading2"/>
      </w:pPr>
      <w:r>
        <w:t xml:space="preserve">A. How Much Does Duplicate Leakage Inflate Accuracy?</w:t>
      </w:r>
    </w:p>
    <w:p>
      <w:pPr>
        <w:pStyle w:val="FirstParagraph"/>
      </w:pPr>
      <w:r>
        <w:t xml:space="preserve">The same architecture lost 2.6 percentage points of accuracy when near-duplicate groups were kept on one side of the split, and its error count rose fourfold (Table VIII). Under the image-level split, accuracy was</w:t>
      </w:r>
      <w:r>
        <w:t xml:space="preserve"> </w:t>
      </w:r>
      <m:oMath>
        <m:r>
          <m:t>99.15</m:t>
        </m:r>
        <m:r>
          <m:rPr>
            <m:sty m:val="p"/>
          </m:rPr>
          <m:t>±</m:t>
        </m:r>
        <m:r>
          <m:t>0.39</m:t>
        </m:r>
        <m:r>
          <m:rPr>
            <m:sty m:val="p"/>
          </m:rPr>
          <m:t>%</m:t>
        </m:r>
      </m:oMath>
      <w:r>
        <w:t xml:space="preserve"> </w:t>
      </w:r>
      <w:r>
        <w:t xml:space="preserve">with 103 errors; under the duplicate-aware split it was</w:t>
      </w:r>
      <w:r>
        <w:t xml:space="preserve"> </w:t>
      </w:r>
      <m:oMath>
        <m:r>
          <m:t>96.54</m:t>
        </m:r>
        <m:r>
          <m:rPr>
            <m:sty m:val="p"/>
          </m:rPr>
          <m:t>±</m:t>
        </m:r>
        <m:r>
          <m:t>1.71</m:t>
        </m:r>
        <m:r>
          <m:rPr>
            <m:sty m:val="p"/>
          </m:rPr>
          <m:t>%</m:t>
        </m:r>
      </m:oMath>
      <w:r>
        <w:t xml:space="preserve"> </w:t>
      </w:r>
      <w:r>
        <w:t xml:space="preserve">with 423 errors. Sensitivity fell for every class, most for no tumour (99.55% to 95.02%).</w:t>
      </w:r>
    </w:p>
    <w:p>
      <w:pPr>
        <w:pStyle w:val="TableCaption"/>
      </w:pPr>
      <w:r>
        <w:t xml:space="preserve">TABLE VIII. The Same Architecture Under an Image-Level and a Duplicate-Aware Five-Fold Split</w:t>
      </w:r>
    </w:p>
    <w:tbl>
      <w:tblPr>
        <w:tblStyle w:val="Table"/>
        <w:tblW w:type="dxa" w:w="9026"/>
        <w:tblLook w:firstRow="1" w:lastRow="0" w:firstColumn="0" w:lastColumn="0" w:noHBand="0" w:noVBand="0" w:val="0020"/>
        <w:jc w:val="start"/>
        <w:tblCaption w:val="TABLE VIII. The Same Architecture Under an Image-Level and a Duplicate-Aware Five-Fold Split"/>
      </w:tblPr>
      <w:tblGrid>
        <w:gridCol w:w="3868"/>
        <w:gridCol w:w="2256"/>
        <w:gridCol w:w="2902"/>
      </w:tblGrid>
      <w:tr>
        <w:trPr>
          <w:tblHeader w:val="true"/>
        </w:trPr>
        <w:tc>
          <w:tcPr>
            <w:tcW w:w="3868" w:type="dxa"/>
          </w:tcPr>
          <w:tcPr/>
          <w:p>
            <w:pPr>
              <w:pStyle w:val="Compact"/>
              <w:jc w:val="left"/>
            </w:pPr>
            <w:r>
              <w:rPr>
                <w:sz w:val="18"/>
                <w:szCs w:val="18"/>
              </w:rPr>
              <w:t xml:space="preserve">Metric</w:t>
            </w:r>
          </w:p>
        </w:tc>
        <w:tc>
          <w:tcPr>
            <w:tcW w:w="2256" w:type="dxa"/>
          </w:tcPr>
          <w:tcPr/>
          <w:p>
            <w:pPr>
              <w:pStyle w:val="Compact"/>
              <w:jc w:val="center"/>
            </w:pPr>
            <w:r>
              <w:rPr>
                <w:sz w:val="18"/>
                <w:szCs w:val="18"/>
              </w:rPr>
              <w:t xml:space="preserve">Image-level split</w:t>
            </w:r>
          </w:p>
        </w:tc>
        <w:tc>
          <w:tcPr>
            <w:tcW w:w="2902" w:type="dxa"/>
          </w:tcPr>
          <w:tcPr/>
          <w:p>
            <w:pPr>
              <w:pStyle w:val="Compact"/>
              <w:jc w:val="center"/>
            </w:pPr>
            <w:r>
              <w:rPr>
                <w:sz w:val="18"/>
                <w:szCs w:val="18"/>
              </w:rPr>
              <w:t xml:space="preserve">Duplicate-aware split</w:t>
            </w:r>
          </w:p>
        </w:tc>
      </w:tr>
      <w:tr>
        <w:tc>
          <w:tcPr>
            <w:tcW w:w="3868" w:type="dxa"/>
          </w:tcPr>
          <w:tcPr/>
          <w:p>
            <w:pPr>
              <w:pStyle w:val="Compact"/>
              <w:jc w:val="left"/>
            </w:pPr>
            <w:r>
              <w:rPr>
                <w:sz w:val="18"/>
                <w:szCs w:val="18"/>
              </w:rPr>
              <w:t xml:space="preserve">Accuracy, mean</w:t>
            </w:r>
            <w:r>
              <w:rPr>
                <w:sz w:val="18"/>
                <w:szCs w:val="18"/>
              </w:rPr>
              <w:t xml:space="preserve"> </w:t>
            </w:r>
            <m:oMath>
              <m:r>
                <m:rPr>
                  <m:sty m:val="p"/>
                </m:rPr>
                <w:rPr>
                  <w:sz w:val="18"/>
                  <w:szCs w:val="18"/>
                </w:rPr>
                <m:t>±</m:t>
              </m:r>
            </m:oMath>
            <w:r>
              <w:rPr>
                <w:sz w:val="18"/>
                <w:szCs w:val="18"/>
              </w:rPr>
              <w:t xml:space="preserve"> </w:t>
            </w:r>
            <w:r>
              <w:rPr>
                <w:sz w:val="18"/>
                <w:szCs w:val="18"/>
              </w:rPr>
              <w:t xml:space="preserve">SD (%)</w:t>
            </w:r>
          </w:p>
        </w:tc>
        <w:tc>
          <w:tcPr>
            <w:tcW w:w="2256" w:type="dxa"/>
          </w:tcPr>
          <w:tcPr/>
          <w:p>
            <w:pPr>
              <w:pStyle w:val="Compact"/>
              <w:jc w:val="center"/>
            </w:pPr>
            <w:r>
              <w:rPr>
                <w:sz w:val="18"/>
                <w:szCs w:val="18"/>
              </w:rPr>
              <w:t xml:space="preserve">99.15 ± 0.39</w:t>
            </w:r>
          </w:p>
        </w:tc>
        <w:tc>
          <w:tcPr>
            <w:tcW w:w="2902" w:type="dxa"/>
          </w:tcPr>
          <w:tcPr/>
          <w:p>
            <w:pPr>
              <w:pStyle w:val="Compact"/>
              <w:jc w:val="center"/>
            </w:pPr>
            <w:r>
              <w:rPr>
                <w:sz w:val="18"/>
                <w:szCs w:val="18"/>
              </w:rPr>
              <w:t xml:space="preserve">96.54 ± 1.71</w:t>
            </w:r>
          </w:p>
        </w:tc>
      </w:tr>
      <w:tr>
        <w:tc>
          <w:tcPr>
            <w:tcW w:w="3868" w:type="dxa"/>
          </w:tcPr>
          <w:tcPr/>
          <w:p>
            <w:pPr>
              <w:pStyle w:val="Compact"/>
              <w:jc w:val="left"/>
            </w:pPr>
            <w:r>
              <w:rPr>
                <w:sz w:val="18"/>
                <w:szCs w:val="18"/>
              </w:rPr>
              <w:t xml:space="preserve">Pooled accuracy (%)</w:t>
            </w:r>
          </w:p>
        </w:tc>
        <w:tc>
          <w:tcPr>
            <w:tcW w:w="2256" w:type="dxa"/>
          </w:tcPr>
          <w:tcPr/>
          <w:p>
            <w:pPr>
              <w:pStyle w:val="Compact"/>
              <w:jc w:val="center"/>
            </w:pPr>
            <w:r>
              <w:rPr>
                <w:sz w:val="18"/>
                <w:szCs w:val="18"/>
              </w:rPr>
              <w:t xml:space="preserve">99.15</w:t>
            </w:r>
          </w:p>
        </w:tc>
        <w:tc>
          <w:tcPr>
            <w:tcW w:w="2902" w:type="dxa"/>
          </w:tcPr>
          <w:tcPr/>
          <w:p>
            <w:pPr>
              <w:pStyle w:val="Compact"/>
              <w:jc w:val="center"/>
            </w:pPr>
            <w:r>
              <w:rPr>
                <w:sz w:val="18"/>
                <w:szCs w:val="18"/>
              </w:rPr>
              <w:t xml:space="preserve">96.49</w:t>
            </w:r>
          </w:p>
        </w:tc>
      </w:tr>
      <w:tr>
        <w:tc>
          <w:tcPr>
            <w:tcW w:w="3868" w:type="dxa"/>
          </w:tcPr>
          <w:tcPr/>
          <w:p>
            <w:pPr>
              <w:pStyle w:val="Compact"/>
              <w:jc w:val="left"/>
            </w:pPr>
            <w:r>
              <w:rPr>
                <w:sz w:val="18"/>
                <w:szCs w:val="18"/>
              </w:rPr>
              <w:t xml:space="preserve">Macro-F1, mean</w:t>
            </w:r>
            <w:r>
              <w:rPr>
                <w:sz w:val="18"/>
                <w:szCs w:val="18"/>
              </w:rPr>
              <w:t xml:space="preserve"> </w:t>
            </w:r>
            <m:oMath>
              <m:r>
                <m:rPr>
                  <m:sty m:val="p"/>
                </m:rPr>
                <w:rPr>
                  <w:sz w:val="18"/>
                  <w:szCs w:val="18"/>
                </w:rPr>
                <m:t>±</m:t>
              </m:r>
            </m:oMath>
            <w:r>
              <w:rPr>
                <w:sz w:val="18"/>
                <w:szCs w:val="18"/>
              </w:rPr>
              <w:t xml:space="preserve"> </w:t>
            </w:r>
            <w:r>
              <w:rPr>
                <w:sz w:val="18"/>
                <w:szCs w:val="18"/>
              </w:rPr>
              <w:t xml:space="preserve">SD (%)</w:t>
            </w:r>
          </w:p>
        </w:tc>
        <w:tc>
          <w:tcPr>
            <w:tcW w:w="2256" w:type="dxa"/>
          </w:tcPr>
          <w:tcPr/>
          <w:p>
            <w:pPr>
              <w:pStyle w:val="Compact"/>
              <w:jc w:val="center"/>
            </w:pPr>
            <w:r>
              <w:rPr>
                <w:sz w:val="18"/>
                <w:szCs w:val="18"/>
              </w:rPr>
              <w:t xml:space="preserve">99.15 ± 0.40</w:t>
            </w:r>
          </w:p>
        </w:tc>
        <w:tc>
          <w:tcPr>
            <w:tcW w:w="2902" w:type="dxa"/>
          </w:tcPr>
          <w:tcPr/>
          <w:p>
            <w:pPr>
              <w:pStyle w:val="Compact"/>
              <w:jc w:val="center"/>
            </w:pPr>
            <w:r>
              <w:rPr>
                <w:sz w:val="18"/>
                <w:szCs w:val="18"/>
              </w:rPr>
              <w:t xml:space="preserve">96.36 ± 1.81</w:t>
            </w:r>
          </w:p>
        </w:tc>
      </w:tr>
      <w:tr>
        <w:tc>
          <w:tcPr>
            <w:tcW w:w="3868" w:type="dxa"/>
          </w:tcPr>
          <w:tcPr/>
          <w:p>
            <w:pPr>
              <w:pStyle w:val="Compact"/>
              <w:jc w:val="left"/>
            </w:pPr>
            <w:r>
              <w:rPr>
                <w:sz w:val="18"/>
                <w:szCs w:val="18"/>
              </w:rPr>
              <w:t xml:space="preserve">ECE, mean</w:t>
            </w:r>
            <w:r>
              <w:rPr>
                <w:sz w:val="18"/>
                <w:szCs w:val="18"/>
              </w:rPr>
              <w:t xml:space="preserve"> </w:t>
            </w:r>
            <m:oMath>
              <m:r>
                <m:rPr>
                  <m:sty m:val="p"/>
                </m:rPr>
                <w:rPr>
                  <w:sz w:val="18"/>
                  <w:szCs w:val="18"/>
                </w:rPr>
                <m:t>±</m:t>
              </m:r>
            </m:oMath>
            <w:r>
              <w:rPr>
                <w:sz w:val="18"/>
                <w:szCs w:val="18"/>
              </w:rPr>
              <w:t xml:space="preserve"> </w:t>
            </w:r>
            <w:r>
              <w:rPr>
                <w:sz w:val="18"/>
                <w:szCs w:val="18"/>
              </w:rPr>
              <w:t xml:space="preserve">SD</w:t>
            </w:r>
          </w:p>
        </w:tc>
        <w:tc>
          <w:tcPr>
            <w:tcW w:w="2256" w:type="dxa"/>
          </w:tcPr>
          <w:tcPr/>
          <w:p>
            <w:pPr>
              <w:pStyle w:val="Compact"/>
              <w:jc w:val="center"/>
            </w:pPr>
            <w:r>
              <w:rPr>
                <w:sz w:val="18"/>
                <w:szCs w:val="18"/>
              </w:rPr>
              <w:t xml:space="preserve">0.021 ± 0.003</w:t>
            </w:r>
          </w:p>
        </w:tc>
        <w:tc>
          <w:tcPr>
            <w:tcW w:w="2902" w:type="dxa"/>
          </w:tcPr>
          <w:tcPr/>
          <w:p>
            <w:pPr>
              <w:pStyle w:val="Compact"/>
              <w:jc w:val="center"/>
            </w:pPr>
            <w:r>
              <w:rPr>
                <w:sz w:val="18"/>
                <w:szCs w:val="18"/>
              </w:rPr>
              <w:t xml:space="preserve">0.018 ± 0.006</w:t>
            </w:r>
          </w:p>
        </w:tc>
      </w:tr>
      <w:tr>
        <w:tc>
          <w:tcPr>
            <w:tcW w:w="3868" w:type="dxa"/>
          </w:tcPr>
          <w:tcPr/>
          <w:p>
            <w:pPr>
              <w:pStyle w:val="Compact"/>
              <w:jc w:val="left"/>
            </w:pPr>
            <w:r>
              <w:rPr>
                <w:sz w:val="18"/>
                <w:szCs w:val="18"/>
              </w:rPr>
              <w:t xml:space="preserve">Errors (of 12,064)</w:t>
            </w:r>
          </w:p>
        </w:tc>
        <w:tc>
          <w:tcPr>
            <w:tcW w:w="2256" w:type="dxa"/>
          </w:tcPr>
          <w:tcPr/>
          <w:p>
            <w:pPr>
              <w:pStyle w:val="Compact"/>
              <w:jc w:val="center"/>
            </w:pPr>
            <w:r>
              <w:rPr>
                <w:sz w:val="18"/>
                <w:szCs w:val="18"/>
              </w:rPr>
              <w:t xml:space="preserve">103</w:t>
            </w:r>
          </w:p>
        </w:tc>
        <w:tc>
          <w:tcPr>
            <w:tcW w:w="2902" w:type="dxa"/>
          </w:tcPr>
          <w:tcPr/>
          <w:p>
            <w:pPr>
              <w:pStyle w:val="Compact"/>
              <w:jc w:val="center"/>
            </w:pPr>
            <w:r>
              <w:rPr>
                <w:sz w:val="18"/>
                <w:szCs w:val="18"/>
              </w:rPr>
              <w:t xml:space="preserve">423</w:t>
            </w:r>
          </w:p>
        </w:tc>
      </w:tr>
      <w:tr>
        <w:tc>
          <w:tcPr>
            <w:tcW w:w="3868" w:type="dxa"/>
          </w:tcPr>
          <w:tcPr/>
          <w:p>
            <w:pPr>
              <w:pStyle w:val="Compact"/>
              <w:jc w:val="left"/>
            </w:pPr>
            <w:r>
              <w:rPr>
                <w:sz w:val="18"/>
                <w:szCs w:val="18"/>
              </w:rPr>
              <w:t xml:space="preserve">Sensitivity, glioma (%)</w:t>
            </w:r>
          </w:p>
        </w:tc>
        <w:tc>
          <w:tcPr>
            <w:tcW w:w="2256" w:type="dxa"/>
          </w:tcPr>
          <w:tcPr/>
          <w:p>
            <w:pPr>
              <w:pStyle w:val="Compact"/>
              <w:jc w:val="center"/>
            </w:pPr>
            <w:r>
              <w:rPr>
                <w:sz w:val="18"/>
                <w:szCs w:val="18"/>
              </w:rPr>
              <w:t xml:space="preserve">98.97</w:t>
            </w:r>
          </w:p>
        </w:tc>
        <w:tc>
          <w:tcPr>
            <w:tcW w:w="2902" w:type="dxa"/>
          </w:tcPr>
          <w:tcPr/>
          <w:p>
            <w:pPr>
              <w:pStyle w:val="Compact"/>
              <w:jc w:val="center"/>
            </w:pPr>
            <w:r>
              <w:rPr>
                <w:sz w:val="18"/>
                <w:szCs w:val="18"/>
              </w:rPr>
              <w:t xml:space="preserve">96.58</w:t>
            </w:r>
          </w:p>
        </w:tc>
      </w:tr>
      <w:tr>
        <w:tc>
          <w:tcPr>
            <w:tcW w:w="3868" w:type="dxa"/>
          </w:tcPr>
          <w:tcPr/>
          <w:p>
            <w:pPr>
              <w:pStyle w:val="Compact"/>
              <w:jc w:val="left"/>
            </w:pPr>
            <w:r>
              <w:rPr>
                <w:sz w:val="18"/>
                <w:szCs w:val="18"/>
              </w:rPr>
              <w:t xml:space="preserve">Sensitivity, meningioma (%)</w:t>
            </w:r>
          </w:p>
        </w:tc>
        <w:tc>
          <w:tcPr>
            <w:tcW w:w="2256" w:type="dxa"/>
          </w:tcPr>
          <w:tcPr/>
          <w:p>
            <w:pPr>
              <w:pStyle w:val="Compact"/>
              <w:jc w:val="center"/>
            </w:pPr>
            <w:r>
              <w:rPr>
                <w:sz w:val="18"/>
                <w:szCs w:val="18"/>
              </w:rPr>
              <w:t xml:space="preserve">98.53</w:t>
            </w:r>
          </w:p>
        </w:tc>
        <w:tc>
          <w:tcPr>
            <w:tcW w:w="2902" w:type="dxa"/>
          </w:tcPr>
          <w:tcPr/>
          <w:p>
            <w:pPr>
              <w:pStyle w:val="Compact"/>
              <w:jc w:val="center"/>
            </w:pPr>
            <w:r>
              <w:rPr>
                <w:sz w:val="18"/>
                <w:szCs w:val="18"/>
              </w:rPr>
              <w:t xml:space="preserve">97.40</w:t>
            </w:r>
          </w:p>
        </w:tc>
      </w:tr>
      <w:tr>
        <w:tc>
          <w:tcPr>
            <w:tcW w:w="3868" w:type="dxa"/>
          </w:tcPr>
          <w:tcPr/>
          <w:p>
            <w:pPr>
              <w:pStyle w:val="Compact"/>
              <w:jc w:val="left"/>
            </w:pPr>
            <w:r>
              <w:rPr>
                <w:sz w:val="18"/>
                <w:szCs w:val="18"/>
              </w:rPr>
              <w:t xml:space="preserve">Sensitivity, no tumour (%)</w:t>
            </w:r>
          </w:p>
        </w:tc>
        <w:tc>
          <w:tcPr>
            <w:tcW w:w="2256" w:type="dxa"/>
          </w:tcPr>
          <w:tcPr/>
          <w:p>
            <w:pPr>
              <w:pStyle w:val="Compact"/>
              <w:jc w:val="center"/>
            </w:pPr>
            <w:r>
              <w:rPr>
                <w:sz w:val="18"/>
                <w:szCs w:val="18"/>
              </w:rPr>
              <w:t xml:space="preserve">99.55</w:t>
            </w:r>
          </w:p>
        </w:tc>
        <w:tc>
          <w:tcPr>
            <w:tcW w:w="2902" w:type="dxa"/>
          </w:tcPr>
          <w:tcPr/>
          <w:p>
            <w:pPr>
              <w:pStyle w:val="Compact"/>
              <w:jc w:val="center"/>
            </w:pPr>
            <w:r>
              <w:rPr>
                <w:sz w:val="18"/>
                <w:szCs w:val="18"/>
              </w:rPr>
              <w:t xml:space="preserve">95.02</w:t>
            </w:r>
          </w:p>
        </w:tc>
      </w:tr>
      <w:tr>
        <w:tc>
          <w:tcPr>
            <w:tcW w:w="3868" w:type="dxa"/>
          </w:tcPr>
          <w:tcPr/>
          <w:p>
            <w:pPr>
              <w:pStyle w:val="Compact"/>
              <w:jc w:val="left"/>
            </w:pPr>
            <w:r>
              <w:rPr>
                <w:sz w:val="18"/>
                <w:szCs w:val="18"/>
              </w:rPr>
              <w:t xml:space="preserve">Sensitivity, pituitary (%)</w:t>
            </w:r>
          </w:p>
        </w:tc>
        <w:tc>
          <w:tcPr>
            <w:tcW w:w="2256" w:type="dxa"/>
          </w:tcPr>
          <w:tcPr/>
          <w:p>
            <w:pPr>
              <w:pStyle w:val="Compact"/>
              <w:jc w:val="center"/>
            </w:pPr>
            <w:r>
              <w:rPr>
                <w:sz w:val="18"/>
                <w:szCs w:val="18"/>
              </w:rPr>
              <w:t xml:space="preserve">99.58</w:t>
            </w:r>
          </w:p>
        </w:tc>
        <w:tc>
          <w:tcPr>
            <w:tcW w:w="2902" w:type="dxa"/>
          </w:tcPr>
          <w:tcPr/>
          <w:p>
            <w:pPr>
              <w:pStyle w:val="Compact"/>
              <w:jc w:val="center"/>
            </w:pPr>
            <w:r>
              <w:rPr>
                <w:sz w:val="18"/>
                <w:szCs w:val="18"/>
              </w:rPr>
              <w:t xml:space="preserve">96.74</w:t>
            </w:r>
          </w:p>
        </w:tc>
      </w:tr>
    </w:tbl>
    <w:p>
      <w:pPr>
        <w:pStyle w:val="BodyText"/>
      </w:pPr>
      <w:r>
        <w:t xml:space="preserve">The increase was largest where duplication is greatest (Table IX). The error rate of the augmented-copy family (</w:t>
      </w:r>
      <w:r>
        <w:rPr>
          <w:rStyle w:val="VerbatimChar"/>
        </w:rPr>
        <w:t xml:space="preserve">G/M/P/N_###</w:t>
      </w:r>
      <w:r>
        <w:t xml:space="preserve">), whose seven copies of each slice had almost always been split between training and test, rose sevenfold, from 0.85% to 5.89%. Error rates also rose in every other large family. This is consistent with the perceptual-hash grouping having removed near-duplicates across source collections, which file names do not reveal.</w:t>
      </w:r>
    </w:p>
    <w:p>
      <w:pPr>
        <w:pStyle w:val="TableCaption"/>
      </w:pPr>
      <w:r>
        <w:t xml:space="preserve">TABLE IX. Error Rate by File-Name Family Under the Two Splits (Pooled Out-of-Fold Predictions)</w:t>
      </w:r>
    </w:p>
    <w:tbl>
      <w:tblPr>
        <w:tblStyle w:val="Table"/>
        <w:tblW w:type="dxa" w:w="9026"/>
        <w:tblLook w:firstRow="1" w:lastRow="0" w:firstColumn="0" w:lastColumn="0" w:noHBand="0" w:noVBand="0" w:val="0020"/>
        <w:jc w:val="start"/>
        <w:tblCaption w:val="TABLE IX. Error Rate by File-Name Family Under the Two Splits (Pooled Out-of-Fold Predictions)"/>
      </w:tblPr>
      <w:tblGrid>
        <w:gridCol w:w="2297"/>
        <w:gridCol w:w="1476"/>
        <w:gridCol w:w="2297"/>
        <w:gridCol w:w="2956"/>
      </w:tblGrid>
      <w:tr>
        <w:trPr>
          <w:tblHeader w:val="true"/>
        </w:trPr>
        <w:tc>
          <w:tcPr>
            <w:tcW w:w="2297" w:type="dxa"/>
          </w:tcPr>
          <w:tcPr/>
          <w:p>
            <w:pPr>
              <w:pStyle w:val="Compact"/>
              <w:jc w:val="left"/>
            </w:pPr>
            <w:r>
              <w:rPr>
                <w:sz w:val="18"/>
                <w:szCs w:val="18"/>
              </w:rPr>
              <w:t xml:space="preserve">File-name family</w:t>
            </w:r>
          </w:p>
        </w:tc>
        <w:tc>
          <w:tcPr>
            <w:tcW w:w="1476" w:type="dxa"/>
          </w:tcPr>
          <w:tcPr/>
          <w:p>
            <w:pPr>
              <w:pStyle w:val="Compact"/>
              <w:jc w:val="right"/>
            </w:pPr>
            <w:r>
              <w:rPr>
                <w:sz w:val="18"/>
                <w:szCs w:val="18"/>
              </w:rPr>
              <w:t xml:space="preserve">Images</w:t>
            </w:r>
          </w:p>
        </w:tc>
        <w:tc>
          <w:tcPr>
            <w:tcW w:w="2297" w:type="dxa"/>
          </w:tcPr>
          <w:tcPr/>
          <w:p>
            <w:pPr>
              <w:pStyle w:val="Compact"/>
              <w:jc w:val="center"/>
            </w:pPr>
            <w:r>
              <w:rPr>
                <w:sz w:val="18"/>
                <w:szCs w:val="18"/>
              </w:rPr>
              <w:t xml:space="preserve">Image-level error (%)</w:t>
            </w:r>
          </w:p>
        </w:tc>
        <w:tc>
          <w:tcPr>
            <w:tcW w:w="2956" w:type="dxa"/>
          </w:tcPr>
          <w:tcPr/>
          <w:p>
            <w:pPr>
              <w:pStyle w:val="Compact"/>
              <w:jc w:val="center"/>
            </w:pPr>
            <w:r>
              <w:rPr>
                <w:sz w:val="18"/>
                <w:szCs w:val="18"/>
              </w:rPr>
              <w:t xml:space="preserve">Duplicate-aware error (%)</w:t>
            </w:r>
          </w:p>
        </w:tc>
      </w:tr>
      <w:tr>
        <w:tc>
          <w:tcPr>
            <w:tcW w:w="2297" w:type="dxa"/>
          </w:tcPr>
          <w:tcPr/>
          <w:p>
            <w:pPr>
              <w:pStyle w:val="Compact"/>
              <w:jc w:val="left"/>
            </w:pPr>
            <w:r>
              <w:rPr>
                <w:sz w:val="18"/>
                <w:szCs w:val="18"/>
                <w:rStyle w:val="VerbatimChar"/>
              </w:rPr>
              <w:t xml:space="preserve">image(n)</w:t>
            </w:r>
          </w:p>
        </w:tc>
        <w:tc>
          <w:tcPr>
            <w:tcW w:w="1476" w:type="dxa"/>
          </w:tcPr>
          <w:tcPr/>
          <w:p>
            <w:pPr>
              <w:pStyle w:val="Compact"/>
              <w:jc w:val="right"/>
            </w:pPr>
            <w:r>
              <w:rPr>
                <w:sz w:val="18"/>
                <w:szCs w:val="18"/>
              </w:rPr>
              <w:t xml:space="preserve">249</w:t>
            </w:r>
          </w:p>
        </w:tc>
        <w:tc>
          <w:tcPr>
            <w:tcW w:w="2297" w:type="dxa"/>
          </w:tcPr>
          <w:tcPr/>
          <w:p>
            <w:pPr>
              <w:pStyle w:val="Compact"/>
              <w:jc w:val="center"/>
            </w:pPr>
            <w:r>
              <w:rPr>
                <w:sz w:val="18"/>
                <w:szCs w:val="18"/>
              </w:rPr>
              <w:t xml:space="preserve">6.02</w:t>
            </w:r>
          </w:p>
        </w:tc>
        <w:tc>
          <w:tcPr>
            <w:tcW w:w="2956" w:type="dxa"/>
          </w:tcPr>
          <w:tcPr/>
          <w:p>
            <w:pPr>
              <w:pStyle w:val="Compact"/>
              <w:jc w:val="center"/>
            </w:pPr>
            <w:r>
              <w:rPr>
                <w:sz w:val="18"/>
                <w:szCs w:val="18"/>
              </w:rPr>
              <w:t xml:space="preserve">18.47</w:t>
            </w:r>
          </w:p>
        </w:tc>
      </w:tr>
      <w:tr>
        <w:tc>
          <w:tcPr>
            <w:tcW w:w="2297" w:type="dxa"/>
          </w:tcPr>
          <w:tcPr/>
          <w:p>
            <w:pPr>
              <w:pStyle w:val="Compact"/>
              <w:jc w:val="left"/>
            </w:pPr>
            <w:r>
              <w:rPr>
                <w:sz w:val="18"/>
                <w:szCs w:val="18"/>
                <w:rStyle w:val="VerbatimChar"/>
              </w:rPr>
              <w:t xml:space="preserve">G/M/P/N_###</w:t>
            </w:r>
            <w:r>
              <w:rPr>
                <w:sz w:val="18"/>
                <w:szCs w:val="18"/>
              </w:rPr>
              <w:t xml:space="preserve"> </w:t>
            </w:r>
            <w:r>
              <w:rPr>
                <w:sz w:val="18"/>
                <w:szCs w:val="18"/>
              </w:rPr>
              <w:t xml:space="preserve">(+ aug.)</w:t>
            </w:r>
          </w:p>
        </w:tc>
        <w:tc>
          <w:tcPr>
            <w:tcW w:w="1476" w:type="dxa"/>
          </w:tcPr>
          <w:tcPr/>
          <w:p>
            <w:pPr>
              <w:pStyle w:val="Compact"/>
              <w:jc w:val="right"/>
            </w:pPr>
            <w:r>
              <w:rPr>
                <w:sz w:val="18"/>
                <w:szCs w:val="18"/>
              </w:rPr>
              <w:t xml:space="preserve">4,246</w:t>
            </w:r>
          </w:p>
        </w:tc>
        <w:tc>
          <w:tcPr>
            <w:tcW w:w="2297" w:type="dxa"/>
          </w:tcPr>
          <w:tcPr/>
          <w:p>
            <w:pPr>
              <w:pStyle w:val="Compact"/>
              <w:jc w:val="center"/>
            </w:pPr>
            <w:r>
              <w:rPr>
                <w:sz w:val="18"/>
                <w:szCs w:val="18"/>
              </w:rPr>
              <w:t xml:space="preserve">0.85</w:t>
            </w:r>
          </w:p>
        </w:tc>
        <w:tc>
          <w:tcPr>
            <w:tcW w:w="2956" w:type="dxa"/>
          </w:tcPr>
          <w:tcPr/>
          <w:p>
            <w:pPr>
              <w:pStyle w:val="Compact"/>
              <w:jc w:val="center"/>
            </w:pPr>
            <w:r>
              <w:rPr>
                <w:sz w:val="18"/>
                <w:szCs w:val="18"/>
              </w:rPr>
              <w:t xml:space="preserve">5.89</w:t>
            </w:r>
          </w:p>
        </w:tc>
      </w:tr>
      <w:tr>
        <w:tc>
          <w:tcPr>
            <w:tcW w:w="2297" w:type="dxa"/>
          </w:tcPr>
          <w:tcPr/>
          <w:p>
            <w:pPr>
              <w:pStyle w:val="Compact"/>
              <w:jc w:val="left"/>
            </w:pPr>
            <w:r>
              <w:rPr>
                <w:sz w:val="18"/>
                <w:szCs w:val="18"/>
                <w:rStyle w:val="VerbatimChar"/>
              </w:rPr>
              <w:t xml:space="preserve">#.jpg</w:t>
            </w:r>
          </w:p>
        </w:tc>
        <w:tc>
          <w:tcPr>
            <w:tcW w:w="1476" w:type="dxa"/>
          </w:tcPr>
          <w:tcPr/>
          <w:p>
            <w:pPr>
              <w:pStyle w:val="Compact"/>
              <w:jc w:val="right"/>
            </w:pPr>
            <w:r>
              <w:rPr>
                <w:sz w:val="18"/>
                <w:szCs w:val="18"/>
              </w:rPr>
              <w:t xml:space="preserve">1,914</w:t>
            </w:r>
          </w:p>
        </w:tc>
        <w:tc>
          <w:tcPr>
            <w:tcW w:w="2297" w:type="dxa"/>
          </w:tcPr>
          <w:tcPr/>
          <w:p>
            <w:pPr>
              <w:pStyle w:val="Compact"/>
              <w:jc w:val="center"/>
            </w:pPr>
            <w:r>
              <w:rPr>
                <w:sz w:val="18"/>
                <w:szCs w:val="18"/>
              </w:rPr>
              <w:t xml:space="preserve">0.31</w:t>
            </w:r>
          </w:p>
        </w:tc>
        <w:tc>
          <w:tcPr>
            <w:tcW w:w="2956" w:type="dxa"/>
          </w:tcPr>
          <w:tcPr/>
          <w:p>
            <w:pPr>
              <w:pStyle w:val="Compact"/>
              <w:jc w:val="center"/>
            </w:pPr>
            <w:r>
              <w:rPr>
                <w:sz w:val="18"/>
                <w:szCs w:val="18"/>
              </w:rPr>
              <w:t xml:space="preserve">2.09</w:t>
            </w:r>
          </w:p>
        </w:tc>
      </w:tr>
      <w:tr>
        <w:tc>
          <w:tcPr>
            <w:tcW w:w="2297" w:type="dxa"/>
          </w:tcPr>
          <w:tcPr/>
          <w:p>
            <w:pPr>
              <w:pStyle w:val="Compact"/>
              <w:jc w:val="left"/>
            </w:pPr>
            <w:r>
              <w:rPr>
                <w:sz w:val="18"/>
                <w:szCs w:val="18"/>
                <w:rStyle w:val="VerbatimChar"/>
              </w:rPr>
              <w:t xml:space="preserve">Tr-xx_####</w:t>
            </w:r>
          </w:p>
        </w:tc>
        <w:tc>
          <w:tcPr>
            <w:tcW w:w="1476" w:type="dxa"/>
          </w:tcPr>
          <w:tcPr/>
          <w:p>
            <w:pPr>
              <w:pStyle w:val="Compact"/>
              <w:jc w:val="right"/>
            </w:pPr>
            <w:r>
              <w:rPr>
                <w:sz w:val="18"/>
                <w:szCs w:val="18"/>
              </w:rPr>
              <w:t xml:space="preserve">3,784</w:t>
            </w:r>
          </w:p>
        </w:tc>
        <w:tc>
          <w:tcPr>
            <w:tcW w:w="2297" w:type="dxa"/>
          </w:tcPr>
          <w:tcPr/>
          <w:p>
            <w:pPr>
              <w:pStyle w:val="Compact"/>
              <w:jc w:val="center"/>
            </w:pPr>
            <w:r>
              <w:rPr>
                <w:sz w:val="18"/>
                <w:szCs w:val="18"/>
              </w:rPr>
              <w:t xml:space="preserve">0.98</w:t>
            </w:r>
          </w:p>
        </w:tc>
        <w:tc>
          <w:tcPr>
            <w:tcW w:w="2956" w:type="dxa"/>
          </w:tcPr>
          <w:tcPr/>
          <w:p>
            <w:pPr>
              <w:pStyle w:val="Compact"/>
              <w:jc w:val="center"/>
            </w:pPr>
            <w:r>
              <w:rPr>
                <w:sz w:val="18"/>
                <w:szCs w:val="18"/>
              </w:rPr>
              <w:t xml:space="preserve">1.61</w:t>
            </w:r>
          </w:p>
        </w:tc>
      </w:tr>
      <w:tr>
        <w:tc>
          <w:tcPr>
            <w:tcW w:w="2297" w:type="dxa"/>
          </w:tcPr>
          <w:tcPr/>
          <w:p>
            <w:pPr>
              <w:pStyle w:val="Compact"/>
              <w:jc w:val="left"/>
            </w:pPr>
            <w:r>
              <w:rPr>
                <w:sz w:val="18"/>
                <w:szCs w:val="18"/>
                <w:rStyle w:val="VerbatimChar"/>
              </w:rPr>
              <w:t xml:space="preserve">gg/m/p (n)</w:t>
            </w:r>
          </w:p>
        </w:tc>
        <w:tc>
          <w:tcPr>
            <w:tcW w:w="1476" w:type="dxa"/>
          </w:tcPr>
          <w:tcPr/>
          <w:p>
            <w:pPr>
              <w:pStyle w:val="Compact"/>
              <w:jc w:val="right"/>
            </w:pPr>
            <w:r>
              <w:rPr>
                <w:sz w:val="18"/>
                <w:szCs w:val="18"/>
              </w:rPr>
              <w:t xml:space="preserve">935</w:t>
            </w:r>
          </w:p>
        </w:tc>
        <w:tc>
          <w:tcPr>
            <w:tcW w:w="2297" w:type="dxa"/>
          </w:tcPr>
          <w:tcPr/>
          <w:p>
            <w:pPr>
              <w:pStyle w:val="Compact"/>
              <w:jc w:val="center"/>
            </w:pPr>
            <w:r>
              <w:rPr>
                <w:sz w:val="18"/>
                <w:szCs w:val="18"/>
              </w:rPr>
              <w:t xml:space="preserve">0.64</w:t>
            </w:r>
          </w:p>
        </w:tc>
        <w:tc>
          <w:tcPr>
            <w:tcW w:w="2956" w:type="dxa"/>
          </w:tcPr>
          <w:tcPr/>
          <w:p>
            <w:pPr>
              <w:pStyle w:val="Compact"/>
              <w:jc w:val="center"/>
            </w:pPr>
            <w:r>
              <w:rPr>
                <w:sz w:val="18"/>
                <w:szCs w:val="18"/>
              </w:rPr>
              <w:t xml:space="preserve">1.50</w:t>
            </w:r>
          </w:p>
        </w:tc>
      </w:tr>
      <w:tr>
        <w:tc>
          <w:tcPr>
            <w:tcW w:w="2297" w:type="dxa"/>
          </w:tcPr>
          <w:tcPr/>
          <w:p>
            <w:pPr>
              <w:pStyle w:val="Compact"/>
              <w:jc w:val="left"/>
            </w:pPr>
            <w:r>
              <w:rPr>
                <w:sz w:val="18"/>
                <w:szCs w:val="18"/>
                <w:rStyle w:val="VerbatimChar"/>
              </w:rPr>
              <w:t xml:space="preserve">Te-xx_####</w:t>
            </w:r>
          </w:p>
        </w:tc>
        <w:tc>
          <w:tcPr>
            <w:tcW w:w="1476" w:type="dxa"/>
          </w:tcPr>
          <w:tcPr/>
          <w:p>
            <w:pPr>
              <w:pStyle w:val="Compact"/>
              <w:jc w:val="right"/>
            </w:pPr>
            <w:r>
              <w:rPr>
                <w:sz w:val="18"/>
                <w:szCs w:val="18"/>
              </w:rPr>
              <w:t xml:space="preserve">858</w:t>
            </w:r>
          </w:p>
        </w:tc>
        <w:tc>
          <w:tcPr>
            <w:tcW w:w="2297" w:type="dxa"/>
          </w:tcPr>
          <w:tcPr/>
          <w:p>
            <w:pPr>
              <w:pStyle w:val="Compact"/>
              <w:jc w:val="center"/>
            </w:pPr>
            <w:r>
              <w:rPr>
                <w:sz w:val="18"/>
                <w:szCs w:val="18"/>
              </w:rPr>
              <w:t xml:space="preserve">0.23</w:t>
            </w:r>
          </w:p>
        </w:tc>
        <w:tc>
          <w:tcPr>
            <w:tcW w:w="2956" w:type="dxa"/>
          </w:tcPr>
          <w:tcPr/>
          <w:p>
            <w:pPr>
              <w:pStyle w:val="Compact"/>
              <w:jc w:val="center"/>
            </w:pPr>
            <w:r>
              <w:rPr>
                <w:sz w:val="18"/>
                <w:szCs w:val="18"/>
              </w:rPr>
              <w:t xml:space="preserve">1.40</w:t>
            </w:r>
          </w:p>
        </w:tc>
      </w:tr>
      <w:tr>
        <w:tc>
          <w:tcPr>
            <w:tcW w:w="2297" w:type="dxa"/>
          </w:tcPr>
          <w:tcPr/>
          <w:p>
            <w:pPr>
              <w:pStyle w:val="Compact"/>
              <w:jc w:val="left"/>
            </w:pPr>
            <w:r>
              <w:rPr>
                <w:sz w:val="18"/>
                <w:szCs w:val="18"/>
                <w:rStyle w:val="VerbatimChar"/>
              </w:rPr>
              <w:t xml:space="preserve">N#</w:t>
            </w:r>
            <w:r>
              <w:rPr>
                <w:sz w:val="18"/>
                <w:szCs w:val="18"/>
              </w:rPr>
              <w:t xml:space="preserve">,</w:t>
            </w:r>
            <w:r>
              <w:rPr>
                <w:sz w:val="18"/>
                <w:szCs w:val="18"/>
              </w:rPr>
              <w:t xml:space="preserve"> </w:t>
            </w:r>
            <w:r>
              <w:rPr>
                <w:sz w:val="18"/>
                <w:szCs w:val="18"/>
                <w:rStyle w:val="VerbatimChar"/>
              </w:rPr>
              <w:t xml:space="preserve"># no</w:t>
            </w:r>
          </w:p>
        </w:tc>
        <w:tc>
          <w:tcPr>
            <w:tcW w:w="1476" w:type="dxa"/>
          </w:tcPr>
          <w:tcPr/>
          <w:p>
            <w:pPr>
              <w:pStyle w:val="Compact"/>
              <w:jc w:val="right"/>
            </w:pPr>
            <w:r>
              <w:rPr>
                <w:sz w:val="18"/>
                <w:szCs w:val="18"/>
              </w:rPr>
              <w:t xml:space="preserve">76</w:t>
            </w:r>
          </w:p>
        </w:tc>
        <w:tc>
          <w:tcPr>
            <w:tcW w:w="2297" w:type="dxa"/>
          </w:tcPr>
          <w:tcPr/>
          <w:p>
            <w:pPr>
              <w:pStyle w:val="Compact"/>
              <w:jc w:val="center"/>
            </w:pPr>
            <w:r>
              <w:rPr>
                <w:sz w:val="18"/>
                <w:szCs w:val="18"/>
              </w:rPr>
              <w:t xml:space="preserve">1.32</w:t>
            </w:r>
          </w:p>
        </w:tc>
        <w:tc>
          <w:tcPr>
            <w:tcW w:w="2956" w:type="dxa"/>
          </w:tcPr>
          <w:tcPr/>
          <w:p>
            <w:pPr>
              <w:pStyle w:val="Compact"/>
              <w:jc w:val="center"/>
            </w:pPr>
            <w:r>
              <w:rPr>
                <w:sz w:val="18"/>
                <w:szCs w:val="18"/>
              </w:rPr>
              <w:t xml:space="preserve">0.00</w:t>
            </w:r>
          </w:p>
        </w:tc>
      </w:tr>
    </w:tbl>
    <w:p>
      <w:pPr>
        <w:pStyle w:val="BodyText"/>
      </w:pPr>
      <w:r>
        <w:t xml:space="preserve">Within the image-level run, this leakage was invisible. Test images whose augmented siblings were in training had the same accuracy as the remaining images (99.15% against 99.14%), which suggested that leakage did not matter. The grouped split shows that it did. The</w:t>
      </w:r>
      <w:r>
        <w:t xml:space="preserve"> </w:t>
      </w:r>
      <w:r>
        <w:t xml:space="preserve">“</w:t>
      </w:r>
      <w:r>
        <w:t xml:space="preserve">remaining</w:t>
      </w:r>
      <w:r>
        <w:t xml:space="preserve">”</w:t>
      </w:r>
      <w:r>
        <w:t xml:space="preserve"> </w:t>
      </w:r>
      <w:r>
        <w:t xml:space="preserve">images were not leak-free either, because many had near-duplicates from other source collections in training. A within-run comparison cannot replace a grouped re-split. One caveat applies: the image-level run used an earlier version of the training script, which also selected checkpoints on validation accuracy, applied saturation and hue jitter, and used a saturation view instead of the zoom view in TTA. These differences are small and are unlikely to explain a fourfold increase in errors that is concentrated in the duplicated families, but the two runs do not differ in the split alone.</w:t>
      </w:r>
    </w:p>
    <w:p>
      <w:pPr>
        <w:pStyle w:val="BodyText"/>
      </w:pPr>
      <w:r>
        <w:rPr>
          <w:iCs/>
          <w:i/>
        </w:rPr>
        <w:t xml:space="preserve">Label conflicts:</w:t>
      </w:r>
      <w:r>
        <w:t xml:space="preserve"> </w:t>
      </w:r>
      <w:r>
        <w:t xml:space="preserve">The hash comparison also exposed inconsistent labels. Of the near-duplicate pairs, 108 carry different labels: glioma–meningioma 49, glioma–no tumour 45, meningioma–no tumour 10 and meningioma–pituitary 4. In total, 25 groups (538 images) contain more than one class. The four meningioma–pituitary pairs have identical hashes: four images named</w:t>
      </w:r>
      <w:r>
        <w:t xml:space="preserve"> </w:t>
      </w:r>
      <w:r>
        <w:rPr>
          <w:rStyle w:val="VerbatimChar"/>
        </w:rPr>
        <w:t xml:space="preserve">Tr-me_0828</w:t>
      </w:r>
      <w:r>
        <w:t xml:space="preserve">,</w:t>
      </w:r>
      <w:r>
        <w:t xml:space="preserve"> </w:t>
      </w:r>
      <w:r>
        <w:rPr>
          <w:rStyle w:val="VerbatimChar"/>
        </w:rPr>
        <w:t xml:space="preserve">0829</w:t>
      </w:r>
      <w:r>
        <w:t xml:space="preserve">,</w:t>
      </w:r>
      <w:r>
        <w:t xml:space="preserve"> </w:t>
      </w:r>
      <w:r>
        <w:rPr>
          <w:rStyle w:val="VerbatimChar"/>
        </w:rPr>
        <w:t xml:space="preserve">0831</w:t>
      </w:r>
      <w:r>
        <w:t xml:space="preserve"> </w:t>
      </w:r>
      <w:r>
        <w:t xml:space="preserve">and</w:t>
      </w:r>
      <w:r>
        <w:t xml:space="preserve"> </w:t>
      </w:r>
      <w:r>
        <w:rPr>
          <w:rStyle w:val="VerbatimChar"/>
        </w:rPr>
        <w:t xml:space="preserve">0942</w:t>
      </w:r>
      <w:r>
        <w:t xml:space="preserve"> </w:t>
      </w:r>
      <w:r>
        <w:t xml:space="preserve">(meningioma) are, after a horizontal flip, the images</w:t>
      </w:r>
      <w:r>
        <w:t xml:space="preserve"> </w:t>
      </w:r>
      <w:r>
        <w:rPr>
          <w:rStyle w:val="VerbatimChar"/>
        </w:rPr>
        <w:t xml:space="preserve">P_834_HF_</w:t>
      </w:r>
      <w:r>
        <w:t xml:space="preserve">,</w:t>
      </w:r>
      <w:r>
        <w:t xml:space="preserve"> </w:t>
      </w:r>
      <w:r>
        <w:rPr>
          <w:rStyle w:val="VerbatimChar"/>
        </w:rPr>
        <w:t xml:space="preserve">P_836_HF_</w:t>
      </w:r>
      <w:r>
        <w:t xml:space="preserve">,</w:t>
      </w:r>
      <w:r>
        <w:t xml:space="preserve"> </w:t>
      </w:r>
      <w:r>
        <w:rPr>
          <w:rStyle w:val="VerbatimChar"/>
        </w:rPr>
        <w:t xml:space="preserve">P_843_HF_</w:t>
      </w:r>
      <w:r>
        <w:t xml:space="preserve"> </w:t>
      </w:r>
      <w:r>
        <w:t xml:space="preserve">and</w:t>
      </w:r>
      <w:r>
        <w:t xml:space="preserve"> </w:t>
      </w:r>
      <w:r>
        <w:rPr>
          <w:rStyle w:val="VerbatimChar"/>
        </w:rPr>
        <w:t xml:space="preserve">P_833_HF_</w:t>
      </w:r>
      <w:r>
        <w:t xml:space="preserve"> </w:t>
      </w:r>
      <w:r>
        <w:t xml:space="preserve">(pituitary). In the image-level run, all four meningiomas were predicted as pituitary, with confidence 0.95–0.97. They are label conflicts within the dataset, not model failures, and under the grouped split one image of each pair is necessarily counted as an error.</w:t>
      </w:r>
    </w:p>
    <w:bookmarkEnd w:id="76"/>
    <w:bookmarkStart w:id="80" w:name="b.-where-the-errors-come-from"/>
    <w:p>
      <w:pPr>
        <w:pStyle w:val="Heading2"/>
      </w:pPr>
      <w:r>
        <w:t xml:space="preserve">B. Where the Errors Come From</w:t>
      </w:r>
    </w:p>
    <w:p>
      <w:pPr>
        <w:pStyle w:val="FirstParagraph"/>
      </w:pPr>
      <w:r>
        <w:t xml:space="preserve">Errors cluster within source slices. The 423 errors fall in only 136 of the 3,873 groups; in 91 of these groups at least half of the images were misclassified, and these groups account for 338 errors (80%). The ten worst groups alone hold 151 errors. For example, 23 of 25 copies of the tumour-free slice</w:t>
      </w:r>
      <w:r>
        <w:t xml:space="preserve"> </w:t>
      </w:r>
      <w:r>
        <w:rPr>
          <w:rStyle w:val="VerbatimChar"/>
        </w:rPr>
        <w:t xml:space="preserve">N_378</w:t>
      </w:r>
      <w:r>
        <w:t xml:space="preserve"> </w:t>
      </w:r>
      <w:r>
        <w:t xml:space="preserve">were called glioma and 17 of 20 copies of</w:t>
      </w:r>
      <w:r>
        <w:t xml:space="preserve"> </w:t>
      </w:r>
      <w:r>
        <w:rPr>
          <w:rStyle w:val="VerbatimChar"/>
        </w:rPr>
        <w:t xml:space="preserve">N_375</w:t>
      </w:r>
      <w:r>
        <w:t xml:space="preserve"> </w:t>
      </w:r>
      <w:r>
        <w:t xml:space="preserve">were called pituitary (both in fold 5), and 19 of 20 copies of the pituitary slice</w:t>
      </w:r>
      <w:r>
        <w:t xml:space="preserve"> </w:t>
      </w:r>
      <w:r>
        <w:rPr>
          <w:rStyle w:val="VerbatimChar"/>
        </w:rPr>
        <w:t xml:space="preserve">P_818</w:t>
      </w:r>
      <w:r>
        <w:t xml:space="preserve"> </w:t>
      </w:r>
      <w:r>
        <w:t xml:space="preserve">were called tumour-free (fold 3). When the model fails on a source slice, it fails on most of its augmented copies, often with high confidence. Several of these groups also contain images from another naming family; the group of</w:t>
      </w:r>
      <w:r>
        <w:t xml:space="preserve"> </w:t>
      </w:r>
      <w:r>
        <w:rPr>
          <w:rStyle w:val="VerbatimChar"/>
        </w:rPr>
        <w:t xml:space="preserve">N_378</w:t>
      </w:r>
      <w:r>
        <w:t xml:space="preserve">, for instance, includes</w:t>
      </w:r>
      <w:r>
        <w:t xml:space="preserve"> </w:t>
      </w:r>
      <w:r>
        <w:rPr>
          <w:rStyle w:val="VerbatimChar"/>
        </w:rPr>
        <w:t xml:space="preserve">1729.jpg</w:t>
      </w:r>
      <w:r>
        <w:t xml:space="preserve">, a cross-source duplicate that only the hash comparison revealed. Offline-augmented copies had a higher error rate than the remaining images (5.93% against 2.46%), because they come in large groups that succeed or fail together.</w:t>
      </w:r>
    </w:p>
    <w:p>
      <w:pPr>
        <w:pStyle w:val="BodyText"/>
      </w:pPr>
      <w:r>
        <w:t xml:space="preserve">This clustering explains the fold-to-fold variation. In fold 3, 56% of the 123 errors came from five groups, and in fold 5, 78 of the 140 errors came from five source slices, four of them tumour-free. Which hard slices a fold happens to contain matters more than the number of test images, and the effective sample size is closer to the number of groups than to the number of images. This is why we report group-bootstrap intervals.</w:t>
      </w:r>
    </w:p>
    <w:p>
      <w:pPr>
        <w:pStyle w:val="BodyText"/>
      </w:pPr>
      <w:r>
        <w:t xml:space="preserve">The second source of errors is the</w:t>
      </w:r>
      <w:r>
        <w:t xml:space="preserve"> </w:t>
      </w:r>
      <w:r>
        <w:rPr>
          <w:rStyle w:val="VerbatimChar"/>
        </w:rPr>
        <w:t xml:space="preserve">image(n)</w:t>
      </w:r>
      <w:r>
        <w:t xml:space="preserve"> </w:t>
      </w:r>
      <w:r>
        <w:t xml:space="preserve">family, the test-split naming of one public source </w:t>
      </w:r>
      <w:hyperlink w:anchor="ref-bhuvaji2020kaggle">
        <w:r>
          <w:rPr>
            <w:rStyle w:val="Hyperlink"/>
          </w:rPr>
          <w:t xml:space="preserve">[29]</w:t>
        </w:r>
      </w:hyperlink>
      <w:r>
        <w:t xml:space="preserve">. Its error rate was 18.5% (46 of 249), three times that of the next family. Users of a public mirror of a related compilation have reported mislabelled glioma images in this source </w:t>
      </w:r>
      <w:hyperlink w:anchor="ref-chaki2023dataport">
        <w:r>
          <w:rPr>
            <w:rStyle w:val="Hyperlink"/>
          </w:rPr>
          <w:t xml:space="preserve">[30]</w:t>
        </w:r>
      </w:hyperlink>
      <w:r>
        <w:t xml:space="preserve">, and its misclassified images include an apparent CT slice and a T2-weighted slice, modalities that the dataset description does not mention (Fig. 9). These errors point to label noise and modality heterogeneity rather than to model failure alone; expert re-reading is needed to confirm this.</w:t>
      </w:r>
    </w:p>
    <w:p>
      <w:pPr>
        <w:pStyle w:val="CaptionedFigure"/>
      </w:pPr>
      <w:r>
        <w:drawing>
          <wp:inline>
            <wp:extent cx="5334000" cy="3369336"/>
            <wp:effectExtent b="0" l="0" r="0" t="0"/>
            <wp:docPr descr="" title="" id="78" name="Picture"/>
            <a:graphic>
              <a:graphicData uri="http://schemas.openxmlformats.org/drawingml/2006/picture">
                <pic:pic>
                  <pic:nvPicPr>
                    <pic:cNvPr descr="figures/fig5_confident_errors.png" id="79" name="Picture"/>
                    <pic:cNvPicPr>
                      <a:picLocks noChangeArrowheads="1" noChangeAspect="1"/>
                    </pic:cNvPicPr>
                  </pic:nvPicPr>
                  <pic:blipFill>
                    <a:blip r:embed="rId77"/>
                    <a:stretch>
                      <a:fillRect/>
                    </a:stretch>
                  </pic:blipFill>
                  <pic:spPr bwMode="auto">
                    <a:xfrm>
                      <a:off x="0" y="0"/>
                      <a:ext cx="5334000" cy="3369336"/>
                    </a:xfrm>
                    <a:prstGeom prst="rect">
                      <a:avLst/>
                    </a:prstGeom>
                    <a:noFill/>
                    <a:ln w="9525">
                      <a:noFill/>
                      <a:headEnd/>
                      <a:tailEnd/>
                    </a:ln>
                  </pic:spPr>
                </pic:pic>
              </a:graphicData>
            </a:graphic>
          </wp:inline>
        </w:drawing>
      </w:r>
    </w:p>
    <w:p>
      <w:pPr>
        <w:pStyle w:val="ImageCaption"/>
      </w:pPr>
      <w:r>
        <w:t xml:space="preserve">Fig. 9. The eight most confident out-of-fold errors of the image-level run, each labelled with true class</w:t>
      </w:r>
      <w:r>
        <w:t xml:space="preserve"> </w:t>
      </w:r>
      <m:oMath>
        <m:r>
          <m:rPr>
            <m:sty m:val="p"/>
          </m:rPr>
          <m:t>→</m:t>
        </m:r>
      </m:oMath>
      <w:r>
        <w:t xml:space="preserve"> </w:t>
      </w:r>
      <w:r>
        <w:t xml:space="preserve">predicted class, the predicted probability</w:t>
      </w:r>
      <w:r>
        <w:t xml:space="preserve"> </w:t>
      </w:r>
      <m:oMath>
        <m:r>
          <m:t>p</m:t>
        </m:r>
      </m:oMath>
      <w:r>
        <w:t xml:space="preserve"> </w:t>
      </w:r>
      <w:r>
        <w:t xml:space="preserve">and the file-name family. Panel (b) appears to be a CT slice and panel (c) a T2-weighted MR slice, although the dataset is described as contrast-enhanced T1-weighted MRI.</w:t>
      </w:r>
    </w:p>
    <w:bookmarkEnd w:id="80"/>
    <w:bookmarkStart w:id="81" w:name="X6b14ca9a2a3041316bd4d45195c3c53392e4286"/>
    <w:p>
      <w:pPr>
        <w:pStyle w:val="Heading2"/>
      </w:pPr>
      <w:r>
        <w:t xml:space="preserve">C. Calibration and Fold-to-Fold Variability</w:t>
      </w:r>
    </w:p>
    <w:p>
      <w:pPr>
        <w:pStyle w:val="FirstParagraph"/>
      </w:pPr>
      <w:r>
        <w:t xml:space="preserve">In the top confidence bin, confidence and accuracy nearly coincided (97.7% and 98.2%). This agrees with the label-smoothing target: with</w:t>
      </w:r>
      <w:r>
        <w:t xml:space="preserve"> </w:t>
      </w:r>
      <m:oMath>
        <m:r>
          <m:t>ε</m:t>
        </m:r>
        <m:r>
          <m:rPr>
            <m:sty m:val="p"/>
          </m:rPr>
          <m:t>=</m:t>
        </m:r>
        <m:r>
          <m:t>0.03</m:t>
        </m:r>
      </m:oMath>
      <w:r>
        <w:t xml:space="preserve"> </w:t>
      </w:r>
      <w:r>
        <w:t xml:space="preserve">and four classes, the training target for the true class is</w:t>
      </w:r>
      <w:r>
        <w:t xml:space="preserve"> </w:t>
      </w:r>
      <m:oMath>
        <m:r>
          <m:t>1</m:t>
        </m:r>
        <m:r>
          <m:rPr>
            <m:sty m:val="p"/>
          </m:rPr>
          <m:t>−</m:t>
        </m:r>
        <m:r>
          <m:t>ε</m:t>
        </m:r>
        <m:r>
          <m:rPr>
            <m:sty m:val="p"/>
          </m:rPr>
          <m:t>+</m:t>
        </m:r>
        <m:r>
          <m:t>ε</m:t>
        </m:r>
        <m:r>
          <m:rPr>
            <m:sty m:val="p"/>
          </m:rPr>
          <m:t>/</m:t>
        </m:r>
        <m:r>
          <m:t>4</m:t>
        </m:r>
        <m:r>
          <m:rPr>
            <m:sty m:val="p"/>
          </m:rPr>
          <m:t>=</m:t>
        </m:r>
        <m:r>
          <m:t>0.9775</m:t>
        </m:r>
      </m:oMath>
      <w:r>
        <w:t xml:space="preserve">, and the highest predicted probability was 0.984 </w:t>
      </w:r>
      <w:hyperlink w:anchor="ref-muller2019labelsmoothing">
        <w:r>
          <w:rPr>
            <w:rStyle w:val="Hyperlink"/>
          </w:rPr>
          <w:t xml:space="preserve">[26]</w:t>
        </w:r>
      </w:hyperlink>
      <w:r>
        <w:t xml:space="preserve">. Below 0.9 the model was over-confident, and almost half of the errors were made with confidence of at least 0.95, mostly in groups that were misclassified as a whole. Confidence thresholds catch hesitant predictions but not systematic failures on a source slice. Post-hoc temperature scaling fitted on the validation split </w:t>
      </w:r>
      <w:hyperlink w:anchor="ref-guo2017calibration">
        <w:r>
          <w:rPr>
            <w:rStyle w:val="Hyperlink"/>
          </w:rPr>
          <w:t xml:space="preserve">[8]</w:t>
        </w:r>
      </w:hyperlink>
      <w:r>
        <w:t xml:space="preserve"> </w:t>
      </w:r>
      <w:r>
        <w:t xml:space="preserve">could reduce the mid-range over-confidence, but not these confident group-level errors.</w:t>
      </w:r>
    </w:p>
    <w:p>
      <w:pPr>
        <w:pStyle w:val="BodyText"/>
      </w:pPr>
      <w:r>
        <w:t xml:space="preserve">The pooled ECE (0.012) is lower than the mean of the fold-wise values (0.018), because fold-specific deviations partly cancel when the folds are pooled. Checkpoint selection was deterministic in this run, so the remaining fold-to-fold variation reflects the data in each fold rather than random selection.</w:t>
      </w:r>
    </w:p>
    <w:bookmarkEnd w:id="81"/>
    <w:bookmarkStart w:id="82" w:name="d.-what-the-trained-parameters-reveal"/>
    <w:p>
      <w:pPr>
        <w:pStyle w:val="Heading2"/>
      </w:pPr>
      <w:r>
        <w:t xml:space="preserve">D. What the Trained Parameters Reveal</w:t>
      </w:r>
    </w:p>
    <w:p>
      <w:pPr>
        <w:pStyle w:val="FirstParagraph"/>
      </w:pPr>
      <w:r>
        <w:t xml:space="preserve">The parameter analysis tempers the architectural claims. The graph stream holds 3.2% of the parameters, while the two-token cross-modal transformer holds 27.5%; with two tokens, each attention head reduces to a</w:t>
      </w:r>
      <w:r>
        <w:t xml:space="preserve"> </w:t>
      </w:r>
      <m:oMath>
        <m:r>
          <m:t>2</m:t>
        </m:r>
        <m:r>
          <m:rPr>
            <m:sty m:val="p"/>
          </m:rPr>
          <m:t>×</m:t>
        </m:r>
        <m:r>
          <m:t>2</m:t>
        </m:r>
      </m:oMath>
      <w:r>
        <w:t xml:space="preserve"> </w:t>
      </w:r>
      <w:r>
        <w:t xml:space="preserve">weighting of the modalities. The learnable path weights of the multi-path GNN stayed within 0.008 of</w:t>
      </w:r>
      <w:r>
        <w:t xml:space="preserve"> </w:t>
      </w:r>
      <m:oMath>
        <m:r>
          <m:t>1</m:t>
        </m:r>
        <m:r>
          <m:rPr>
            <m:sty m:val="p"/>
          </m:rPr>
          <m:t>/</m:t>
        </m:r>
        <m:r>
          <m:t>3</m:t>
        </m:r>
      </m:oMath>
      <w:r>
        <w:t xml:space="preserve"> </w:t>
      </w:r>
      <w:r>
        <w:t xml:space="preserve">in all five folds, so the three operators act as an equal-weight average rather than an adaptively selected mixture. The gate gave the image stream most of the weight, and it gave it even more weight on misclassified images, so it did not route hard cases to the graph stream.</w:t>
      </w:r>
    </w:p>
    <w:p>
      <w:pPr>
        <w:pStyle w:val="BodyText"/>
      </w:pPr>
      <w:r>
        <w:t xml:space="preserve">None of this shows that the components are useless. The four-model ablation (Section VI-G) tests what the graph stream adds to the image stream and what the fusion modules add to plain concatenation. It shows that, on this dataset, the graph stream and the fusion modules add no measurable accuracy: the image-only baseline matched the full model, and the full model’s advantage over plain concatenation (0.28 points) was within the uncertainty caused by clustered errors. The graph stream does carry class information (87.5% on its own), but it appears to be largely redundant with what EfficientNet-B3 already extracts, which is consistent with the gate’s preference for the image stream. The individual contributions of recalibration, the transformer, the uncertainty gate and the three GNN operators are not isolated separately.</w:t>
      </w:r>
    </w:p>
    <w:bookmarkEnd w:id="82"/>
    <w:bookmarkStart w:id="83" w:name="e.-relation-to-prior-results"/>
    <w:p>
      <w:pPr>
        <w:pStyle w:val="Heading2"/>
      </w:pPr>
      <w:r>
        <w:t xml:space="preserve">E. Relation to Prior Results</w:t>
      </w:r>
    </w:p>
    <w:p>
      <w:pPr>
        <w:pStyle w:val="FirstParagraph"/>
      </w:pPr>
      <w:r>
        <w:t xml:space="preserve">Published accuracies are not directly comparable to ours. Tummala</w:t>
      </w:r>
      <w:r>
        <w:t xml:space="preserve"> </w:t>
      </w:r>
      <w:r>
        <w:rPr>
          <w:iCs/>
          <w:i/>
        </w:rPr>
        <w:t xml:space="preserve">et al.</w:t>
      </w:r>
      <w:r>
        <w:t xml:space="preserve"> </w:t>
      </w:r>
      <w:r>
        <w:t xml:space="preserve">reported 98.7% with a ViT ensemble on the three-class figshare data </w:t>
      </w:r>
      <w:hyperlink w:anchor="ref-tummala2022classification">
        <w:r>
          <w:rPr>
            <w:rStyle w:val="Hyperlink"/>
          </w:rPr>
          <w:t xml:space="preserve">[6]</w:t>
        </w:r>
      </w:hyperlink>
      <w:r>
        <w:t xml:space="preserve">, and Gürsoy and Kaya 93.68% with a CNN–GCN hybrid on a 10,847-image collection </w:t>
      </w:r>
      <w:hyperlink w:anchor="ref-gursoy2024braingcn">
        <w:r>
          <w:rPr>
            <w:rStyle w:val="Hyperlink"/>
          </w:rPr>
          <w:t xml:space="preserve">[7]</w:t>
        </w:r>
      </w:hyperlink>
      <w:r>
        <w:t xml:space="preserve">. Datasets, class sets and split units differ across these studies, and duplication levels are rarely reported. Our own image-level result of 99.15% would have ranked among the highest published figures, yet 2.6 points of it came from duplicate leakage. We make no state-of-the-art claim for this reason, and we recommend that accuracies on compiled brain tumour collections be reported under a duplicate-aware split.</w:t>
      </w:r>
    </w:p>
    <w:bookmarkEnd w:id="83"/>
    <w:bookmarkEnd w:id="84"/>
    <w:bookmarkStart w:id="85" w:name="viii.-limitations-and-future-work"/>
    <w:p>
      <w:pPr>
        <w:pStyle w:val="Heading1"/>
      </w:pPr>
      <w:r>
        <w:t xml:space="preserve">VIII. Limitations and Future Work</w:t>
      </w:r>
    </w:p>
    <w:p>
      <w:pPr>
        <w:numPr>
          <w:ilvl w:val="0"/>
          <w:numId w:val="1004"/>
        </w:numPr>
      </w:pPr>
      <w:r>
        <w:rPr>
          <w:iCs/>
          <w:i/>
        </w:rPr>
        <w:t xml:space="preserve">Slice-level, not patient-level, grouping:</w:t>
      </w:r>
      <w:r>
        <w:t xml:space="preserve"> </w:t>
      </w:r>
      <w:r>
        <w:t xml:space="preserve">Patient identifiers are unavailable. Grouping by file-name stem and perceptual hash removes augmented copies and close near-duplicates, but different slices of one patient can still fall on both sides of a split, so patient-level accuracy may be lower. Next step: a parallel analysis on the de-duplicated Version 7 of the dataset </w:t>
      </w:r>
      <w:hyperlink w:anchor="ref-bdneuro2025v7">
        <w:r>
          <w:rPr>
            <w:rStyle w:val="Hyperlink"/>
          </w:rPr>
          <w:t xml:space="preserve">[32]</w:t>
        </w:r>
      </w:hyperlink>
      <w:r>
        <w:t xml:space="preserve"> </w:t>
      </w:r>
      <w:r>
        <w:t xml:space="preserve">and on a collection with patient identifiers.</w:t>
      </w:r>
    </w:p>
    <w:p>
      <w:pPr>
        <w:numPr>
          <w:ilvl w:val="0"/>
          <w:numId w:val="1004"/>
        </w:numPr>
      </w:pPr>
      <w:r>
        <w:rPr>
          <w:iCs/>
          <w:i/>
        </w:rPr>
        <w:t xml:space="preserve">Limited ablation and no external baselines:</w:t>
      </w:r>
      <w:r>
        <w:t xml:space="preserve"> </w:t>
      </w:r>
      <w:r>
        <w:t xml:space="preserve">The ablation covers four models (image only, graph only, concatenation and the full framework). Fixed-gate, transformer-free and single-operator variants, and standard CNN and transformer baselines, remain to be compared on identical folds.</w:t>
      </w:r>
    </w:p>
    <w:p>
      <w:pPr>
        <w:numPr>
          <w:ilvl w:val="0"/>
          <w:numId w:val="1004"/>
        </w:numPr>
      </w:pPr>
      <w:r>
        <w:rPr>
          <w:iCs/>
          <w:i/>
        </w:rPr>
        <w:t xml:space="preserve">Single dataset, no external test:</w:t>
      </w:r>
      <w:r>
        <w:t xml:space="preserve"> </w:t>
      </w:r>
      <w:r>
        <w:t xml:space="preserve">All images come from one compiled collection, part of which overlaps by naming with other public sets. An independent test set must first be checked for overlap with the training data.</w:t>
      </w:r>
    </w:p>
    <w:p>
      <w:pPr>
        <w:numPr>
          <w:ilvl w:val="0"/>
          <w:numId w:val="1004"/>
        </w:numPr>
      </w:pPr>
      <w:r>
        <w:rPr>
          <w:iCs/>
          <w:i/>
        </w:rPr>
        <w:t xml:space="preserve">Label quality and provenance:</w:t>
      </w:r>
      <w:r>
        <w:t xml:space="preserve"> </w:t>
      </w:r>
      <w:r>
        <w:t xml:space="preserve">The dataset contains near-duplicate pairs with conflicting labels, mixes MR contrasts and includes at least one apparent CT image, and one source shows an error rate consistent with label noise. The origin of the images was inferred from file names. Expert re-reading of the misclassified images and of the conflicting pairs would separate label noise from model error.</w:t>
      </w:r>
    </w:p>
    <w:p>
      <w:pPr>
        <w:numPr>
          <w:ilvl w:val="0"/>
          <w:numId w:val="1004"/>
        </w:numPr>
      </w:pPr>
      <w:r>
        <w:rPr>
          <w:iCs/>
          <w:i/>
        </w:rPr>
        <w:t xml:space="preserve">Single training run per fold and an imperfect leakage comparison:</w:t>
      </w:r>
      <w:r>
        <w:t xml:space="preserve"> </w:t>
      </w:r>
      <w:r>
        <w:t xml:space="preserve">Each fold was trained once (seed 42). GPU graph operations are not bit-reproducible, and a repeated training of the full model on fold 1 gave 94.62% instead of 97.06%, so differences of one or two points between single runs should not be over-interpreted. The image-level and grouped runs also differ in checkpoint criterion and in two augmentation details (Section VII-A).</w:t>
      </w:r>
    </w:p>
    <w:p>
      <w:pPr>
        <w:numPr>
          <w:ilvl w:val="0"/>
          <w:numId w:val="1004"/>
        </w:numPr>
      </w:pPr>
      <w:r>
        <w:rPr>
          <w:iCs/>
          <w:i/>
        </w:rPr>
        <w:t xml:space="preserve">Two-dimensional slices:</w:t>
      </w:r>
      <w:r>
        <w:t xml:space="preserve"> </w:t>
      </w:r>
      <w:r>
        <w:t xml:space="preserve">The model sees single 2D slices and ignores volumetric context and other MRI sequences.</w:t>
      </w:r>
    </w:p>
    <w:p>
      <w:pPr>
        <w:numPr>
          <w:ilvl w:val="0"/>
          <w:numId w:val="1004"/>
        </w:numPr>
      </w:pPr>
      <w:r>
        <w:rPr>
          <w:iCs/>
          <w:i/>
        </w:rPr>
        <w:t xml:space="preserve">Inference cost:</w:t>
      </w:r>
      <w:r>
        <w:t xml:space="preserve"> </w:t>
      </w:r>
      <w:r>
        <w:t xml:space="preserve">With ten TTA views, inference takes about 2.6 s per image, dominated by CPU graph construction.</w:t>
      </w:r>
    </w:p>
    <w:p>
      <w:pPr>
        <w:numPr>
          <w:ilvl w:val="0"/>
          <w:numId w:val="1004"/>
        </w:numPr>
      </w:pPr>
      <w:r>
        <w:rPr>
          <w:iCs/>
          <w:i/>
        </w:rPr>
        <w:t xml:space="preserve">Not a clinical device:</w:t>
      </w:r>
      <w:r>
        <w:t xml:space="preserve"> </w:t>
      </w:r>
      <w:r>
        <w:t xml:space="preserve">The model has not been evaluated prospectively or against radiologists, and its outputs are not diagnoses.</w:t>
      </w:r>
    </w:p>
    <w:bookmarkEnd w:id="85"/>
    <w:bookmarkStart w:id="86" w:name="ix.-conclusion"/>
    <w:p>
      <w:pPr>
        <w:pStyle w:val="Heading1"/>
      </w:pPr>
      <w:r>
        <w:t xml:space="preserve">IX. Conclusion</w:t>
      </w:r>
    </w:p>
    <w:p>
      <w:pPr>
        <w:pStyle w:val="FirstParagraph"/>
      </w:pPr>
      <w:r>
        <w:t xml:space="preserve">Under duplicate-aware five-fold cross-validation, in which no group of augmented copies or near-duplicate slices was shared between training and test data, the dual-stream EfficientNet-B3 and graph model classified four-class brain tumour MRI with</w:t>
      </w:r>
      <w:r>
        <w:t xml:space="preserve"> </w:t>
      </w:r>
      <m:oMath>
        <m:r>
          <m:t>96.54</m:t>
        </m:r>
        <m:r>
          <m:rPr>
            <m:sty m:val="p"/>
          </m:rPr>
          <m:t>±</m:t>
        </m:r>
        <m:r>
          <m:t>1.71</m:t>
        </m:r>
        <m:r>
          <m:rPr>
            <m:sty m:val="p"/>
          </m:rPr>
          <m:t>%</m:t>
        </m:r>
      </m:oMath>
      <w:r>
        <w:t xml:space="preserve"> </w:t>
      </w:r>
      <w:r>
        <w:t xml:space="preserve">accuracy and</w:t>
      </w:r>
      <w:r>
        <w:t xml:space="preserve"> </w:t>
      </w:r>
      <m:oMath>
        <m:r>
          <m:t>96.36</m:t>
        </m:r>
        <m:r>
          <m:rPr>
            <m:sty m:val="p"/>
          </m:rPr>
          <m:t>±</m:t>
        </m:r>
        <m:r>
          <m:t>1.81</m:t>
        </m:r>
        <m:r>
          <m:rPr>
            <m:sty m:val="p"/>
          </m:rPr>
          <m:t>%</m:t>
        </m:r>
      </m:oMath>
      <w:r>
        <w:t xml:space="preserve"> </w:t>
      </w:r>
      <w:r>
        <w:t xml:space="preserve">macro-F1 (pooled 96.49%, 95% CI 95.50–97.37%; RQ1). Its probabilities were well calibrated in the high-confidence range (pooled ECE 0.012), but almost half of the errors were made with high confidence, mostly on source slices whose copies were misclassified together (RQ2). An image-level split of the same data gave</w:t>
      </w:r>
      <w:r>
        <w:t xml:space="preserve"> </w:t>
      </w:r>
      <m:oMath>
        <m:r>
          <m:t>99.15</m:t>
        </m:r>
        <m:r>
          <m:rPr>
            <m:sty m:val="p"/>
          </m:rPr>
          <m:t>±</m:t>
        </m:r>
        <m:r>
          <m:t>0.39</m:t>
        </m:r>
        <m:r>
          <m:rPr>
            <m:sty m:val="p"/>
          </m:rPr>
          <m:t>%</m:t>
        </m:r>
      </m:oMath>
      <w:r>
        <w:t xml:space="preserve">: duplicate leakage inflated accuracy by 2.6 points and hid three quarters of the errors (RQ3). The audit also revealed near-duplicate images with conflicting labels.</w:t>
      </w:r>
    </w:p>
    <w:p>
      <w:pPr>
        <w:pStyle w:val="BodyText"/>
      </w:pPr>
      <w:r>
        <w:t xml:space="preserve">The uncertainty gate relied mainly on the image stream, the graph operators kept equal weights, and a four-model ablation on the same folds showed that EfficientNet-B3 alone was as accurate as the complete framework (</w:t>
      </w:r>
      <m:oMath>
        <m:r>
          <m:t>96.58</m:t>
        </m:r>
        <m:r>
          <m:rPr>
            <m:sty m:val="p"/>
          </m:rPr>
          <m:t>%</m:t>
        </m:r>
      </m:oMath>
      <w:r>
        <w:t xml:space="preserve"> </w:t>
      </w:r>
      <w:r>
        <w:t xml:space="preserve">against</w:t>
      </w:r>
      <w:r>
        <w:t xml:space="preserve"> </w:t>
      </w:r>
      <m:oMath>
        <m:r>
          <m:t>96.54</m:t>
        </m:r>
        <m:r>
          <m:rPr>
            <m:sty m:val="p"/>
          </m:rPr>
          <m:t>%</m:t>
        </m:r>
      </m:oMath>
      <w:r>
        <w:t xml:space="preserve">), with fewer parameters and no graph construction. On this dataset, the accuracy gained does not justify the added graph stream and fusion modules. Patient-level validation, further ablations, retrained baselines and an independent external test are the necessary next steps before any claim of clinical generalisation.</w:t>
      </w:r>
    </w:p>
    <w:bookmarkEnd w:id="86"/>
    <w:bookmarkStart w:id="89" w:name="data-and-code-availability"/>
    <w:p>
      <w:pPr>
        <w:pStyle w:val="Heading1"/>
      </w:pPr>
      <w:r>
        <w:t xml:space="preserve">Data and Code Availability</w:t>
      </w:r>
    </w:p>
    <w:p>
      <w:pPr>
        <w:pStyle w:val="FirstParagraph"/>
      </w:pPr>
      <w:r>
        <w:t xml:space="preserve">The dataset is publicly available on Mendeley Data, Version 1 (doi:10.17632/zwr4ntf94j.1), under a CC BY 4.0 licence </w:t>
      </w:r>
      <w:hyperlink w:anchor="ref-hira2025mendeley">
        <w:r>
          <w:rPr>
            <w:rStyle w:val="Hyperlink"/>
          </w:rPr>
          <w:t xml:space="preserve">[31]</w:t>
        </w:r>
      </w:hyperlink>
      <w:r>
        <w:t xml:space="preserve">. The unmodified copy used for training is mirrored at</w:t>
      </w:r>
      <w:r>
        <w:t xml:space="preserve"> </w:t>
      </w:r>
      <w:hyperlink r:id="rId87">
        <w:r>
          <w:rPr>
            <w:rStyle w:val="Hyperlink"/>
          </w:rPr>
          <w:t xml:space="preserve">https://www.kaggle.com/datasets/arafatrahmann/my-data221</w:t>
        </w:r>
      </w:hyperlink>
      <w:r>
        <w:t xml:space="preserve">. The training scripts, the duplicate groups and fold assignments, the per-image out-of-fold predictions of both splits and the audit scripts are available at</w:t>
      </w:r>
      <w:r>
        <w:t xml:space="preserve"> </w:t>
      </w:r>
      <w:hyperlink r:id="rId88">
        <w:r>
          <w:rPr>
            <w:rStyle w:val="Hyperlink"/>
          </w:rPr>
          <w:t xml:space="preserve">https://github.com/arafatrahmannoor/Paper-of-brain</w:t>
        </w:r>
      </w:hyperlink>
      <w:r>
        <w:t xml:space="preserve">.</w:t>
      </w:r>
    </w:p>
    <w:bookmarkEnd w:id="89"/>
    <w:bookmarkStart w:id="90" w:name="ethics-statement"/>
    <w:p>
      <w:pPr>
        <w:pStyle w:val="Heading1"/>
      </w:pPr>
      <w:r>
        <w:t xml:space="preserve">Ethics Statement</w:t>
      </w:r>
    </w:p>
    <w:p>
      <w:pPr>
        <w:pStyle w:val="FirstParagraph"/>
      </w:pPr>
      <w:r>
        <w:t xml:space="preserve">This study used only a public, de-identified dataset. No new data were collected and no ethics approval was required.</w:t>
      </w:r>
    </w:p>
    <w:bookmarkEnd w:id="90"/>
    <w:bookmarkStart w:id="91" w:name="acknowledgment"/>
    <w:p>
      <w:pPr>
        <w:pStyle w:val="Heading1"/>
      </w:pPr>
      <w:r>
        <w:t xml:space="preserve">Acknowledgment</w:t>
      </w:r>
    </w:p>
    <w:p>
      <w:pPr>
        <w:pStyle w:val="FirstParagraph"/>
      </w:pPr>
      <w:r>
        <w:rPr>
          <w:iCs/>
          <w:i/>
        </w:rPr>
        <w:t xml:space="preserve">Author contributions:</w:t>
      </w:r>
      <w:r>
        <w:t xml:space="preserve"> </w:t>
      </w:r>
      <w:r>
        <w:t xml:space="preserve">A. Rahman designed and implemented the model, ran the experiments and wrote the manuscript. M. Assaduzzaman supervised the study.</w:t>
      </w:r>
      <w:r>
        <w:t xml:space="preserve"> </w:t>
      </w:r>
      <w:r>
        <w:rPr>
          <w:iCs/>
          <w:i/>
        </w:rPr>
        <w:t xml:space="preserve">Use of AI tools:</w:t>
      </w:r>
      <w:r>
        <w:t xml:space="preserve"> </w:t>
      </w:r>
      <w:r>
        <w:t xml:space="preserve">Claude (Anthropic) was used to help review the training code, write the analysis scripts and edit the language of the manuscript. The authors checked all code, results and text and take full responsibility for the content. [Confirm both statements before submission.]</w:t>
      </w:r>
    </w:p>
    <w:bookmarkEnd w:id="91"/>
    <w:bookmarkStart w:id="150" w:name="bibliography"/>
    <w:p>
      <w:pPr>
        <w:pStyle w:val="Heading1"/>
      </w:pPr>
      <w:r>
        <w:t xml:space="preserve">References</w:t>
      </w:r>
    </w:p>
    <w:bookmarkStart w:id="149" w:name="refs"/>
    <w:bookmarkStart w:id="93" w:name="ref-louis2021who"/>
    <w:p>
      <w:pPr>
        <w:pStyle w:val="Bibliography"/>
      </w:pPr>
      <w:r>
        <w:t xml:space="preserve">[1]</w:t>
      </w:r>
      <w:r>
        <w:t xml:space="preserve"> </w:t>
      </w:r>
      <w:r>
        <w:t xml:space="preserve">	</w:t>
      </w:r>
      <w:r>
        <w:t xml:space="preserve">D. N. Louis, A. Perry, P. Wesseling,</w:t>
      </w:r>
      <w:r>
        <w:t xml:space="preserve"> </w:t>
      </w:r>
      <w:r>
        <w:rPr>
          <w:iCs/>
          <w:i/>
        </w:rPr>
        <w:t xml:space="preserve">et al.</w:t>
      </w:r>
      <w:r>
        <w:t xml:space="preserve">,</w:t>
      </w:r>
      <w:r>
        <w:t xml:space="preserve"> </w:t>
      </w:r>
      <w:r>
        <w:t xml:space="preserve">“The 2021</w:t>
      </w:r>
      <w:r>
        <w:t xml:space="preserve"> </w:t>
      </w:r>
      <w:r>
        <w:t xml:space="preserve">WHO</w:t>
      </w:r>
      <w:r>
        <w:t xml:space="preserve"> </w:t>
      </w:r>
      <w:r>
        <w:t xml:space="preserve">classification of tumors of the central nervous system: A summary,”</w:t>
      </w:r>
      <w:r>
        <w:t xml:space="preserve"> </w:t>
      </w:r>
      <w:r>
        <w:rPr>
          <w:iCs/>
          <w:i/>
        </w:rPr>
        <w:t xml:space="preserve">Neuro-Oncology</w:t>
      </w:r>
      <w:r>
        <w:t xml:space="preserve">, vol. 23, no. 8, pp. 1231–1251, 2021, doi:</w:t>
      </w:r>
      <w:r>
        <w:t xml:space="preserve"> </w:t>
      </w:r>
      <w:hyperlink r:id="rId92">
        <w:r>
          <w:rPr>
            <w:rStyle w:val="Hyperlink"/>
          </w:rPr>
          <w:t xml:space="preserve">10.1093/neuonc/noab106</w:t>
        </w:r>
      </w:hyperlink>
      <w:r>
        <w:t xml:space="preserve">.</w:t>
      </w:r>
    </w:p>
    <w:bookmarkEnd w:id="93"/>
    <w:bookmarkStart w:id="95" w:name="ref-cheng2015enhanced"/>
    <w:p>
      <w:pPr>
        <w:pStyle w:val="Bibliography"/>
      </w:pPr>
      <w:r>
        <w:t xml:space="preserve">[2]</w:t>
      </w:r>
      <w:r>
        <w:t xml:space="preserve"> </w:t>
      </w:r>
      <w:r>
        <w:t xml:space="preserve">	</w:t>
      </w:r>
      <w:r>
        <w:t xml:space="preserve">J. Cheng, W. Huang, S. Cao,</w:t>
      </w:r>
      <w:r>
        <w:t xml:space="preserve"> </w:t>
      </w:r>
      <w:r>
        <w:rPr>
          <w:iCs/>
          <w:i/>
        </w:rPr>
        <w:t xml:space="preserve">et al.</w:t>
      </w:r>
      <w:r>
        <w:t xml:space="preserve">,</w:t>
      </w:r>
      <w:r>
        <w:t xml:space="preserve"> </w:t>
      </w:r>
      <w:r>
        <w:t xml:space="preserve">“Enhanced performance of brain tumor classification via tumor region augmentation and partition,”</w:t>
      </w:r>
      <w:r>
        <w:t xml:space="preserve"> </w:t>
      </w:r>
      <w:r>
        <w:rPr>
          <w:iCs/>
          <w:i/>
        </w:rPr>
        <w:t xml:space="preserve">PLoS ONE</w:t>
      </w:r>
      <w:r>
        <w:t xml:space="preserve">, vol. 10, no. 10, p. e0140381, 2015, doi:</w:t>
      </w:r>
      <w:r>
        <w:t xml:space="preserve"> </w:t>
      </w:r>
      <w:hyperlink r:id="rId94">
        <w:r>
          <w:rPr>
            <w:rStyle w:val="Hyperlink"/>
          </w:rPr>
          <w:t xml:space="preserve">10.1371/journal.pone.0140381</w:t>
        </w:r>
      </w:hyperlink>
      <w:r>
        <w:t xml:space="preserve">.</w:t>
      </w:r>
    </w:p>
    <w:bookmarkEnd w:id="95"/>
    <w:bookmarkStart w:id="97" w:name="ref-deepak2019brain"/>
    <w:p>
      <w:pPr>
        <w:pStyle w:val="Bibliography"/>
      </w:pPr>
      <w:r>
        <w:t xml:space="preserve">[3]</w:t>
      </w:r>
      <w:r>
        <w:t xml:space="preserve"> </w:t>
      </w:r>
      <w:r>
        <w:t xml:space="preserve">	</w:t>
      </w:r>
      <w:r>
        <w:t xml:space="preserve">S. Deepak and P. M. Ameer,</w:t>
      </w:r>
      <w:r>
        <w:t xml:space="preserve"> </w:t>
      </w:r>
      <w:r>
        <w:t xml:space="preserve">“Brain tumor classification using deep</w:t>
      </w:r>
      <w:r>
        <w:t xml:space="preserve"> </w:t>
      </w:r>
      <w:r>
        <w:t xml:space="preserve">CNN</w:t>
      </w:r>
      <w:r>
        <w:t xml:space="preserve"> </w:t>
      </w:r>
      <w:r>
        <w:t xml:space="preserve">features via transfer learning,”</w:t>
      </w:r>
      <w:r>
        <w:t xml:space="preserve"> </w:t>
      </w:r>
      <w:r>
        <w:rPr>
          <w:iCs/>
          <w:i/>
        </w:rPr>
        <w:t xml:space="preserve">Computers in Biology and Medicine</w:t>
      </w:r>
      <w:r>
        <w:t xml:space="preserve">, vol. 111, p. 103345, 2019, doi:</w:t>
      </w:r>
      <w:r>
        <w:t xml:space="preserve"> </w:t>
      </w:r>
      <w:hyperlink r:id="rId96">
        <w:r>
          <w:rPr>
            <w:rStyle w:val="Hyperlink"/>
          </w:rPr>
          <w:t xml:space="preserve">10.1016/j.compbiomed.2019.103345</w:t>
        </w:r>
      </w:hyperlink>
      <w:r>
        <w:t xml:space="preserve">.</w:t>
      </w:r>
    </w:p>
    <w:bookmarkEnd w:id="97"/>
    <w:bookmarkStart w:id="99" w:name="ref-swati2019brain"/>
    <w:p>
      <w:pPr>
        <w:pStyle w:val="Bibliography"/>
      </w:pPr>
      <w:r>
        <w:t xml:space="preserve">[4]</w:t>
      </w:r>
      <w:r>
        <w:t xml:space="preserve"> </w:t>
      </w:r>
      <w:r>
        <w:t xml:space="preserve">	</w:t>
      </w:r>
      <w:r>
        <w:t xml:space="preserve">Z. N. K. Swati, Q. Zhao, M. Kabir,</w:t>
      </w:r>
      <w:r>
        <w:t xml:space="preserve"> </w:t>
      </w:r>
      <w:r>
        <w:rPr>
          <w:iCs/>
          <w:i/>
        </w:rPr>
        <w:t xml:space="preserve">et al.</w:t>
      </w:r>
      <w:r>
        <w:t xml:space="preserve">,</w:t>
      </w:r>
      <w:r>
        <w:t xml:space="preserve"> </w:t>
      </w:r>
      <w:r>
        <w:t xml:space="preserve">“Brain tumor classification for</w:t>
      </w:r>
      <w:r>
        <w:t xml:space="preserve"> </w:t>
      </w:r>
      <w:r>
        <w:t xml:space="preserve">MR</w:t>
      </w:r>
      <w:r>
        <w:t xml:space="preserve"> </w:t>
      </w:r>
      <w:r>
        <w:t xml:space="preserve">images using transfer learning and fine-tuning,”</w:t>
      </w:r>
      <w:r>
        <w:t xml:space="preserve"> </w:t>
      </w:r>
      <w:r>
        <w:rPr>
          <w:iCs/>
          <w:i/>
        </w:rPr>
        <w:t xml:space="preserve">Computerized Medical Imaging and Graphics</w:t>
      </w:r>
      <w:r>
        <w:t xml:space="preserve">, vol. 75, pp. 34–46, 2019, doi:</w:t>
      </w:r>
      <w:r>
        <w:t xml:space="preserve"> </w:t>
      </w:r>
      <w:hyperlink r:id="rId98">
        <w:r>
          <w:rPr>
            <w:rStyle w:val="Hyperlink"/>
          </w:rPr>
          <w:t xml:space="preserve">10.1016/j.compmedimag.2019.05.001</w:t>
        </w:r>
      </w:hyperlink>
      <w:r>
        <w:t xml:space="preserve">.</w:t>
      </w:r>
    </w:p>
    <w:bookmarkEnd w:id="99"/>
    <w:bookmarkStart w:id="101" w:name="ref-badza2020classification"/>
    <w:p>
      <w:pPr>
        <w:pStyle w:val="Bibliography"/>
      </w:pPr>
      <w:r>
        <w:t xml:space="preserve">[5]</w:t>
      </w:r>
      <w:r>
        <w:t xml:space="preserve"> </w:t>
      </w:r>
      <w:r>
        <w:t xml:space="preserve">	</w:t>
      </w:r>
      <w:r>
        <w:t xml:space="preserve">M. M. Badža and M. Č. Barjaktarović,</w:t>
      </w:r>
      <w:r>
        <w:t xml:space="preserve"> </w:t>
      </w:r>
      <w:r>
        <w:t xml:space="preserve">“Classification of brain tumors from</w:t>
      </w:r>
      <w:r>
        <w:t xml:space="preserve"> </w:t>
      </w:r>
      <w:r>
        <w:t xml:space="preserve">MRI</w:t>
      </w:r>
      <w:r>
        <w:t xml:space="preserve"> </w:t>
      </w:r>
      <w:r>
        <w:t xml:space="preserve">images using a convolutional neural network,”</w:t>
      </w:r>
      <w:r>
        <w:t xml:space="preserve"> </w:t>
      </w:r>
      <w:r>
        <w:rPr>
          <w:iCs/>
          <w:i/>
        </w:rPr>
        <w:t xml:space="preserve">Applied Sciences</w:t>
      </w:r>
      <w:r>
        <w:t xml:space="preserve">, vol. 10, no. 6, p. 1999, 2020, doi:</w:t>
      </w:r>
      <w:r>
        <w:t xml:space="preserve"> </w:t>
      </w:r>
      <w:hyperlink r:id="rId100">
        <w:r>
          <w:rPr>
            <w:rStyle w:val="Hyperlink"/>
          </w:rPr>
          <w:t xml:space="preserve">10.3390/app10061999</w:t>
        </w:r>
      </w:hyperlink>
      <w:r>
        <w:t xml:space="preserve">.</w:t>
      </w:r>
    </w:p>
    <w:bookmarkEnd w:id="101"/>
    <w:bookmarkStart w:id="103" w:name="ref-tummala2022classification"/>
    <w:p>
      <w:pPr>
        <w:pStyle w:val="Bibliography"/>
      </w:pPr>
      <w:r>
        <w:t xml:space="preserve">[6]</w:t>
      </w:r>
      <w:r>
        <w:t xml:space="preserve"> </w:t>
      </w:r>
      <w:r>
        <w:t xml:space="preserve">	</w:t>
      </w:r>
      <w:r>
        <w:t xml:space="preserve">S. Tummala, S. Kadry, S. A. C. Bukhari, and H. T. Rauf,</w:t>
      </w:r>
      <w:r>
        <w:t xml:space="preserve"> </w:t>
      </w:r>
      <w:r>
        <w:t xml:space="preserve">“Classification of brain tumor from magnetic resonance imaging using vision transformers ensembling,”</w:t>
      </w:r>
      <w:r>
        <w:t xml:space="preserve"> </w:t>
      </w:r>
      <w:r>
        <w:rPr>
          <w:iCs/>
          <w:i/>
        </w:rPr>
        <w:t xml:space="preserve">Current Oncology</w:t>
      </w:r>
      <w:r>
        <w:t xml:space="preserve">, vol. 29, no. 10, pp. 7498–7511, 2022, doi:</w:t>
      </w:r>
      <w:r>
        <w:t xml:space="preserve"> </w:t>
      </w:r>
      <w:hyperlink r:id="rId102">
        <w:r>
          <w:rPr>
            <w:rStyle w:val="Hyperlink"/>
          </w:rPr>
          <w:t xml:space="preserve">10.3390/curroncol29100590</w:t>
        </w:r>
      </w:hyperlink>
      <w:r>
        <w:t xml:space="preserve">.</w:t>
      </w:r>
    </w:p>
    <w:bookmarkEnd w:id="103"/>
    <w:bookmarkStart w:id="105" w:name="ref-gursoy2024braingcn"/>
    <w:p>
      <w:pPr>
        <w:pStyle w:val="Bibliography"/>
      </w:pPr>
      <w:r>
        <w:t xml:space="preserve">[7]</w:t>
      </w:r>
      <w:r>
        <w:t xml:space="preserve"> </w:t>
      </w:r>
      <w:r>
        <w:t xml:space="preserve">	</w:t>
      </w:r>
      <w:r>
        <w:t xml:space="preserve">E. Gürsoy and Y. Kaya,</w:t>
      </w:r>
      <w:r>
        <w:t xml:space="preserve"> </w:t>
      </w:r>
      <w:r>
        <w:t xml:space="preserve">“</w:t>
      </w:r>
      <w:r>
        <w:t xml:space="preserve">Brain-GCN-Net</w:t>
      </w:r>
      <w:r>
        <w:t xml:space="preserve">: Graph-convolutional neural network for brain tumor identification,”</w:t>
      </w:r>
      <w:r>
        <w:t xml:space="preserve"> </w:t>
      </w:r>
      <w:r>
        <w:rPr>
          <w:iCs/>
          <w:i/>
        </w:rPr>
        <w:t xml:space="preserve">Computers in Biology and Medicine</w:t>
      </w:r>
      <w:r>
        <w:t xml:space="preserve">, vol. 180, p. 108971, 2024, doi:</w:t>
      </w:r>
      <w:r>
        <w:t xml:space="preserve"> </w:t>
      </w:r>
      <w:hyperlink r:id="rId104">
        <w:r>
          <w:rPr>
            <w:rStyle w:val="Hyperlink"/>
          </w:rPr>
          <w:t xml:space="preserve">10.1016/j.compbiomed.2024.108971</w:t>
        </w:r>
      </w:hyperlink>
      <w:r>
        <w:t xml:space="preserve">.</w:t>
      </w:r>
    </w:p>
    <w:bookmarkEnd w:id="105"/>
    <w:bookmarkStart w:id="106" w:name="ref-guo2017calibration"/>
    <w:p>
      <w:pPr>
        <w:pStyle w:val="Bibliography"/>
      </w:pPr>
      <w:r>
        <w:t xml:space="preserve">[8]</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Cs/>
          <w:i/>
        </w:rPr>
        <w:t xml:space="preserve">Proc. 34th int. Conf. Mach. Learn. (ICML)</w:t>
      </w:r>
      <w:r>
        <w:t xml:space="preserve">, in PMLR, vol. 70. 2017, pp. 1321–1330.</w:t>
      </w:r>
    </w:p>
    <w:bookmarkEnd w:id="106"/>
    <w:bookmarkStart w:id="107" w:name="ref-gal2016dropout"/>
    <w:p>
      <w:pPr>
        <w:pStyle w:val="Bibliography"/>
      </w:pPr>
      <w:r>
        <w:t xml:space="preserve">[9]</w:t>
      </w:r>
      <w:r>
        <w:t xml:space="preserve"> </w:t>
      </w:r>
      <w:r>
        <w:t xml:space="preserve">	</w:t>
      </w:r>
      <w:r>
        <w:t xml:space="preserve">Y. Gal and Z. Ghahramani,</w:t>
      </w:r>
      <w:r>
        <w:t xml:space="preserve"> </w:t>
      </w:r>
      <w:r>
        <w:t xml:space="preserve">“Dropout as a</w:t>
      </w:r>
      <w:r>
        <w:t xml:space="preserve"> </w:t>
      </w:r>
      <w:r>
        <w:t xml:space="preserve">Bayesian</w:t>
      </w:r>
      <w:r>
        <w:t xml:space="preserve"> </w:t>
      </w:r>
      <w:r>
        <w:t xml:space="preserve">approximation: Representing model uncertainty in deep learning,”</w:t>
      </w:r>
      <w:r>
        <w:t xml:space="preserve"> </w:t>
      </w:r>
      <w:r>
        <w:t xml:space="preserve">in</w:t>
      </w:r>
      <w:r>
        <w:t xml:space="preserve"> </w:t>
      </w:r>
      <w:r>
        <w:rPr>
          <w:iCs/>
          <w:i/>
        </w:rPr>
        <w:t xml:space="preserve">Proc. 33rd int. Conf. Mach. Learn. (ICML)</w:t>
      </w:r>
      <w:r>
        <w:t xml:space="preserve">, in PMLR, vol. 48. 2016, pp. 1050–1059.</w:t>
      </w:r>
    </w:p>
    <w:bookmarkEnd w:id="107"/>
    <w:bookmarkStart w:id="109" w:name="ref-roberts2021pitfalls"/>
    <w:p>
      <w:pPr>
        <w:pStyle w:val="Bibliography"/>
      </w:pPr>
      <w:r>
        <w:t xml:space="preserve">[10]</w:t>
      </w:r>
      <w:r>
        <w:t xml:space="preserve"> </w:t>
      </w:r>
      <w:r>
        <w:t xml:space="preserve">	</w:t>
      </w:r>
      <w:r>
        <w:t xml:space="preserve">M. Roberts, D. Driggs, M. Thorpe,</w:t>
      </w:r>
      <w:r>
        <w:t xml:space="preserve"> </w:t>
      </w:r>
      <w:r>
        <w:rPr>
          <w:iCs/>
          <w:i/>
        </w:rPr>
        <w:t xml:space="preserve">et al.</w:t>
      </w:r>
      <w:r>
        <w:t xml:space="preserve">,</w:t>
      </w:r>
      <w:r>
        <w:t xml:space="preserve"> </w:t>
      </w:r>
      <w:r>
        <w:t xml:space="preserve">“Common pitfalls and recommendations for using machine learning to detect and prognosticate for</w:t>
      </w:r>
      <w:r>
        <w:t xml:space="preserve"> </w:t>
      </w:r>
      <w:r>
        <w:t xml:space="preserve">COVID-19</w:t>
      </w:r>
      <w:r>
        <w:t xml:space="preserve"> </w:t>
      </w:r>
      <w:r>
        <w:t xml:space="preserve">using chest radiographs and</w:t>
      </w:r>
      <w:r>
        <w:t xml:space="preserve"> </w:t>
      </w:r>
      <w:r>
        <w:t xml:space="preserve">CT</w:t>
      </w:r>
      <w:r>
        <w:t xml:space="preserve"> </w:t>
      </w:r>
      <w:r>
        <w:t xml:space="preserve">scans,”</w:t>
      </w:r>
      <w:r>
        <w:t xml:space="preserve"> </w:t>
      </w:r>
      <w:r>
        <w:rPr>
          <w:iCs/>
          <w:i/>
        </w:rPr>
        <w:t xml:space="preserve">Nature Machine Intelligence</w:t>
      </w:r>
      <w:r>
        <w:t xml:space="preserve">, vol. 3, pp. 199–217, 2021, doi:</w:t>
      </w:r>
      <w:r>
        <w:t xml:space="preserve"> </w:t>
      </w:r>
      <w:hyperlink r:id="rId108">
        <w:r>
          <w:rPr>
            <w:rStyle w:val="Hyperlink"/>
          </w:rPr>
          <w:t xml:space="preserve">10.1038/s42256-021-00307-0</w:t>
        </w:r>
      </w:hyperlink>
      <w:r>
        <w:t xml:space="preserve">.</w:t>
      </w:r>
    </w:p>
    <w:bookmarkEnd w:id="109"/>
    <w:bookmarkStart w:id="111" w:name="ref-varoquaux2022failures"/>
    <w:p>
      <w:pPr>
        <w:pStyle w:val="Bibliography"/>
      </w:pPr>
      <w:r>
        <w:t xml:space="preserve">[11]</w:t>
      </w:r>
      <w:r>
        <w:t xml:space="preserve"> </w:t>
      </w:r>
      <w:r>
        <w:t xml:space="preserve">	</w:t>
      </w:r>
      <w:r>
        <w:t xml:space="preserve">G. Varoquaux and V. Cheplygina,</w:t>
      </w:r>
      <w:r>
        <w:t xml:space="preserve"> </w:t>
      </w:r>
      <w:r>
        <w:t xml:space="preserve">“Machine learning for medical imaging: Methodological failures and recommendations for the future,”</w:t>
      </w:r>
      <w:r>
        <w:t xml:space="preserve"> </w:t>
      </w:r>
      <w:r>
        <w:rPr>
          <w:iCs/>
          <w:i/>
        </w:rPr>
        <w:t xml:space="preserve">npj Digital Medicine</w:t>
      </w:r>
      <w:r>
        <w:t xml:space="preserve">, vol. 5, p. 48, 2022, doi:</w:t>
      </w:r>
      <w:r>
        <w:t xml:space="preserve"> </w:t>
      </w:r>
      <w:hyperlink r:id="rId110">
        <w:r>
          <w:rPr>
            <w:rStyle w:val="Hyperlink"/>
          </w:rPr>
          <w:t xml:space="preserve">10.1038/s41746-022-00592-y</w:t>
        </w:r>
      </w:hyperlink>
      <w:r>
        <w:t xml:space="preserve">.</w:t>
      </w:r>
    </w:p>
    <w:bookmarkEnd w:id="111"/>
    <w:bookmarkStart w:id="113" w:name="ref-kapoor2023leakage"/>
    <w:p>
      <w:pPr>
        <w:pStyle w:val="Bibliography"/>
      </w:pPr>
      <w:r>
        <w:t xml:space="preserve">[12]</w:t>
      </w:r>
      <w:r>
        <w:t xml:space="preserve"> </w:t>
      </w:r>
      <w:r>
        <w:t xml:space="preserve">	</w:t>
      </w:r>
      <w:r>
        <w:t xml:space="preserve">S. Kapoor and A. Narayanan,</w:t>
      </w:r>
      <w:r>
        <w:t xml:space="preserve"> </w:t>
      </w:r>
      <w:r>
        <w:t xml:space="preserve">“Leakage and the reproducibility crisis in machine-learning-based science,”</w:t>
      </w:r>
      <w:r>
        <w:t xml:space="preserve"> </w:t>
      </w:r>
      <w:r>
        <w:rPr>
          <w:iCs/>
          <w:i/>
        </w:rPr>
        <w:t xml:space="preserve">Patterns</w:t>
      </w:r>
      <w:r>
        <w:t xml:space="preserve">, vol. 4, no. 9, p. 100804, 2023, doi:</w:t>
      </w:r>
      <w:r>
        <w:t xml:space="preserve"> </w:t>
      </w:r>
      <w:hyperlink r:id="rId112">
        <w:r>
          <w:rPr>
            <w:rStyle w:val="Hyperlink"/>
          </w:rPr>
          <w:t xml:space="preserve">10.1016/j.patter.2023.100804</w:t>
        </w:r>
      </w:hyperlink>
      <w:r>
        <w:t xml:space="preserve">.</w:t>
      </w:r>
    </w:p>
    <w:bookmarkEnd w:id="113"/>
    <w:bookmarkStart w:id="115" w:name="ref-wen2020alzheimer"/>
    <w:p>
      <w:pPr>
        <w:pStyle w:val="Bibliography"/>
      </w:pPr>
      <w:r>
        <w:t xml:space="preserve">[13]</w:t>
      </w:r>
      <w:r>
        <w:t xml:space="preserve"> </w:t>
      </w:r>
      <w:r>
        <w:t xml:space="preserve">	</w:t>
      </w:r>
      <w:r>
        <w:t xml:space="preserve">J. Wen, E. Thibeau-Sutre, M. Diaz-Melo,</w:t>
      </w:r>
      <w:r>
        <w:t xml:space="preserve"> </w:t>
      </w:r>
      <w:r>
        <w:rPr>
          <w:iCs/>
          <w:i/>
        </w:rPr>
        <w:t xml:space="preserve">et al.</w:t>
      </w:r>
      <w:r>
        <w:t xml:space="preserve">,</w:t>
      </w:r>
      <w:r>
        <w:t xml:space="preserve"> </w:t>
      </w:r>
      <w:r>
        <w:t xml:space="preserve">“Convolutional neural networks for classification of</w:t>
      </w:r>
      <w:r>
        <w:t xml:space="preserve"> </w:t>
      </w:r>
      <w:r>
        <w:t xml:space="preserve">Alzheimer’s</w:t>
      </w:r>
      <w:r>
        <w:t xml:space="preserve"> </w:t>
      </w:r>
      <w:r>
        <w:t xml:space="preserve">disease: Overview and reproducible evaluation,”</w:t>
      </w:r>
      <w:r>
        <w:t xml:space="preserve"> </w:t>
      </w:r>
      <w:r>
        <w:rPr>
          <w:iCs/>
          <w:i/>
        </w:rPr>
        <w:t xml:space="preserve">Medical Image Analysis</w:t>
      </w:r>
      <w:r>
        <w:t xml:space="preserve">, vol. 63, p. 101694, 2020, doi:</w:t>
      </w:r>
      <w:r>
        <w:t xml:space="preserve"> </w:t>
      </w:r>
      <w:hyperlink r:id="rId114">
        <w:r>
          <w:rPr>
            <w:rStyle w:val="Hyperlink"/>
          </w:rPr>
          <w:t xml:space="preserve">10.1016/j.media.2020.101694</w:t>
        </w:r>
      </w:hyperlink>
      <w:r>
        <w:t xml:space="preserve">.</w:t>
      </w:r>
    </w:p>
    <w:bookmarkEnd w:id="115"/>
    <w:bookmarkStart w:id="116" w:name="ref-tan2019efficientnet"/>
    <w:p>
      <w:pPr>
        <w:pStyle w:val="Bibliography"/>
      </w:pPr>
      <w:r>
        <w:t xml:space="preserve">[14]</w:t>
      </w:r>
      <w:r>
        <w:t xml:space="preserve"> </w:t>
      </w:r>
      <w:r>
        <w:t xml:space="preserve">	</w:t>
      </w:r>
      <w:r>
        <w:t xml:space="preserve">M. Tan and Q. V. Le,</w:t>
      </w:r>
      <w:r>
        <w:t xml:space="preserve"> </w:t>
      </w:r>
      <w:r>
        <w:t xml:space="preserve">“</w:t>
      </w:r>
      <w:r>
        <w:t xml:space="preserve">EfficientNet</w:t>
      </w:r>
      <w:r>
        <w:t xml:space="preserve">: Rethinking model scaling for convolutional neural networks,”</w:t>
      </w:r>
      <w:r>
        <w:t xml:space="preserve"> </w:t>
      </w:r>
      <w:r>
        <w:t xml:space="preserve">in</w:t>
      </w:r>
      <w:r>
        <w:t xml:space="preserve"> </w:t>
      </w:r>
      <w:r>
        <w:rPr>
          <w:iCs/>
          <w:i/>
        </w:rPr>
        <w:t xml:space="preserve">Proc. 36th int. Conf. Mach. Learn. (ICML)</w:t>
      </w:r>
      <w:r>
        <w:t xml:space="preserve">, in PMLR, vol. 97. 2019, pp. 6105–6114.</w:t>
      </w:r>
    </w:p>
    <w:bookmarkEnd w:id="116"/>
    <w:bookmarkStart w:id="117" w:name="ref-dosovitskiy2021vit"/>
    <w:p>
      <w:pPr>
        <w:pStyle w:val="Bibliography"/>
      </w:pPr>
      <w:r>
        <w:t xml:space="preserve">[15]</w:t>
      </w:r>
      <w:r>
        <w:t xml:space="preserve"> </w:t>
      </w:r>
      <w:r>
        <w:t xml:space="preserve">	</w:t>
      </w:r>
      <w:r>
        <w:t xml:space="preserve">A. Dosovitskiy, L. Beyer, A. Kolesnikov,</w:t>
      </w:r>
      <w:r>
        <w:t xml:space="preserve"> </w:t>
      </w:r>
      <w:r>
        <w:rPr>
          <w:iCs/>
          <w:i/>
        </w:rPr>
        <w:t xml:space="preserve">et al.</w:t>
      </w:r>
      <w:r>
        <w:t xml:space="preserve">,</w:t>
      </w:r>
      <w:r>
        <w:t xml:space="preserve"> </w:t>
      </w:r>
      <w:r>
        <w:t xml:space="preserve">“An image is worth 16x16 words: Transformers for image recognition at scale,”</w:t>
      </w:r>
      <w:r>
        <w:t xml:space="preserve"> </w:t>
      </w:r>
      <w:r>
        <w:t xml:space="preserve">in</w:t>
      </w:r>
      <w:r>
        <w:t xml:space="preserve"> </w:t>
      </w:r>
      <w:r>
        <w:rPr>
          <w:iCs/>
          <w:i/>
        </w:rPr>
        <w:t xml:space="preserve">Proc. Int. Conf. Learn. Represent. (ICLR)</w:t>
      </w:r>
      <w:r>
        <w:t xml:space="preserve">, 2021.</w:t>
      </w:r>
    </w:p>
    <w:bookmarkEnd w:id="117"/>
    <w:bookmarkStart w:id="118" w:name="ref-kipf2017gcn"/>
    <w:p>
      <w:pPr>
        <w:pStyle w:val="Bibliography"/>
      </w:pPr>
      <w:r>
        <w:t xml:space="preserve">[16]</w:t>
      </w:r>
      <w:r>
        <w:t xml:space="preserve"> </w:t>
      </w:r>
      <w:r>
        <w:t xml:space="preserve">	</w:t>
      </w:r>
      <w:r>
        <w:t xml:space="preserve">T. N. Kipf and M. Welling,</w:t>
      </w:r>
      <w:r>
        <w:t xml:space="preserve"> </w:t>
      </w:r>
      <w:r>
        <w:t xml:space="preserve">“Semi-supervised classification with graph convolutional networks,”</w:t>
      </w:r>
      <w:r>
        <w:t xml:space="preserve"> </w:t>
      </w:r>
      <w:r>
        <w:t xml:space="preserve">in</w:t>
      </w:r>
      <w:r>
        <w:t xml:space="preserve"> </w:t>
      </w:r>
      <w:r>
        <w:rPr>
          <w:iCs/>
          <w:i/>
        </w:rPr>
        <w:t xml:space="preserve">Proc. Int. Conf. Learn. Represent. (ICLR)</w:t>
      </w:r>
      <w:r>
        <w:t xml:space="preserve">, 2017.</w:t>
      </w:r>
    </w:p>
    <w:bookmarkEnd w:id="118"/>
    <w:bookmarkStart w:id="119" w:name="ref-velickovic2018gat"/>
    <w:p>
      <w:pPr>
        <w:pStyle w:val="Bibliography"/>
      </w:pPr>
      <w:r>
        <w:t xml:space="preserve">[17]</w:t>
      </w:r>
      <w:r>
        <w:t xml:space="preserve"> </w:t>
      </w:r>
      <w:r>
        <w:t xml:space="preserve">	</w:t>
      </w:r>
      <w:r>
        <w:t xml:space="preserve">P. Veličković, G. Cucurull, A. Casanova, A. Romero, P. Liò, and Y. Bengio,</w:t>
      </w:r>
      <w:r>
        <w:t xml:space="preserve"> </w:t>
      </w:r>
      <w:r>
        <w:t xml:space="preserve">“Graph attention networks,”</w:t>
      </w:r>
      <w:r>
        <w:t xml:space="preserve"> </w:t>
      </w:r>
      <w:r>
        <w:t xml:space="preserve">in</w:t>
      </w:r>
      <w:r>
        <w:t xml:space="preserve"> </w:t>
      </w:r>
      <w:r>
        <w:rPr>
          <w:iCs/>
          <w:i/>
        </w:rPr>
        <w:t xml:space="preserve">Proc. Int. Conf. Learn. Represent. (ICLR)</w:t>
      </w:r>
      <w:r>
        <w:t xml:space="preserve">, 2018.</w:t>
      </w:r>
    </w:p>
    <w:bookmarkEnd w:id="119"/>
    <w:bookmarkStart w:id="120" w:name="ref-shi2021masked"/>
    <w:p>
      <w:pPr>
        <w:pStyle w:val="Bibliography"/>
      </w:pPr>
      <w:r>
        <w:t xml:space="preserve">[18]</w:t>
      </w:r>
      <w:r>
        <w:t xml:space="preserve"> </w:t>
      </w:r>
      <w:r>
        <w:t xml:space="preserve">	</w:t>
      </w:r>
      <w:r>
        <w:t xml:space="preserve">Y. Shi, Z. Huang, S. Feng, H. Zhong, W. Wang, and Y. Sun,</w:t>
      </w:r>
      <w:r>
        <w:t xml:space="preserve"> </w:t>
      </w:r>
      <w:r>
        <w:t xml:space="preserve">“Masked label prediction: Unified message passing model for semi-supervised classification,”</w:t>
      </w:r>
      <w:r>
        <w:t xml:space="preserve"> </w:t>
      </w:r>
      <w:r>
        <w:t xml:space="preserve">in</w:t>
      </w:r>
      <w:r>
        <w:t xml:space="preserve"> </w:t>
      </w:r>
      <w:r>
        <w:rPr>
          <w:iCs/>
          <w:i/>
        </w:rPr>
        <w:t xml:space="preserve">Proc. 30th int. Joint conf. Artif. Intell. (IJCAI)</w:t>
      </w:r>
      <w:r>
        <w:t xml:space="preserve">, 2021, pp. 1548–1554.</w:t>
      </w:r>
    </w:p>
    <w:bookmarkEnd w:id="120"/>
    <w:bookmarkStart w:id="121" w:name="ref-hu2018senet"/>
    <w:p>
      <w:pPr>
        <w:pStyle w:val="Bibliography"/>
      </w:pPr>
      <w:r>
        <w:t xml:space="preserve">[19]</w:t>
      </w:r>
      <w:r>
        <w:t xml:space="preserve"> </w:t>
      </w:r>
      <w:r>
        <w:t xml:space="preserve">	</w:t>
      </w:r>
      <w:r>
        <w:t xml:space="preserve">J. Hu, L. Shen, and G. Sun,</w:t>
      </w:r>
      <w:r>
        <w:t xml:space="preserve"> </w:t>
      </w:r>
      <w:r>
        <w:t xml:space="preserve">“Squeeze-and-excitation networks,”</w:t>
      </w:r>
      <w:r>
        <w:t xml:space="preserve"> </w:t>
      </w:r>
      <w:r>
        <w:t xml:space="preserve">in</w:t>
      </w:r>
      <w:r>
        <w:t xml:space="preserve"> </w:t>
      </w:r>
      <w:r>
        <w:rPr>
          <w:iCs/>
          <w:i/>
        </w:rPr>
        <w:t xml:space="preserve">Proc. IEEE/CVF conf. Comput. Vis. Pattern recognit. (CVPR)</w:t>
      </w:r>
      <w:r>
        <w:t xml:space="preserve">, 2018, pp. 7132–7141.</w:t>
      </w:r>
    </w:p>
    <w:bookmarkEnd w:id="121"/>
    <w:bookmarkStart w:id="122" w:name="ref-vaswani2017attention"/>
    <w:p>
      <w:pPr>
        <w:pStyle w:val="Bibliography"/>
      </w:pPr>
      <w:r>
        <w:t xml:space="preserve">[20]</w:t>
      </w:r>
      <w:r>
        <w:t xml:space="preserve"> </w:t>
      </w:r>
      <w:r>
        <w:t xml:space="preserve">	</w:t>
      </w:r>
      <w:r>
        <w:t xml:space="preserve">A. Vaswani, N. Shazeer, N. Parmar,</w:t>
      </w:r>
      <w:r>
        <w:t xml:space="preserve"> </w:t>
      </w:r>
      <w:r>
        <w:rPr>
          <w:iCs/>
          <w:i/>
        </w:rPr>
        <w:t xml:space="preserve">et al.</w:t>
      </w:r>
      <w:r>
        <w:t xml:space="preserve">,</w:t>
      </w:r>
      <w:r>
        <w:t xml:space="preserve"> </w:t>
      </w:r>
      <w:r>
        <w:t xml:space="preserve">“Attention is all you need,”</w:t>
      </w:r>
      <w:r>
        <w:t xml:space="preserve"> </w:t>
      </w:r>
      <w:r>
        <w:t xml:space="preserve">in</w:t>
      </w:r>
      <w:r>
        <w:t xml:space="preserve"> </w:t>
      </w:r>
      <w:r>
        <w:rPr>
          <w:iCs/>
          <w:i/>
        </w:rPr>
        <w:t xml:space="preserve">Adv. Neural inf. Process. Syst. (NeurIPS)</w:t>
      </w:r>
      <w:r>
        <w:t xml:space="preserve">, 2017.</w:t>
      </w:r>
    </w:p>
    <w:bookmarkEnd w:id="122"/>
    <w:bookmarkStart w:id="123" w:name="ref-kendall2017uncertainties"/>
    <w:p>
      <w:pPr>
        <w:pStyle w:val="Bibliography"/>
      </w:pPr>
      <w:r>
        <w:t xml:space="preserve">[21]</w:t>
      </w:r>
      <w:r>
        <w:t xml:space="preserve"> </w:t>
      </w:r>
      <w:r>
        <w:t xml:space="preserve">	</w:t>
      </w:r>
      <w:r>
        <w:t xml:space="preserve">A. Kendall and Y. Gal,</w:t>
      </w:r>
      <w:r>
        <w:t xml:space="preserve"> </w:t>
      </w:r>
      <w:r>
        <w:t xml:space="preserve">“What uncertainties do we need in</w:t>
      </w:r>
      <w:r>
        <w:t xml:space="preserve"> </w:t>
      </w:r>
      <w:r>
        <w:t xml:space="preserve">Bayesian</w:t>
      </w:r>
      <w:r>
        <w:t xml:space="preserve"> </w:t>
      </w:r>
      <w:r>
        <w:t xml:space="preserve">deep learning for computer vision?”</w:t>
      </w:r>
      <w:r>
        <w:t xml:space="preserve"> </w:t>
      </w:r>
      <w:r>
        <w:t xml:space="preserve">in</w:t>
      </w:r>
      <w:r>
        <w:t xml:space="preserve"> </w:t>
      </w:r>
      <w:r>
        <w:rPr>
          <w:iCs/>
          <w:i/>
        </w:rPr>
        <w:t xml:space="preserve">Adv. Neural inf. Process. Syst. (NeurIPS)</w:t>
      </w:r>
      <w:r>
        <w:t xml:space="preserve">, 2017.</w:t>
      </w:r>
    </w:p>
    <w:bookmarkEnd w:id="123"/>
    <w:bookmarkStart w:id="125" w:name="ref-wang2019tta"/>
    <w:p>
      <w:pPr>
        <w:pStyle w:val="Bibliography"/>
      </w:pPr>
      <w:r>
        <w:t xml:space="preserve">[22]</w:t>
      </w:r>
      <w:r>
        <w:t xml:space="preserve"> </w:t>
      </w:r>
      <w:r>
        <w:t xml:space="preserve">	</w:t>
      </w:r>
      <w:r>
        <w:t xml:space="preserve">G. Wang, W. Li, M. Aertsen, J. Deprest, S. Ourselin, and T. Vercauteren,</w:t>
      </w:r>
      <w:r>
        <w:t xml:space="preserve"> </w:t>
      </w:r>
      <w:r>
        <w:t xml:space="preserve">“Aleatoric uncertainty estimation with test-time augmentation for medical image segmentation with convolutional neural networks,”</w:t>
      </w:r>
      <w:r>
        <w:t xml:space="preserve"> </w:t>
      </w:r>
      <w:r>
        <w:rPr>
          <w:iCs/>
          <w:i/>
        </w:rPr>
        <w:t xml:space="preserve">Neurocomputing</w:t>
      </w:r>
      <w:r>
        <w:t xml:space="preserve">, vol. 338, pp. 34–45, 2019, doi:</w:t>
      </w:r>
      <w:r>
        <w:t xml:space="preserve"> </w:t>
      </w:r>
      <w:hyperlink r:id="rId124">
        <w:r>
          <w:rPr>
            <w:rStyle w:val="Hyperlink"/>
          </w:rPr>
          <w:t xml:space="preserve">10.1016/j.neucom.2019.01.103</w:t>
        </w:r>
      </w:hyperlink>
      <w:r>
        <w:t xml:space="preserve">.</w:t>
      </w:r>
    </w:p>
    <w:bookmarkEnd w:id="125"/>
    <w:bookmarkStart w:id="126" w:name="ref-naeini2015bbq"/>
    <w:p>
      <w:pPr>
        <w:pStyle w:val="Bibliography"/>
      </w:pPr>
      <w:r>
        <w:t xml:space="preserve">[23]</w:t>
      </w:r>
      <w:r>
        <w:t xml:space="preserve"> </w:t>
      </w:r>
      <w:r>
        <w:t xml:space="preserve">	</w:t>
      </w:r>
      <w:r>
        <w:t xml:space="preserve">M. P. Naeini, G. F. Cooper, and M. Hauskrecht,</w:t>
      </w:r>
      <w:r>
        <w:t xml:space="preserve"> </w:t>
      </w:r>
      <w:r>
        <w:t xml:space="preserve">“Obtaining well calibrated probabilities using</w:t>
      </w:r>
      <w:r>
        <w:t xml:space="preserve"> </w:t>
      </w:r>
      <w:r>
        <w:t xml:space="preserve">Bayesian</w:t>
      </w:r>
      <w:r>
        <w:t xml:space="preserve"> </w:t>
      </w:r>
      <w:r>
        <w:t xml:space="preserve">binning,”</w:t>
      </w:r>
      <w:r>
        <w:t xml:space="preserve"> </w:t>
      </w:r>
      <w:r>
        <w:t xml:space="preserve">in</w:t>
      </w:r>
      <w:r>
        <w:t xml:space="preserve"> </w:t>
      </w:r>
      <w:r>
        <w:rPr>
          <w:iCs/>
          <w:i/>
        </w:rPr>
        <w:t xml:space="preserve">Proc. 29th AAAI conf. Artif. intell.</w:t>
      </w:r>
      <w:r>
        <w:t xml:space="preserve">, 2015, pp. 2901–2907.</w:t>
      </w:r>
    </w:p>
    <w:bookmarkEnd w:id="126"/>
    <w:bookmarkStart w:id="127" w:name="ref-brier1950verification"/>
    <w:p>
      <w:pPr>
        <w:pStyle w:val="Bibliography"/>
      </w:pPr>
      <w:r>
        <w:t xml:space="preserve">[24]</w:t>
      </w:r>
      <w:r>
        <w:t xml:space="preserve"> </w:t>
      </w:r>
      <w:r>
        <w:t xml:space="preserve">	</w:t>
      </w:r>
      <w:r>
        <w:t xml:space="preserve">G. W. Brier,</w:t>
      </w:r>
      <w:r>
        <w:t xml:space="preserve"> </w:t>
      </w:r>
      <w:r>
        <w:t xml:space="preserve">“Verification of forecasts expressed in terms of probability,”</w:t>
      </w:r>
      <w:r>
        <w:t xml:space="preserve"> </w:t>
      </w:r>
      <w:r>
        <w:rPr>
          <w:iCs/>
          <w:i/>
        </w:rPr>
        <w:t xml:space="preserve">Monthly Weather Review</w:t>
      </w:r>
      <w:r>
        <w:t xml:space="preserve">, vol. 78, no. 1, pp. 1–3, 1950.</w:t>
      </w:r>
    </w:p>
    <w:bookmarkEnd w:id="127"/>
    <w:bookmarkStart w:id="128" w:name="ref-szegedy2016inception"/>
    <w:p>
      <w:pPr>
        <w:pStyle w:val="Bibliography"/>
      </w:pPr>
      <w:r>
        <w:t xml:space="preserve">[25]</w:t>
      </w:r>
      <w:r>
        <w:t xml:space="preserve"> </w:t>
      </w:r>
      <w:r>
        <w:t xml:space="preserve">	</w:t>
      </w:r>
      <w:r>
        <w:t xml:space="preserve">C. Szegedy, V. Vanhoucke, S. Ioffe, J. Shlens, and Z. Wojna,</w:t>
      </w:r>
      <w:r>
        <w:t xml:space="preserve"> </w:t>
      </w:r>
      <w:r>
        <w:t xml:space="preserve">“Rethinking the</w:t>
      </w:r>
      <w:r>
        <w:t xml:space="preserve"> </w:t>
      </w:r>
      <w:r>
        <w:t xml:space="preserve">Inception</w:t>
      </w:r>
      <w:r>
        <w:t xml:space="preserve"> </w:t>
      </w:r>
      <w:r>
        <w:t xml:space="preserve">architecture for computer vision,”</w:t>
      </w:r>
      <w:r>
        <w:t xml:space="preserve"> </w:t>
      </w:r>
      <w:r>
        <w:t xml:space="preserve">in</w:t>
      </w:r>
      <w:r>
        <w:t xml:space="preserve"> </w:t>
      </w:r>
      <w:r>
        <w:rPr>
          <w:iCs/>
          <w:i/>
        </w:rPr>
        <w:t xml:space="preserve">Proc. IEEE conf. Comput. Vis. Pattern recognit. (CVPR)</w:t>
      </w:r>
      <w:r>
        <w:t xml:space="preserve">, 2016, pp. 2818–2826.</w:t>
      </w:r>
    </w:p>
    <w:bookmarkEnd w:id="128"/>
    <w:bookmarkStart w:id="129" w:name="ref-muller2019labelsmoothing"/>
    <w:p>
      <w:pPr>
        <w:pStyle w:val="Bibliography"/>
      </w:pPr>
      <w:r>
        <w:t xml:space="preserve">[26]</w:t>
      </w:r>
      <w:r>
        <w:t xml:space="preserve"> </w:t>
      </w:r>
      <w:r>
        <w:t xml:space="preserve">	</w:t>
      </w:r>
      <w:r>
        <w:t xml:space="preserve">R. Müller, S. Kornblith, and G. Hinton,</w:t>
      </w:r>
      <w:r>
        <w:t xml:space="preserve"> </w:t>
      </w:r>
      <w:r>
        <w:t xml:space="preserve">“When does label smoothing help?”</w:t>
      </w:r>
      <w:r>
        <w:t xml:space="preserve"> </w:t>
      </w:r>
      <w:r>
        <w:t xml:space="preserve">in</w:t>
      </w:r>
      <w:r>
        <w:t xml:space="preserve"> </w:t>
      </w:r>
      <w:r>
        <w:rPr>
          <w:iCs/>
          <w:i/>
        </w:rPr>
        <w:t xml:space="preserve">Adv. Neural inf. Process. Syst. (NeurIPS)</w:t>
      </w:r>
      <w:r>
        <w:t xml:space="preserve">, 2019.</w:t>
      </w:r>
    </w:p>
    <w:bookmarkEnd w:id="129"/>
    <w:bookmarkStart w:id="130" w:name="ref-ovadia2019trust"/>
    <w:p>
      <w:pPr>
        <w:pStyle w:val="Bibliography"/>
      </w:pPr>
      <w:r>
        <w:t xml:space="preserve">[27]</w:t>
      </w:r>
      <w:r>
        <w:t xml:space="preserve"> </w:t>
      </w:r>
      <w:r>
        <w:t xml:space="preserve">	</w:t>
      </w:r>
      <w:r>
        <w:t xml:space="preserve">Y. Ovadia, E. Fertig, J. Ren,</w:t>
      </w:r>
      <w:r>
        <w:t xml:space="preserve"> </w:t>
      </w:r>
      <w:r>
        <w:rPr>
          <w:iCs/>
          <w:i/>
        </w:rPr>
        <w:t xml:space="preserve">et al.</w:t>
      </w:r>
      <w:r>
        <w:t xml:space="preserve">,</w:t>
      </w:r>
      <w:r>
        <w:t xml:space="preserve"> </w:t>
      </w:r>
      <w:r>
        <w:t xml:space="preserve">“Can you trust your model’s uncertainty?</w:t>
      </w:r>
      <w:r>
        <w:t xml:space="preserve"> </w:t>
      </w:r>
      <w:r>
        <w:t xml:space="preserve">Evaluating</w:t>
      </w:r>
      <w:r>
        <w:t xml:space="preserve"> </w:t>
      </w:r>
      <w:r>
        <w:t xml:space="preserve">predictive uncertainty under dataset shift,”</w:t>
      </w:r>
      <w:r>
        <w:t xml:space="preserve"> </w:t>
      </w:r>
      <w:r>
        <w:t xml:space="preserve">in</w:t>
      </w:r>
      <w:r>
        <w:t xml:space="preserve"> </w:t>
      </w:r>
      <w:r>
        <w:rPr>
          <w:iCs/>
          <w:i/>
        </w:rPr>
        <w:t xml:space="preserve">Adv. Neural inf. Process. Syst. (NeurIPS)</w:t>
      </w:r>
      <w:r>
        <w:t xml:space="preserve">, 2019.</w:t>
      </w:r>
    </w:p>
    <w:bookmarkEnd w:id="130"/>
    <w:bookmarkStart w:id="132" w:name="ref-nickparvar2021kaggle"/>
    <w:p>
      <w:pPr>
        <w:pStyle w:val="Bibliography"/>
      </w:pPr>
      <w:r>
        <w:t xml:space="preserve">[28]</w:t>
      </w:r>
      <w:r>
        <w:t xml:space="preserve"> </w:t>
      </w:r>
      <w:r>
        <w:t xml:space="preserve">	</w:t>
      </w:r>
      <w:r>
        <w:t xml:space="preserve">M. Nickparvar,</w:t>
      </w:r>
      <w:r>
        <w:t xml:space="preserve"> </w:t>
      </w:r>
      <w:r>
        <w:t xml:space="preserve">“Brain tumor</w:t>
      </w:r>
      <w:r>
        <w:t xml:space="preserve"> </w:t>
      </w:r>
      <w:r>
        <w:t xml:space="preserve">MRI</w:t>
      </w:r>
      <w:r>
        <w:t xml:space="preserve"> </w:t>
      </w:r>
      <w:r>
        <w:t xml:space="preserve">dataset.”</w:t>
      </w:r>
      <w:r>
        <w:t xml:space="preserve"> </w:t>
      </w:r>
      <w:r>
        <w:t xml:space="preserve">Kaggle, 2021. Available:</w:t>
      </w:r>
      <w:r>
        <w:t xml:space="preserve"> </w:t>
      </w:r>
      <w:hyperlink r:id="rId131">
        <w:r>
          <w:rPr>
            <w:rStyle w:val="Hyperlink"/>
          </w:rPr>
          <w:t xml:space="preserve">https://www.kaggle.com/datasets/masoudnickparvar/brain-tumor-mri-dataset</w:t>
        </w:r>
      </w:hyperlink>
    </w:p>
    <w:bookmarkEnd w:id="132"/>
    <w:bookmarkStart w:id="134" w:name="ref-bhuvaji2020kaggle"/>
    <w:p>
      <w:pPr>
        <w:pStyle w:val="Bibliography"/>
      </w:pPr>
      <w:r>
        <w:t xml:space="preserve">[29]</w:t>
      </w:r>
      <w:r>
        <w:t xml:space="preserve"> </w:t>
      </w:r>
      <w:r>
        <w:t xml:space="preserve">	</w:t>
      </w:r>
      <w:r>
        <w:t xml:space="preserve">S. Bhuvaji, A. Kadam, P. Bhumkar, S. Dedge, and S. Kanchan,</w:t>
      </w:r>
      <w:r>
        <w:t xml:space="preserve"> </w:t>
      </w:r>
      <w:r>
        <w:t xml:space="preserve">“Brain tumor classification (</w:t>
      </w:r>
      <w:r>
        <w:t xml:space="preserve">MRI</w:t>
      </w:r>
      <w:r>
        <w:t xml:space="preserve">).”</w:t>
      </w:r>
      <w:r>
        <w:t xml:space="preserve"> </w:t>
      </w:r>
      <w:r>
        <w:t xml:space="preserve">Kaggle, 2020. doi:</w:t>
      </w:r>
      <w:r>
        <w:t xml:space="preserve"> </w:t>
      </w:r>
      <w:hyperlink r:id="rId133">
        <w:r>
          <w:rPr>
            <w:rStyle w:val="Hyperlink"/>
          </w:rPr>
          <w:t xml:space="preserve">10.34740/KAGGLE/DSV/1183165</w:t>
        </w:r>
      </w:hyperlink>
      <w:r>
        <w:t xml:space="preserve">.</w:t>
      </w:r>
    </w:p>
    <w:bookmarkEnd w:id="134"/>
    <w:bookmarkStart w:id="136" w:name="ref-chaki2023dataport"/>
    <w:p>
      <w:pPr>
        <w:pStyle w:val="Bibliography"/>
      </w:pPr>
      <w:r>
        <w:t xml:space="preserve">[30]</w:t>
      </w:r>
      <w:r>
        <w:t xml:space="preserve"> </w:t>
      </w:r>
      <w:r>
        <w:t xml:space="preserve">	</w:t>
      </w:r>
      <w:r>
        <w:t xml:space="preserve">J. Chaki,</w:t>
      </w:r>
      <w:r>
        <w:t xml:space="preserve"> </w:t>
      </w:r>
      <w:r>
        <w:t xml:space="preserve">“Brain tumor</w:t>
      </w:r>
      <w:r>
        <w:t xml:space="preserve"> </w:t>
      </w:r>
      <w:r>
        <w:t xml:space="preserve">MRI</w:t>
      </w:r>
      <w:r>
        <w:t xml:space="preserve"> </w:t>
      </w:r>
      <w:r>
        <w:t xml:space="preserve">dataset.”</w:t>
      </w:r>
      <w:r>
        <w:t xml:space="preserve"> </w:t>
      </w:r>
      <w:r>
        <w:t xml:space="preserve">IEEE DataPort (mirror of the Kaggle dataset by M. Nickparvar; see the user comments on the record page). doi:</w:t>
      </w:r>
      <w:r>
        <w:t xml:space="preserve"> </w:t>
      </w:r>
      <w:hyperlink r:id="rId135">
        <w:r>
          <w:rPr>
            <w:rStyle w:val="Hyperlink"/>
          </w:rPr>
          <w:t xml:space="preserve">10.21227/1jny-g144</w:t>
        </w:r>
      </w:hyperlink>
      <w:r>
        <w:t xml:space="preserve">.</w:t>
      </w:r>
    </w:p>
    <w:bookmarkEnd w:id="136"/>
    <w:bookmarkStart w:id="138" w:name="ref-hira2025mendeley"/>
    <w:p>
      <w:pPr>
        <w:pStyle w:val="Bibliography"/>
      </w:pPr>
      <w:r>
        <w:t xml:space="preserve">[31]</w:t>
      </w:r>
      <w:r>
        <w:t xml:space="preserve"> </w:t>
      </w:r>
      <w:r>
        <w:t xml:space="preserve">	</w:t>
      </w:r>
      <w:r>
        <w:t xml:space="preserve">M. I. K. Hira, M. S. Hossain, and M. M. A. Bithee,</w:t>
      </w:r>
      <w:r>
        <w:t xml:space="preserve"> </w:t>
      </w:r>
      <w:r>
        <w:t xml:space="preserve">“Brain tumor</w:t>
      </w:r>
      <w:r>
        <w:t xml:space="preserve"> </w:t>
      </w:r>
      <w:r>
        <w:t xml:space="preserve">MRI</w:t>
      </w:r>
      <w:r>
        <w:t xml:space="preserve"> </w:t>
      </w:r>
      <w:r>
        <w:t xml:space="preserve">dataset (glioma, meningioma, pituitary, no tumor).”</w:t>
      </w:r>
      <w:r>
        <w:t xml:space="preserve"> </w:t>
      </w:r>
      <w:r>
        <w:t xml:space="preserve">Mendeley Data, Version 1, 2025. doi:</w:t>
      </w:r>
      <w:r>
        <w:t xml:space="preserve"> </w:t>
      </w:r>
      <w:hyperlink r:id="rId137">
        <w:r>
          <w:rPr>
            <w:rStyle w:val="Hyperlink"/>
          </w:rPr>
          <w:t xml:space="preserve">10.17632/zwr4ntf94j.1</w:t>
        </w:r>
      </w:hyperlink>
      <w:r>
        <w:t xml:space="preserve">.</w:t>
      </w:r>
    </w:p>
    <w:bookmarkEnd w:id="138"/>
    <w:bookmarkStart w:id="140" w:name="ref-bdneuro2025v7"/>
    <w:p>
      <w:pPr>
        <w:pStyle w:val="Bibliography"/>
      </w:pPr>
      <w:r>
        <w:t xml:space="preserve">[32]</w:t>
      </w:r>
      <w:r>
        <w:t xml:space="preserve"> </w:t>
      </w:r>
      <w:r>
        <w:t xml:space="preserve">	</w:t>
      </w:r>
      <w:r>
        <w:t xml:space="preserve">[Contributors],</w:t>
      </w:r>
      <w:r>
        <w:t xml:space="preserve"> </w:t>
      </w:r>
      <w:r>
        <w:t xml:space="preserve">“</w:t>
      </w:r>
      <w:r>
        <w:t xml:space="preserve">BDNeuro-MRI</w:t>
      </w:r>
      <w:r>
        <w:t xml:space="preserve">: A</w:t>
      </w:r>
      <w:r>
        <w:t xml:space="preserve"> </w:t>
      </w:r>
      <w:r>
        <w:t xml:space="preserve">Bangladeshi</w:t>
      </w:r>
      <w:r>
        <w:t xml:space="preserve"> </w:t>
      </w:r>
      <w:r>
        <w:t xml:space="preserve">clinical brain tumor</w:t>
      </w:r>
      <w:r>
        <w:t xml:space="preserve"> </w:t>
      </w:r>
      <w:r>
        <w:t xml:space="preserve">MRI</w:t>
      </w:r>
      <w:r>
        <w:t xml:space="preserve"> </w:t>
      </w:r>
      <w:r>
        <w:t xml:space="preserve">dataset for four-class deep learning classification.”</w:t>
      </w:r>
      <w:r>
        <w:t xml:space="preserve"> </w:t>
      </w:r>
      <w:r>
        <w:t xml:space="preserve">Mendeley Data, Version 7. doi:</w:t>
      </w:r>
      <w:r>
        <w:t xml:space="preserve"> </w:t>
      </w:r>
      <w:hyperlink r:id="rId139">
        <w:r>
          <w:rPr>
            <w:rStyle w:val="Hyperlink"/>
          </w:rPr>
          <w:t xml:space="preserve">10.17632/zwr4ntf94j.7</w:t>
        </w:r>
      </w:hyperlink>
      <w:r>
        <w:t xml:space="preserve">.</w:t>
      </w:r>
    </w:p>
    <w:bookmarkEnd w:id="140"/>
    <w:bookmarkStart w:id="142" w:name="ref-chakrabarty2019kaggle"/>
    <w:p>
      <w:pPr>
        <w:pStyle w:val="Bibliography"/>
      </w:pPr>
      <w:r>
        <w:t xml:space="preserve">[33]</w:t>
      </w:r>
      <w:r>
        <w:t xml:space="preserve"> </w:t>
      </w:r>
      <w:r>
        <w:t xml:space="preserve">	</w:t>
      </w:r>
      <w:r>
        <w:t xml:space="preserve">N. Chakrabarty,</w:t>
      </w:r>
      <w:r>
        <w:t xml:space="preserve"> </w:t>
      </w:r>
      <w:r>
        <w:t xml:space="preserve">“Brain</w:t>
      </w:r>
      <w:r>
        <w:t xml:space="preserve"> </w:t>
      </w:r>
      <w:r>
        <w:t xml:space="preserve">MRI</w:t>
      </w:r>
      <w:r>
        <w:t xml:space="preserve"> </w:t>
      </w:r>
      <w:r>
        <w:t xml:space="preserve">images for brain tumor detection.”</w:t>
      </w:r>
      <w:r>
        <w:t xml:space="preserve"> </w:t>
      </w:r>
      <w:r>
        <w:t xml:space="preserve">Kaggle, 2019. Available:</w:t>
      </w:r>
      <w:r>
        <w:t xml:space="preserve"> </w:t>
      </w:r>
      <w:hyperlink r:id="rId141">
        <w:r>
          <w:rPr>
            <w:rStyle w:val="Hyperlink"/>
          </w:rPr>
          <w:t xml:space="preserve">https://www.kaggle.com/datasets/navoneel/brain-mri-images-for-brain-tumor-detection</w:t>
        </w:r>
      </w:hyperlink>
    </w:p>
    <w:bookmarkEnd w:id="142"/>
    <w:bookmarkStart w:id="143" w:name="ref-paszke2019pytorch"/>
    <w:p>
      <w:pPr>
        <w:pStyle w:val="Bibliography"/>
      </w:pPr>
      <w:r>
        <w:t xml:space="preserve">[34]</w:t>
      </w:r>
      <w:r>
        <w:t xml:space="preserve"> </w:t>
      </w:r>
      <w:r>
        <w:t xml:space="preserve">	</w:t>
      </w:r>
      <w:r>
        <w:t xml:space="preserve">A. Paszke, S. Gross, F. Massa,</w:t>
      </w:r>
      <w:r>
        <w:t xml:space="preserve"> </w:t>
      </w:r>
      <w:r>
        <w:rPr>
          <w:iCs/>
          <w:i/>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Cs/>
          <w:i/>
        </w:rPr>
        <w:t xml:space="preserve">Adv. Neural inf. Process. Syst. (NeurIPS)</w:t>
      </w:r>
      <w:r>
        <w:t xml:space="preserve">, 2019.</w:t>
      </w:r>
    </w:p>
    <w:bookmarkEnd w:id="143"/>
    <w:bookmarkStart w:id="144" w:name="ref-fey2019pyg"/>
    <w:p>
      <w:pPr>
        <w:pStyle w:val="Bibliography"/>
      </w:pPr>
      <w:r>
        <w:t xml:space="preserve">[35]</w:t>
      </w:r>
      <w:r>
        <w:t xml:space="preserve"> </w:t>
      </w:r>
      <w:r>
        <w:t xml:space="preserve">	</w:t>
      </w:r>
      <w:r>
        <w:t xml:space="preserve">M. Fey and J. E. Lenssen,</w:t>
      </w:r>
      <w:r>
        <w:t xml:space="preserve"> </w:t>
      </w:r>
      <w:r>
        <w:t xml:space="preserve">“Fast graph representation learning with</w:t>
      </w:r>
      <w:r>
        <w:t xml:space="preserve"> </w:t>
      </w:r>
      <w:r>
        <w:t xml:space="preserve">PyTorch Geometric</w:t>
      </w:r>
      <w:r>
        <w:t xml:space="preserve">,”</w:t>
      </w:r>
      <w:r>
        <w:t xml:space="preserve"> </w:t>
      </w:r>
      <w:r>
        <w:t xml:space="preserve">in</w:t>
      </w:r>
      <w:r>
        <w:t xml:space="preserve"> </w:t>
      </w:r>
      <w:r>
        <w:rPr>
          <w:iCs/>
          <w:i/>
        </w:rPr>
        <w:t xml:space="preserve">Proc. ICLR workshop represent. Learn. Graphs manifolds</w:t>
      </w:r>
      <w:r>
        <w:t xml:space="preserve">, 2019.</w:t>
      </w:r>
    </w:p>
    <w:bookmarkEnd w:id="144"/>
    <w:bookmarkStart w:id="145" w:name="ref-loshchilov2019adamw"/>
    <w:p>
      <w:pPr>
        <w:pStyle w:val="Bibliography"/>
      </w:pPr>
      <w:r>
        <w:t xml:space="preserve">[36]</w:t>
      </w:r>
      <w:r>
        <w:t xml:space="preserve"> </w:t>
      </w:r>
      <w:r>
        <w:t xml:space="preserve">	</w:t>
      </w:r>
      <w:r>
        <w:t xml:space="preserve">I. Loshchilov and F. Hutter,</w:t>
      </w:r>
      <w:r>
        <w:t xml:space="preserve"> </w:t>
      </w:r>
      <w:r>
        <w:t xml:space="preserve">“Decoupled weight decay regularization,”</w:t>
      </w:r>
      <w:r>
        <w:t xml:space="preserve"> </w:t>
      </w:r>
      <w:r>
        <w:t xml:space="preserve">in</w:t>
      </w:r>
      <w:r>
        <w:t xml:space="preserve"> </w:t>
      </w:r>
      <w:r>
        <w:rPr>
          <w:iCs/>
          <w:i/>
        </w:rPr>
        <w:t xml:space="preserve">Proc. Int. Conf. Learn. Represent. (ICLR)</w:t>
      </w:r>
      <w:r>
        <w:t xml:space="preserve">, 2019.</w:t>
      </w:r>
    </w:p>
    <w:bookmarkEnd w:id="145"/>
    <w:bookmarkStart w:id="147" w:name="ref-smith2019superconvergence"/>
    <w:p>
      <w:pPr>
        <w:pStyle w:val="Bibliography"/>
      </w:pPr>
      <w:r>
        <w:t xml:space="preserve">[37]</w:t>
      </w:r>
      <w:r>
        <w:t xml:space="preserve"> </w:t>
      </w:r>
      <w:r>
        <w:t xml:space="preserve">	</w:t>
      </w:r>
      <w:r>
        <w:t xml:space="preserve">L. N. Smith and N. Topin,</w:t>
      </w:r>
      <w:r>
        <w:t xml:space="preserve"> </w:t>
      </w:r>
      <w:r>
        <w:t xml:space="preserve">“Super-convergence: Very fast training of neural networks using large learning rates,”</w:t>
      </w:r>
      <w:r>
        <w:t xml:space="preserve"> </w:t>
      </w:r>
      <w:r>
        <w:t xml:space="preserve">in</w:t>
      </w:r>
      <w:r>
        <w:t xml:space="preserve"> </w:t>
      </w:r>
      <w:r>
        <w:rPr>
          <w:iCs/>
          <w:i/>
        </w:rPr>
        <w:t xml:space="preserve">Proc. SPIE artif. Intell. Mach. Learn. Multi-domain oper. appl.</w:t>
      </w:r>
      <w:r>
        <w:t xml:space="preserve">, 2019, p. 1100612. doi:</w:t>
      </w:r>
      <w:r>
        <w:t xml:space="preserve"> </w:t>
      </w:r>
      <w:hyperlink r:id="rId146">
        <w:r>
          <w:rPr>
            <w:rStyle w:val="Hyperlink"/>
          </w:rPr>
          <w:t xml:space="preserve">10.1117/12.2520589</w:t>
        </w:r>
      </w:hyperlink>
      <w:r>
        <w:t xml:space="preserve">.</w:t>
      </w:r>
    </w:p>
    <w:bookmarkEnd w:id="147"/>
    <w:bookmarkStart w:id="148" w:name="ref-efron1993bootstrap"/>
    <w:p>
      <w:pPr>
        <w:pStyle w:val="Bibliography"/>
      </w:pPr>
      <w:r>
        <w:t xml:space="preserve">[38]</w:t>
      </w:r>
      <w:r>
        <w:t xml:space="preserve"> </w:t>
      </w:r>
      <w:r>
        <w:t xml:space="preserve">	</w:t>
      </w:r>
      <w:r>
        <w:t xml:space="preserve">B. Efron and R. J. Tibshirani,</w:t>
      </w:r>
      <w:r>
        <w:t xml:space="preserve"> </w:t>
      </w:r>
      <w:r>
        <w:rPr>
          <w:iCs/>
          <w:i/>
        </w:rPr>
        <w:t xml:space="preserve">An introduction to the bootstrap</w:t>
      </w:r>
      <w:r>
        <w:t xml:space="preserve">. New York, NY, USA: Chapman &amp; Hall/CRC, 1993.</w:t>
      </w:r>
    </w:p>
    <w:bookmarkEnd w:id="148"/>
    <w:bookmarkEnd w:id="149"/>
    <w:bookmarkEnd w:id="150"/>
    <w:sectPr>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sz w:val="22"/>
        <w:szCs w:val="22"/>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62" Target="media/rId62.png" /><Relationship Type="http://schemas.openxmlformats.org/officeDocument/2006/relationships/image" Id="rId77" Target="media/rId77.png" /><Relationship Type="http://schemas.openxmlformats.org/officeDocument/2006/relationships/image" Id="rId34" Target="media/rId34.png" /><Relationship Type="http://schemas.openxmlformats.org/officeDocument/2006/relationships/image" Id="rId68" Target="media/rId68.png" /><Relationship Type="http://schemas.openxmlformats.org/officeDocument/2006/relationships/image" Id="rId58" Target="media/rId58.png" /><Relationship Type="http://schemas.openxmlformats.org/officeDocument/2006/relationships/image" Id="rId71" Target="media/rId71.png" /><Relationship Type="http://schemas.openxmlformats.org/officeDocument/2006/relationships/image" Id="rId31" Target="media/rId31.png" /><Relationship Type="http://schemas.openxmlformats.org/officeDocument/2006/relationships/hyperlink" Id="rId96" Target="https://doi.org/10.1016/j.compbiomed.2019.103345" TargetMode="External" /><Relationship Type="http://schemas.openxmlformats.org/officeDocument/2006/relationships/hyperlink" Id="rId104" Target="https://doi.org/10.1016/j.compbiomed.2024.108971" TargetMode="External" /><Relationship Type="http://schemas.openxmlformats.org/officeDocument/2006/relationships/hyperlink" Id="rId98" Target="https://doi.org/10.1016/j.compmedimag.2019.05.001" TargetMode="External" /><Relationship Type="http://schemas.openxmlformats.org/officeDocument/2006/relationships/hyperlink" Id="rId114" Target="https://doi.org/10.1016/j.media.2020.101694" TargetMode="External" /><Relationship Type="http://schemas.openxmlformats.org/officeDocument/2006/relationships/hyperlink" Id="rId124" Target="https://doi.org/10.1016/j.neucom.2019.01.103" TargetMode="External" /><Relationship Type="http://schemas.openxmlformats.org/officeDocument/2006/relationships/hyperlink" Id="rId112" Target="https://doi.org/10.1016/j.patter.2023.100804" TargetMode="External" /><Relationship Type="http://schemas.openxmlformats.org/officeDocument/2006/relationships/hyperlink" Id="rId110" Target="https://doi.org/10.1038/s41746-022-00592-y" TargetMode="External" /><Relationship Type="http://schemas.openxmlformats.org/officeDocument/2006/relationships/hyperlink" Id="rId108" Target="https://doi.org/10.1038/s42256-021-00307-0" TargetMode="External" /><Relationship Type="http://schemas.openxmlformats.org/officeDocument/2006/relationships/hyperlink" Id="rId92" Target="https://doi.org/10.1093/neuonc/noab106" TargetMode="External" /><Relationship Type="http://schemas.openxmlformats.org/officeDocument/2006/relationships/hyperlink" Id="rId146" Target="https://doi.org/10.1117/12.2520589" TargetMode="External" /><Relationship Type="http://schemas.openxmlformats.org/officeDocument/2006/relationships/hyperlink" Id="rId94" Target="https://doi.org/10.1371/journal.pone.0140381" TargetMode="External" /><Relationship Type="http://schemas.openxmlformats.org/officeDocument/2006/relationships/hyperlink" Id="rId137" Target="https://doi.org/10.17632/zwr4ntf94j.1" TargetMode="External" /><Relationship Type="http://schemas.openxmlformats.org/officeDocument/2006/relationships/hyperlink" Id="rId139" Target="https://doi.org/10.17632/zwr4ntf94j.7" TargetMode="External" /><Relationship Type="http://schemas.openxmlformats.org/officeDocument/2006/relationships/hyperlink" Id="rId135" Target="https://doi.org/10.21227/1jny-g144" TargetMode="External" /><Relationship Type="http://schemas.openxmlformats.org/officeDocument/2006/relationships/hyperlink" Id="rId100" Target="https://doi.org/10.3390/app10061999" TargetMode="External" /><Relationship Type="http://schemas.openxmlformats.org/officeDocument/2006/relationships/hyperlink" Id="rId102" Target="https://doi.org/10.3390/curroncol29100590" TargetMode="External" /><Relationship Type="http://schemas.openxmlformats.org/officeDocument/2006/relationships/hyperlink" Id="rId133" Target="https://doi.org/10.34740/KAGGLE/DSV/1183165" TargetMode="External" /><Relationship Type="http://schemas.openxmlformats.org/officeDocument/2006/relationships/hyperlink" Id="rId88" Target="https://github.com/arafatrahmannoor/Paper-of-brain" TargetMode="External" /><Relationship Type="http://schemas.openxmlformats.org/officeDocument/2006/relationships/hyperlink" Id="rId87" Target="https://www.kaggle.com/datasets/arafatrahmann/my-data221" TargetMode="External" /><Relationship Type="http://schemas.openxmlformats.org/officeDocument/2006/relationships/hyperlink" Id="rId131" Target="https://www.kaggle.com/datasets/masoudnickparvar/brain-tumor-mri-dataset" TargetMode="External" /><Relationship Type="http://schemas.openxmlformats.org/officeDocument/2006/relationships/hyperlink" Id="rId141" Target="https://www.kaggle.com/datasets/navoneel/brain-mri-images-for-brain-tumor-detection" TargetMode="External" /></Relationships>
</file>

<file path=word/_rels/footnotes.xml.rels><?xml version="1.0" encoding="UTF-8"?><Relationships xmlns="http://schemas.openxmlformats.org/package/2006/relationships"><Relationship Type="http://schemas.openxmlformats.org/officeDocument/2006/relationships/hyperlink" Id="rId96" Target="https://doi.org/10.1016/j.compbiomed.2019.103345" TargetMode="External" /><Relationship Type="http://schemas.openxmlformats.org/officeDocument/2006/relationships/hyperlink" Id="rId104" Target="https://doi.org/10.1016/j.compbiomed.2024.108971" TargetMode="External" /><Relationship Type="http://schemas.openxmlformats.org/officeDocument/2006/relationships/hyperlink" Id="rId98" Target="https://doi.org/10.1016/j.compmedimag.2019.05.001" TargetMode="External" /><Relationship Type="http://schemas.openxmlformats.org/officeDocument/2006/relationships/hyperlink" Id="rId114" Target="https://doi.org/10.1016/j.media.2020.101694" TargetMode="External" /><Relationship Type="http://schemas.openxmlformats.org/officeDocument/2006/relationships/hyperlink" Id="rId124" Target="https://doi.org/10.1016/j.neucom.2019.01.103" TargetMode="External" /><Relationship Type="http://schemas.openxmlformats.org/officeDocument/2006/relationships/hyperlink" Id="rId112" Target="https://doi.org/10.1016/j.patter.2023.100804" TargetMode="External" /><Relationship Type="http://schemas.openxmlformats.org/officeDocument/2006/relationships/hyperlink" Id="rId110" Target="https://doi.org/10.1038/s41746-022-00592-y" TargetMode="External" /><Relationship Type="http://schemas.openxmlformats.org/officeDocument/2006/relationships/hyperlink" Id="rId108" Target="https://doi.org/10.1038/s42256-021-00307-0" TargetMode="External" /><Relationship Type="http://schemas.openxmlformats.org/officeDocument/2006/relationships/hyperlink" Id="rId92" Target="https://doi.org/10.1093/neuonc/noab106" TargetMode="External" /><Relationship Type="http://schemas.openxmlformats.org/officeDocument/2006/relationships/hyperlink" Id="rId146" Target="https://doi.org/10.1117/12.2520589" TargetMode="External" /><Relationship Type="http://schemas.openxmlformats.org/officeDocument/2006/relationships/hyperlink" Id="rId94" Target="https://doi.org/10.1371/journal.pone.0140381" TargetMode="External" /><Relationship Type="http://schemas.openxmlformats.org/officeDocument/2006/relationships/hyperlink" Id="rId137" Target="https://doi.org/10.17632/zwr4ntf94j.1" TargetMode="External" /><Relationship Type="http://schemas.openxmlformats.org/officeDocument/2006/relationships/hyperlink" Id="rId139" Target="https://doi.org/10.17632/zwr4ntf94j.7" TargetMode="External" /><Relationship Type="http://schemas.openxmlformats.org/officeDocument/2006/relationships/hyperlink" Id="rId135" Target="https://doi.org/10.21227/1jny-g144" TargetMode="External" /><Relationship Type="http://schemas.openxmlformats.org/officeDocument/2006/relationships/hyperlink" Id="rId100" Target="https://doi.org/10.3390/app10061999" TargetMode="External" /><Relationship Type="http://schemas.openxmlformats.org/officeDocument/2006/relationships/hyperlink" Id="rId102" Target="https://doi.org/10.3390/curroncol29100590" TargetMode="External" /><Relationship Type="http://schemas.openxmlformats.org/officeDocument/2006/relationships/hyperlink" Id="rId133" Target="https://doi.org/10.34740/KAGGLE/DSV/1183165" TargetMode="External" /><Relationship Type="http://schemas.openxmlformats.org/officeDocument/2006/relationships/hyperlink" Id="rId88" Target="https://github.com/arafatrahmannoor/Paper-of-brain" TargetMode="External" /><Relationship Type="http://schemas.openxmlformats.org/officeDocument/2006/relationships/hyperlink" Id="rId87" Target="https://www.kaggle.com/datasets/arafatrahmann/my-data221" TargetMode="External" /><Relationship Type="http://schemas.openxmlformats.org/officeDocument/2006/relationships/hyperlink" Id="rId131" Target="https://www.kaggle.com/datasets/masoudnickparvar/brain-tumor-mri-dataset" TargetMode="External" /><Relationship Type="http://schemas.openxmlformats.org/officeDocument/2006/relationships/hyperlink" Id="rId141" Target="https://www.kaggle.com/datasets/navoneel/brain-mri-images-for-brain-tumor-de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Uncertainty-Gated Fusion of EfficientNet-B3 and a Multi-Scale Graph Pyramid for Four-Class Brain Tumour MRI Classification: A Duplicate-Aware Cross-Validation Study</dc:title>
  <dc:creator>Arafat Rahman; Md Assaduzzaman</dc:creator>
  <cp:keywords/>
  <dcterms:created xsi:type="dcterms:W3CDTF">2026-10-17T16:14:50Z</dcterms:created>
  <dcterms:modified xsi:type="dcterms:W3CDTF">2026-10-17T16:14:50Z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 networks often report near-perfect accuracy on public brain tumour MRI collections, yet these collections contain offline-augmented copies and near-duplicate slices that can fall on both sides of an image-level split. We propose a dual-stream classifier that pairs an ImageNet-pretrained EfficientNet-B3 with a three-level graph pyramid of 336 regional nodes processed by parallel GCN, GAT and TransformerConv paths. The two 384-dimensional embeddings are refined by dynamic recalibration and a two-token cross-modal transformer, and fused by a gate driven by Monte Carlo (MC) dropout uncertainty. The model (19.35 M parameters) was evaluated on a public four-class dataset of 12,064 images with duplicate-aware five-fold cross-validation: offline-augmented copies and perceptual-hash near-duplicates were merged into 3,873 groups, and no group was shared between training, validation and test data. Accuracy was 96.54 \pm 1.71\% (range 94.34–98.16%) and macro-F1 96.36 \pm 1.81\%; pooled out-of-fold accuracy was 96.49% (95% group-bootstrap CI 95.50–97.37%), with a pooled expected calibration error of 0.012. The same architecture reached 99.15 \pm 0.39\% under an image-level split, so duplicate leakage inflated accuracy by about 2.6 percentage points; the error rate of the augmented-copy family rose from 0.85% to 5.89%. Errors were concentrated in a few source slices, whose copies were misclassified together, and in one public sub-collection with an 18.5% error rate. The audit also found 108 near-duplicate pairs with conflicting labels, four of them identical images filed under two classes. The image stream received most of the fusion weight (mean 0.73), and the three graph operators kept equal weights in every fold. A four-model ablation on the same folds showed that the EfficientNet-B3 stream alone was as accurate as the complete framework (96.58 \pm 1.44\%; McNemar p = 0.72), whereas the graph stream alone reached only 87.48\%. Patient identifiers are unavailable, so these remain slice-level estimates on one compiled dataset.</vt:lpwstr>
  </property>
  <property fmtid="{D5CDD505-2E9C-101B-9397-08002B2CF9AE}" pid="3" name="bibliography">
    <vt:lpwstr>/home/user/Paper-of-brain/paper/references.bib</vt:lpwstr>
  </property>
  <property fmtid="{D5CDD505-2E9C-101B-9397-08002B2CF9AE}" pid="4" name="csl">
    <vt:lpwstr>/usr/local/lib/python3.13/dist-packages/citeproc_styles/styles/ieee.csl</vt:lpwstr>
  </property>
  <property fmtid="{D5CDD505-2E9C-101B-9397-08002B2CF9AE}" pid="5" name="date">
    <vt:lpwstr>Department of Computer Science and Engineering, Daffodil International University, Dhaka, Bangladesh. Corresponding author: Arafat Rahman (arafat2001noor@gmail.com)</vt:lpwstr>
  </property>
  <property fmtid="{D5CDD505-2E9C-101B-9397-08002B2CF9AE}" pid="6" name="link-citations">
    <vt:lpwstr>True</vt:lpwstr>
  </property>
  <property fmtid="{D5CDD505-2E9C-101B-9397-08002B2CF9AE}" pid="7" name="reference-section-title">
    <vt:lpwstr>References</vt:lpwstr>
  </property>
</Properties>
</file>