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F3FD" w:themeColor="accent6" w:themeTint="33"/>
  <w:body>
    <w:p w14:paraId="312DDE24" w14:textId="77777777" w:rsidR="0050054B" w:rsidRPr="002C45A1" w:rsidRDefault="0050054B" w:rsidP="002C45A1">
      <w:pPr>
        <w:pStyle w:val="Title"/>
      </w:pPr>
      <w:r w:rsidRPr="002C45A1">
        <w:t>HR Analytics Report: Active Workforce Analysis</w:t>
      </w:r>
    </w:p>
    <w:p w14:paraId="40588F47" w14:textId="63334937" w:rsidR="0050054B" w:rsidRPr="0050054B" w:rsidRDefault="0050054B" w:rsidP="0050054B">
      <w:pPr>
        <w:spacing w:line="278" w:lineRule="auto"/>
      </w:pPr>
      <w:r w:rsidRPr="0050054B">
        <w:rPr>
          <w:b/>
          <w:bCs/>
        </w:rPr>
        <w:t>Prepared by:</w:t>
      </w:r>
      <w:r w:rsidRPr="0050054B">
        <w:t xml:space="preserve"> </w:t>
      </w:r>
      <w:proofErr w:type="spellStart"/>
      <w:r w:rsidRPr="0050054B">
        <w:t>Aragonda</w:t>
      </w:r>
      <w:proofErr w:type="spellEnd"/>
      <w:r w:rsidRPr="0050054B">
        <w:t xml:space="preserve"> Pavankumar </w:t>
      </w:r>
    </w:p>
    <w:p w14:paraId="081D1F9B" w14:textId="5F55DE38" w:rsidR="0050054B" w:rsidRPr="0050054B" w:rsidRDefault="0050054B" w:rsidP="0050054B">
      <w:pPr>
        <w:spacing w:line="278" w:lineRule="auto"/>
      </w:pPr>
      <w:r w:rsidRPr="0050054B">
        <w:rPr>
          <w:b/>
          <w:bCs/>
        </w:rPr>
        <w:t>Tool Used:</w:t>
      </w:r>
      <w:r w:rsidRPr="0050054B">
        <w:t xml:space="preserve"> Microsoft Power BI </w:t>
      </w:r>
    </w:p>
    <w:p w14:paraId="49B69CC1" w14:textId="6438F3E5" w:rsidR="0050054B" w:rsidRPr="0050054B" w:rsidRDefault="0050054B" w:rsidP="0050054B">
      <w:pPr>
        <w:spacing w:line="278" w:lineRule="auto"/>
      </w:pPr>
      <w:r w:rsidRPr="0050054B">
        <w:rPr>
          <w:b/>
          <w:bCs/>
        </w:rPr>
        <w:t>Dataset Record Count:</w:t>
      </w:r>
      <w:r w:rsidRPr="0050054B">
        <w:t xml:space="preserve"> 18,000 Active Employees (Filtered from 22,214 total records)</w:t>
      </w:r>
    </w:p>
    <w:p w14:paraId="7DA87D6A" w14:textId="77777777" w:rsidR="0050054B" w:rsidRPr="002C45A1" w:rsidRDefault="0050054B" w:rsidP="0050054B">
      <w:pPr>
        <w:spacing w:line="278" w:lineRule="auto"/>
        <w:rPr>
          <w:b/>
          <w:bCs/>
          <w:sz w:val="36"/>
          <w:szCs w:val="36"/>
        </w:rPr>
      </w:pPr>
      <w:r w:rsidRPr="002C45A1">
        <w:rPr>
          <w:b/>
          <w:bCs/>
          <w:sz w:val="36"/>
          <w:szCs w:val="36"/>
        </w:rPr>
        <w:t>1. Executive Summary</w:t>
      </w:r>
    </w:p>
    <w:p w14:paraId="0C5872CD" w14:textId="285386F5" w:rsidR="0050054B" w:rsidRPr="0050054B" w:rsidRDefault="0050054B" w:rsidP="0050054B">
      <w:pPr>
        <w:spacing w:line="278" w:lineRule="auto"/>
      </w:pPr>
      <w:r w:rsidRPr="0050054B">
        <w:t xml:space="preserve">This report presents an end-to-end evaluation of the company’s workforce demographics, employment locations, hiring patterns, and departmental distributions. By filtering specifically for </w:t>
      </w:r>
      <w:r w:rsidRPr="0050054B">
        <w:rPr>
          <w:b/>
          <w:bCs/>
        </w:rPr>
        <w:t>Active Employees</w:t>
      </w:r>
      <w:r w:rsidRPr="0050054B">
        <w:t xml:space="preserve">, this analysis provides accurate operational insights to support strategic HR decision-making, recruitment planning, and location risk management. </w:t>
      </w:r>
    </w:p>
    <w:p w14:paraId="3838E443" w14:textId="77777777" w:rsidR="0050054B" w:rsidRPr="002C45A1" w:rsidRDefault="0050054B" w:rsidP="0050054B">
      <w:pPr>
        <w:rPr>
          <w:b/>
          <w:bCs/>
          <w:sz w:val="36"/>
          <w:szCs w:val="36"/>
        </w:rPr>
      </w:pPr>
      <w:r w:rsidRPr="002C45A1">
        <w:rPr>
          <w:b/>
          <w:bCs/>
          <w:sz w:val="36"/>
          <w:szCs w:val="36"/>
        </w:rPr>
        <w:t>2. Key Performance Indicators (KPIs)</w:t>
      </w:r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3227"/>
        <w:gridCol w:w="3227"/>
        <w:gridCol w:w="3228"/>
      </w:tblGrid>
      <w:tr w:rsidR="0050054B" w14:paraId="4CEB5177" w14:textId="77777777" w:rsidTr="00AE64AB">
        <w:trPr>
          <w:trHeight w:val="928"/>
        </w:trPr>
        <w:tc>
          <w:tcPr>
            <w:tcW w:w="3227" w:type="dxa"/>
          </w:tcPr>
          <w:p w14:paraId="6514A685" w14:textId="64904CC1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KPI Metric</w:t>
            </w:r>
          </w:p>
        </w:tc>
        <w:tc>
          <w:tcPr>
            <w:tcW w:w="3227" w:type="dxa"/>
          </w:tcPr>
          <w:p w14:paraId="644530C1" w14:textId="58C5E90A" w:rsidR="0050054B" w:rsidRDefault="002C45A1" w:rsidP="00AF1DF4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Value</w:t>
            </w:r>
          </w:p>
        </w:tc>
        <w:tc>
          <w:tcPr>
            <w:tcW w:w="3228" w:type="dxa"/>
          </w:tcPr>
          <w:p w14:paraId="4D6C404B" w14:textId="3D3F7CDC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Description / Business Context</w:t>
            </w:r>
          </w:p>
        </w:tc>
      </w:tr>
      <w:tr w:rsidR="0050054B" w14:paraId="2926E8BA" w14:textId="77777777" w:rsidTr="00AE64AB">
        <w:trPr>
          <w:trHeight w:val="951"/>
        </w:trPr>
        <w:tc>
          <w:tcPr>
            <w:tcW w:w="3227" w:type="dxa"/>
          </w:tcPr>
          <w:p w14:paraId="7AA1225C" w14:textId="5D1252DA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Total Active Employees</w:t>
            </w:r>
          </w:p>
        </w:tc>
        <w:tc>
          <w:tcPr>
            <w:tcW w:w="3227" w:type="dxa"/>
          </w:tcPr>
          <w:p w14:paraId="12B0255A" w14:textId="6646F926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18,000</w:t>
            </w:r>
          </w:p>
        </w:tc>
        <w:tc>
          <w:tcPr>
            <w:tcW w:w="3228" w:type="dxa"/>
          </w:tcPr>
          <w:p w14:paraId="0A959FFA" w14:textId="75330656" w:rsidR="0050054B" w:rsidRDefault="002C45A1" w:rsidP="0050054B">
            <w:pPr>
              <w:rPr>
                <w:b/>
                <w:bCs/>
              </w:rPr>
            </w:pPr>
            <w:r w:rsidRPr="0050054B">
              <w:t>Represents current active head count across all locations.</w:t>
            </w:r>
          </w:p>
        </w:tc>
      </w:tr>
      <w:tr w:rsidR="0050054B" w14:paraId="7D859D3F" w14:textId="77777777" w:rsidTr="00AE64AB">
        <w:trPr>
          <w:trHeight w:val="1416"/>
        </w:trPr>
        <w:tc>
          <w:tcPr>
            <w:tcW w:w="3227" w:type="dxa"/>
          </w:tcPr>
          <w:p w14:paraId="4F152B2D" w14:textId="7B1D5F47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HQ Employee %</w:t>
            </w:r>
          </w:p>
        </w:tc>
        <w:tc>
          <w:tcPr>
            <w:tcW w:w="3227" w:type="dxa"/>
          </w:tcPr>
          <w:p w14:paraId="7A263E4D" w14:textId="11A9A096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74.98%</w:t>
            </w:r>
          </w:p>
        </w:tc>
        <w:tc>
          <w:tcPr>
            <w:tcW w:w="3228" w:type="dxa"/>
          </w:tcPr>
          <w:p w14:paraId="283111D3" w14:textId="3572D1E9" w:rsidR="0050054B" w:rsidRDefault="002C45A1" w:rsidP="0050054B">
            <w:pPr>
              <w:rPr>
                <w:b/>
                <w:bCs/>
              </w:rPr>
            </w:pPr>
            <w:r w:rsidRPr="0050054B">
              <w:t>Percentage of active staff working at physical headquarters.</w:t>
            </w:r>
          </w:p>
        </w:tc>
      </w:tr>
      <w:tr w:rsidR="0050054B" w14:paraId="36BA7CDE" w14:textId="77777777" w:rsidTr="00AE64AB">
        <w:trPr>
          <w:trHeight w:val="1393"/>
        </w:trPr>
        <w:tc>
          <w:tcPr>
            <w:tcW w:w="3227" w:type="dxa"/>
          </w:tcPr>
          <w:p w14:paraId="6B55AAFA" w14:textId="635E758C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Remote Employee %</w:t>
            </w:r>
          </w:p>
        </w:tc>
        <w:tc>
          <w:tcPr>
            <w:tcW w:w="3227" w:type="dxa"/>
          </w:tcPr>
          <w:p w14:paraId="508D2F0E" w14:textId="39DB8554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25.02%</w:t>
            </w:r>
          </w:p>
        </w:tc>
        <w:tc>
          <w:tcPr>
            <w:tcW w:w="3228" w:type="dxa"/>
          </w:tcPr>
          <w:p w14:paraId="53531E33" w14:textId="25A34DFD" w:rsidR="0050054B" w:rsidRDefault="002C45A1" w:rsidP="0050054B">
            <w:pPr>
              <w:rPr>
                <w:b/>
                <w:bCs/>
              </w:rPr>
            </w:pPr>
            <w:r w:rsidRPr="0050054B">
              <w:t>Percentage of active staff working under remote/WFH setups.</w:t>
            </w:r>
          </w:p>
        </w:tc>
      </w:tr>
      <w:tr w:rsidR="0050054B" w14:paraId="3DC24C3D" w14:textId="77777777" w:rsidTr="00AE64AB">
        <w:trPr>
          <w:trHeight w:val="1214"/>
        </w:trPr>
        <w:tc>
          <w:tcPr>
            <w:tcW w:w="3227" w:type="dxa"/>
          </w:tcPr>
          <w:p w14:paraId="54BAF62B" w14:textId="4F57765D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Average Age</w:t>
            </w:r>
          </w:p>
        </w:tc>
        <w:tc>
          <w:tcPr>
            <w:tcW w:w="3227" w:type="dxa"/>
          </w:tcPr>
          <w:p w14:paraId="2382BE38" w14:textId="22D3BAF1" w:rsidR="0050054B" w:rsidRDefault="002C45A1" w:rsidP="0050054B">
            <w:pPr>
              <w:rPr>
                <w:b/>
                <w:bCs/>
              </w:rPr>
            </w:pPr>
            <w:r w:rsidRPr="0050054B">
              <w:rPr>
                <w:b/>
                <w:bCs/>
              </w:rPr>
              <w:t>38.47 Years</w:t>
            </w:r>
          </w:p>
        </w:tc>
        <w:tc>
          <w:tcPr>
            <w:tcW w:w="3228" w:type="dxa"/>
          </w:tcPr>
          <w:p w14:paraId="69C821B7" w14:textId="4F5AE04F" w:rsidR="0050054B" w:rsidRDefault="002C45A1" w:rsidP="0050054B">
            <w:pPr>
              <w:rPr>
                <w:b/>
                <w:bCs/>
              </w:rPr>
            </w:pPr>
            <w:r w:rsidRPr="0050054B">
              <w:t>Indicates a mature, experienced organizational workforce profile.</w:t>
            </w:r>
          </w:p>
        </w:tc>
      </w:tr>
    </w:tbl>
    <w:p w14:paraId="2BCF3554" w14:textId="77777777" w:rsidR="00AE64AB" w:rsidRDefault="00AE64AB" w:rsidP="002C45A1">
      <w:pPr>
        <w:spacing w:line="278" w:lineRule="auto"/>
        <w:rPr>
          <w:b/>
          <w:bCs/>
          <w:sz w:val="36"/>
          <w:szCs w:val="36"/>
        </w:rPr>
      </w:pPr>
    </w:p>
    <w:p w14:paraId="5FCB4A0A" w14:textId="1CE22C6E" w:rsidR="002C45A1" w:rsidRPr="002C45A1" w:rsidRDefault="002C45A1" w:rsidP="002C45A1">
      <w:pPr>
        <w:spacing w:line="278" w:lineRule="auto"/>
        <w:rPr>
          <w:b/>
          <w:bCs/>
          <w:sz w:val="36"/>
          <w:szCs w:val="36"/>
        </w:rPr>
      </w:pPr>
      <w:r w:rsidRPr="002C45A1">
        <w:rPr>
          <w:b/>
          <w:bCs/>
          <w:sz w:val="36"/>
          <w:szCs w:val="36"/>
        </w:rPr>
        <w:lastRenderedPageBreak/>
        <w:t>3. Detailed Data Findings</w:t>
      </w:r>
    </w:p>
    <w:p w14:paraId="14E45C71" w14:textId="77777777" w:rsidR="002C45A1" w:rsidRPr="002C45A1" w:rsidRDefault="002C45A1" w:rsidP="002C45A1">
      <w:pPr>
        <w:spacing w:line="278" w:lineRule="auto"/>
        <w:rPr>
          <w:sz w:val="28"/>
          <w:szCs w:val="28"/>
        </w:rPr>
      </w:pPr>
      <w:r w:rsidRPr="002C45A1">
        <w:rPr>
          <w:b/>
          <w:bCs/>
          <w:sz w:val="28"/>
          <w:szCs w:val="28"/>
        </w:rPr>
        <w:t>Workforce Location &amp; Geography</w:t>
      </w:r>
    </w:p>
    <w:p w14:paraId="17BB29BA" w14:textId="77777777" w:rsidR="002C45A1" w:rsidRPr="0050054B" w:rsidRDefault="002C45A1" w:rsidP="002C45A1">
      <w:pPr>
        <w:numPr>
          <w:ilvl w:val="0"/>
          <w:numId w:val="5"/>
        </w:numPr>
        <w:spacing w:line="278" w:lineRule="auto"/>
      </w:pPr>
      <w:r w:rsidRPr="0050054B">
        <w:rPr>
          <w:b/>
          <w:bCs/>
        </w:rPr>
        <w:t>HQ vs. Remote:</w:t>
      </w:r>
      <w:r w:rsidRPr="0050054B">
        <w:t xml:space="preserve"> Over three-quarters of active staff (</w:t>
      </w:r>
      <w:r w:rsidRPr="0050054B">
        <w:rPr>
          <w:b/>
          <w:bCs/>
        </w:rPr>
        <w:t>74.98%</w:t>
      </w:r>
      <w:r w:rsidRPr="0050054B">
        <w:t xml:space="preserve">) are based at headquarters, while </w:t>
      </w:r>
      <w:r w:rsidRPr="0050054B">
        <w:rPr>
          <w:b/>
          <w:bCs/>
        </w:rPr>
        <w:t>25.02%</w:t>
      </w:r>
      <w:r w:rsidRPr="0050054B">
        <w:t xml:space="preserve"> operate remotely. </w:t>
      </w:r>
    </w:p>
    <w:p w14:paraId="023C93C6" w14:textId="5F99E890" w:rsidR="002C45A1" w:rsidRPr="0050054B" w:rsidRDefault="002C45A1" w:rsidP="002C45A1">
      <w:pPr>
        <w:numPr>
          <w:ilvl w:val="0"/>
          <w:numId w:val="5"/>
        </w:numPr>
        <w:spacing w:line="278" w:lineRule="auto"/>
      </w:pPr>
      <w:r w:rsidRPr="0050054B">
        <w:rPr>
          <w:b/>
          <w:bCs/>
        </w:rPr>
        <w:t>State Distribution:</w:t>
      </w:r>
      <w:r w:rsidRPr="0050054B">
        <w:t xml:space="preserve"> The workforce exhibits severe geographical concentration in </w:t>
      </w:r>
      <w:r w:rsidRPr="0050054B">
        <w:rPr>
          <w:b/>
          <w:bCs/>
        </w:rPr>
        <w:t>Ohio</w:t>
      </w:r>
      <w:r w:rsidRPr="0050054B">
        <w:t xml:space="preserve">, accounting for approximately </w:t>
      </w:r>
      <w:r w:rsidRPr="0050054B">
        <w:rPr>
          <w:b/>
          <w:bCs/>
        </w:rPr>
        <w:t>15,000</w:t>
      </w:r>
      <w:r w:rsidRPr="0050054B">
        <w:t xml:space="preserve"> active employees. States like Pennsylvania, Illinois, Indiana, and Michigan maintain minor footprints (1,000 employees each). </w:t>
      </w:r>
    </w:p>
    <w:p w14:paraId="7B7FCF61" w14:textId="2050E37D" w:rsidR="0050054B" w:rsidRPr="002C45A1" w:rsidRDefault="0050054B" w:rsidP="0050054B">
      <w:pPr>
        <w:spacing w:line="278" w:lineRule="auto"/>
        <w:rPr>
          <w:sz w:val="28"/>
          <w:szCs w:val="28"/>
        </w:rPr>
      </w:pPr>
      <w:r w:rsidRPr="002C45A1">
        <w:rPr>
          <w:b/>
          <w:bCs/>
          <w:sz w:val="28"/>
          <w:szCs w:val="28"/>
        </w:rPr>
        <w:t>20-Year Recruitment Trend (2000–2020)</w:t>
      </w:r>
    </w:p>
    <w:p w14:paraId="4BC12DE8" w14:textId="16584B4C" w:rsidR="0050054B" w:rsidRPr="0050054B" w:rsidRDefault="0050054B" w:rsidP="0050054B">
      <w:pPr>
        <w:numPr>
          <w:ilvl w:val="0"/>
          <w:numId w:val="6"/>
        </w:numPr>
        <w:spacing w:line="278" w:lineRule="auto"/>
      </w:pPr>
      <w:r w:rsidRPr="0050054B">
        <w:rPr>
          <w:b/>
          <w:bCs/>
        </w:rPr>
        <w:t>Expansion Surge (2000–2001):</w:t>
      </w:r>
      <w:r w:rsidRPr="0050054B">
        <w:t xml:space="preserve"> Recruitment grew rapidly from 189 hires in 2000 to over 900 hires per year starting in 2001. </w:t>
      </w:r>
    </w:p>
    <w:p w14:paraId="36D447A9" w14:textId="17C1A73C" w:rsidR="0050054B" w:rsidRPr="0050054B" w:rsidRDefault="0050054B" w:rsidP="0050054B">
      <w:pPr>
        <w:numPr>
          <w:ilvl w:val="0"/>
          <w:numId w:val="6"/>
        </w:numPr>
        <w:spacing w:line="278" w:lineRule="auto"/>
      </w:pPr>
      <w:r w:rsidRPr="0050054B">
        <w:rPr>
          <w:b/>
          <w:bCs/>
        </w:rPr>
        <w:t>Baseline Stability (2001–2020):</w:t>
      </w:r>
      <w:r w:rsidRPr="0050054B">
        <w:t xml:space="preserve"> Annual hiring stabilized into a consistent range between </w:t>
      </w:r>
      <w:r w:rsidRPr="0050054B">
        <w:rPr>
          <w:b/>
          <w:bCs/>
        </w:rPr>
        <w:t>830 and 970 hires</w:t>
      </w:r>
      <w:r w:rsidRPr="0050054B">
        <w:t xml:space="preserve"> per year over two decades. </w:t>
      </w:r>
    </w:p>
    <w:p w14:paraId="60ECA524" w14:textId="42D496F2" w:rsidR="0050054B" w:rsidRPr="0050054B" w:rsidRDefault="0050054B" w:rsidP="0050054B">
      <w:pPr>
        <w:numPr>
          <w:ilvl w:val="0"/>
          <w:numId w:val="6"/>
        </w:numPr>
        <w:spacing w:line="278" w:lineRule="auto"/>
      </w:pPr>
      <w:r w:rsidRPr="0050054B">
        <w:rPr>
          <w:b/>
          <w:bCs/>
        </w:rPr>
        <w:t>Recent Hiring Trend (2018–2020):</w:t>
      </w:r>
      <w:r w:rsidRPr="0050054B">
        <w:t xml:space="preserve"> Recruitment peaked at </w:t>
      </w:r>
      <w:r w:rsidRPr="0050054B">
        <w:rPr>
          <w:b/>
          <w:bCs/>
        </w:rPr>
        <w:t>969 hires in 2018</w:t>
      </w:r>
      <w:r w:rsidRPr="0050054B">
        <w:t xml:space="preserve"> before dropping by 13.4% to </w:t>
      </w:r>
      <w:r w:rsidRPr="0050054B">
        <w:rPr>
          <w:b/>
          <w:bCs/>
        </w:rPr>
        <w:t>839 hires in 2020</w:t>
      </w:r>
      <w:r w:rsidRPr="0050054B">
        <w:t xml:space="preserve">. </w:t>
      </w:r>
    </w:p>
    <w:p w14:paraId="71883203" w14:textId="77777777" w:rsidR="0050054B" w:rsidRPr="002C45A1" w:rsidRDefault="0050054B" w:rsidP="0050054B">
      <w:pPr>
        <w:spacing w:line="278" w:lineRule="auto"/>
        <w:rPr>
          <w:sz w:val="28"/>
          <w:szCs w:val="28"/>
        </w:rPr>
      </w:pPr>
      <w:r w:rsidRPr="002C45A1">
        <w:rPr>
          <w:b/>
          <w:bCs/>
          <w:sz w:val="28"/>
          <w:szCs w:val="28"/>
        </w:rPr>
        <w:t>Demographics &amp; Departmental Breakdown</w:t>
      </w:r>
    </w:p>
    <w:p w14:paraId="6C2B4079" w14:textId="67CD7F58" w:rsidR="0050054B" w:rsidRPr="0050054B" w:rsidRDefault="0050054B" w:rsidP="0050054B">
      <w:pPr>
        <w:numPr>
          <w:ilvl w:val="0"/>
          <w:numId w:val="7"/>
        </w:numPr>
        <w:spacing w:line="278" w:lineRule="auto"/>
      </w:pPr>
      <w:r w:rsidRPr="0050054B">
        <w:rPr>
          <w:b/>
          <w:bCs/>
        </w:rPr>
        <w:t>Gender Ratio:</w:t>
      </w:r>
      <w:r w:rsidRPr="0050054B">
        <w:t xml:space="preserve"> Highly balanced active gender distribution comprising </w:t>
      </w:r>
      <w:r w:rsidRPr="0050054B">
        <w:rPr>
          <w:b/>
          <w:bCs/>
        </w:rPr>
        <w:t>51.01% Male</w:t>
      </w:r>
      <w:r w:rsidRPr="0050054B">
        <w:t xml:space="preserve"> (9K), </w:t>
      </w:r>
      <w:r w:rsidRPr="0050054B">
        <w:rPr>
          <w:b/>
          <w:bCs/>
        </w:rPr>
        <w:t>46.24% Female</w:t>
      </w:r>
      <w:r w:rsidRPr="0050054B">
        <w:t xml:space="preserve"> (8K), and </w:t>
      </w:r>
      <w:r w:rsidRPr="0050054B">
        <w:rPr>
          <w:b/>
          <w:bCs/>
        </w:rPr>
        <w:t xml:space="preserve">2.75% </w:t>
      </w:r>
      <w:proofErr w:type="gramStart"/>
      <w:r w:rsidRPr="0050054B">
        <w:rPr>
          <w:b/>
          <w:bCs/>
        </w:rPr>
        <w:t>Non-Conforming</w:t>
      </w:r>
      <w:proofErr w:type="gramEnd"/>
      <w:r w:rsidRPr="0050054B">
        <w:t xml:space="preserve"> (1K). </w:t>
      </w:r>
    </w:p>
    <w:p w14:paraId="2CCF5CD1" w14:textId="4E67F42E" w:rsidR="0050054B" w:rsidRPr="0050054B" w:rsidRDefault="0050054B" w:rsidP="0050054B">
      <w:pPr>
        <w:numPr>
          <w:ilvl w:val="0"/>
          <w:numId w:val="7"/>
        </w:numPr>
        <w:spacing w:line="278" w:lineRule="auto"/>
      </w:pPr>
      <w:r w:rsidRPr="0050054B">
        <w:rPr>
          <w:b/>
          <w:bCs/>
        </w:rPr>
        <w:t>Race &amp; Ethnicity:</w:t>
      </w:r>
      <w:r w:rsidRPr="0050054B">
        <w:t xml:space="preserve"> White employees form the largest group (</w:t>
      </w:r>
      <w:r w:rsidRPr="0050054B">
        <w:rPr>
          <w:b/>
          <w:bCs/>
        </w:rPr>
        <w:t>5.2K</w:t>
      </w:r>
      <w:r w:rsidRPr="0050054B">
        <w:t>), followed by Black/African American (</w:t>
      </w:r>
      <w:r w:rsidRPr="0050054B">
        <w:rPr>
          <w:b/>
          <w:bCs/>
        </w:rPr>
        <w:t>3.0K</w:t>
      </w:r>
      <w:r w:rsidRPr="0050054B">
        <w:t>), Two or More Races (</w:t>
      </w:r>
      <w:r w:rsidRPr="0050054B">
        <w:rPr>
          <w:b/>
          <w:bCs/>
        </w:rPr>
        <w:t>3.0K</w:t>
      </w:r>
      <w:r w:rsidRPr="0050054B">
        <w:t>), and Asian (</w:t>
      </w:r>
      <w:r w:rsidRPr="0050054B">
        <w:rPr>
          <w:b/>
          <w:bCs/>
        </w:rPr>
        <w:t>2.9K</w:t>
      </w:r>
      <w:r w:rsidRPr="0050054B">
        <w:t xml:space="preserve">). </w:t>
      </w:r>
    </w:p>
    <w:p w14:paraId="72392D09" w14:textId="4A2C4360" w:rsidR="0050054B" w:rsidRPr="0050054B" w:rsidRDefault="0050054B" w:rsidP="0050054B">
      <w:pPr>
        <w:numPr>
          <w:ilvl w:val="0"/>
          <w:numId w:val="7"/>
        </w:numPr>
        <w:spacing w:line="278" w:lineRule="auto"/>
      </w:pPr>
      <w:r w:rsidRPr="0050054B">
        <w:rPr>
          <w:b/>
          <w:bCs/>
        </w:rPr>
        <w:t>Departmental Concentration:</w:t>
      </w:r>
      <w:r w:rsidRPr="0050054B">
        <w:t xml:space="preserve"> </w:t>
      </w:r>
      <w:r w:rsidRPr="0050054B">
        <w:rPr>
          <w:b/>
          <w:bCs/>
        </w:rPr>
        <w:t>Engineering</w:t>
      </w:r>
      <w:r w:rsidRPr="0050054B">
        <w:t xml:space="preserve"> is the dominant department with </w:t>
      </w:r>
      <w:r w:rsidRPr="0050054B">
        <w:rPr>
          <w:b/>
          <w:bCs/>
        </w:rPr>
        <w:t>5.5K employees</w:t>
      </w:r>
      <w:r w:rsidRPr="0050054B">
        <w:t xml:space="preserve">, followed by </w:t>
      </w:r>
      <w:proofErr w:type="gramStart"/>
      <w:r w:rsidRPr="0050054B">
        <w:t>Accounting</w:t>
      </w:r>
      <w:proofErr w:type="gramEnd"/>
      <w:r w:rsidRPr="0050054B">
        <w:t xml:space="preserve"> (</w:t>
      </w:r>
      <w:r w:rsidRPr="0050054B">
        <w:rPr>
          <w:b/>
          <w:bCs/>
        </w:rPr>
        <w:t>2.7K</w:t>
      </w:r>
      <w:r w:rsidRPr="0050054B">
        <w:t>), Sales (</w:t>
      </w:r>
      <w:r w:rsidRPr="0050054B">
        <w:rPr>
          <w:b/>
          <w:bCs/>
        </w:rPr>
        <w:t>1.5K</w:t>
      </w:r>
      <w:r w:rsidRPr="0050054B">
        <w:t>), and HR (</w:t>
      </w:r>
      <w:r w:rsidRPr="0050054B">
        <w:rPr>
          <w:b/>
          <w:bCs/>
        </w:rPr>
        <w:t>1.5K</w:t>
      </w:r>
      <w:r w:rsidRPr="0050054B">
        <w:t xml:space="preserve">). </w:t>
      </w:r>
    </w:p>
    <w:p w14:paraId="1681B0C0" w14:textId="77777777" w:rsidR="0050054B" w:rsidRPr="002C45A1" w:rsidRDefault="0050054B" w:rsidP="0050054B">
      <w:pPr>
        <w:spacing w:line="278" w:lineRule="auto"/>
        <w:rPr>
          <w:b/>
          <w:bCs/>
          <w:sz w:val="36"/>
          <w:szCs w:val="36"/>
        </w:rPr>
      </w:pPr>
      <w:r w:rsidRPr="002C45A1">
        <w:rPr>
          <w:b/>
          <w:bCs/>
          <w:sz w:val="36"/>
          <w:szCs w:val="36"/>
        </w:rPr>
        <w:t>4. Strategic Recommendations</w:t>
      </w:r>
    </w:p>
    <w:p w14:paraId="5F607F64" w14:textId="5956F533" w:rsidR="0050054B" w:rsidRPr="0050054B" w:rsidRDefault="0050054B" w:rsidP="0050054B">
      <w:pPr>
        <w:numPr>
          <w:ilvl w:val="0"/>
          <w:numId w:val="8"/>
        </w:numPr>
        <w:spacing w:line="278" w:lineRule="auto"/>
      </w:pPr>
      <w:r w:rsidRPr="0050054B">
        <w:rPr>
          <w:b/>
          <w:bCs/>
        </w:rPr>
        <w:t>Mitigate Location Risk:</w:t>
      </w:r>
      <w:r w:rsidRPr="0050054B">
        <w:t xml:space="preserve"> Develop operational contingency plans to address the high reliance on Ohio (15K employees) and headquarters infrastructure. </w:t>
      </w:r>
    </w:p>
    <w:p w14:paraId="7A3258FE" w14:textId="3461FE0D" w:rsidR="0050054B" w:rsidRPr="0050054B" w:rsidRDefault="0050054B" w:rsidP="0050054B">
      <w:pPr>
        <w:numPr>
          <w:ilvl w:val="0"/>
          <w:numId w:val="8"/>
        </w:numPr>
        <w:spacing w:line="278" w:lineRule="auto"/>
      </w:pPr>
      <w:r w:rsidRPr="0050054B">
        <w:rPr>
          <w:b/>
          <w:bCs/>
        </w:rPr>
        <w:t>Expand Remote Sourcing:</w:t>
      </w:r>
      <w:r w:rsidRPr="0050054B">
        <w:t xml:space="preserve"> Leverage the 25% remote foundation to expand recruitment into new geographical regions, reducing physical office overhead. </w:t>
      </w:r>
    </w:p>
    <w:p w14:paraId="557F8295" w14:textId="3C21D0C6" w:rsidR="0050054B" w:rsidRPr="0050054B" w:rsidRDefault="0050054B" w:rsidP="0050054B">
      <w:pPr>
        <w:numPr>
          <w:ilvl w:val="0"/>
          <w:numId w:val="8"/>
        </w:numPr>
        <w:spacing w:line="278" w:lineRule="auto"/>
      </w:pPr>
      <w:r w:rsidRPr="0050054B">
        <w:rPr>
          <w:b/>
          <w:bCs/>
        </w:rPr>
        <w:t>Investigate Hiring Slowdown:</w:t>
      </w:r>
      <w:r w:rsidRPr="0050054B">
        <w:t xml:space="preserve"> Conduct a deeper turnover analysis to determine if the 2018–2020 drop in hiring (969 to 839) was driven by improved retention or capacity cuts. </w:t>
      </w:r>
    </w:p>
    <w:p w14:paraId="2648ECF6" w14:textId="77777777" w:rsidR="0037590B" w:rsidRPr="0050054B" w:rsidRDefault="0037590B" w:rsidP="0050054B"/>
    <w:sectPr w:rsidR="0037590B" w:rsidRPr="0050054B" w:rsidSect="00AF1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46D"/>
    <w:multiLevelType w:val="multilevel"/>
    <w:tmpl w:val="BEE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3AF8"/>
    <w:multiLevelType w:val="multilevel"/>
    <w:tmpl w:val="04B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3F02A0"/>
    <w:multiLevelType w:val="multilevel"/>
    <w:tmpl w:val="CB9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873DEC"/>
    <w:multiLevelType w:val="multilevel"/>
    <w:tmpl w:val="794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D1B48"/>
    <w:multiLevelType w:val="multilevel"/>
    <w:tmpl w:val="B22C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E635F"/>
    <w:multiLevelType w:val="multilevel"/>
    <w:tmpl w:val="EA94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F599B"/>
    <w:multiLevelType w:val="multilevel"/>
    <w:tmpl w:val="D1F2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D22CD9"/>
    <w:multiLevelType w:val="multilevel"/>
    <w:tmpl w:val="79D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8659706">
    <w:abstractNumId w:val="7"/>
  </w:num>
  <w:num w:numId="2" w16cid:durableId="2066221650">
    <w:abstractNumId w:val="2"/>
  </w:num>
  <w:num w:numId="3" w16cid:durableId="1735009748">
    <w:abstractNumId w:val="1"/>
  </w:num>
  <w:num w:numId="4" w16cid:durableId="1716540676">
    <w:abstractNumId w:val="6"/>
  </w:num>
  <w:num w:numId="5" w16cid:durableId="16464372">
    <w:abstractNumId w:val="5"/>
  </w:num>
  <w:num w:numId="6" w16cid:durableId="836925957">
    <w:abstractNumId w:val="0"/>
  </w:num>
  <w:num w:numId="7" w16cid:durableId="1867789090">
    <w:abstractNumId w:val="3"/>
  </w:num>
  <w:num w:numId="8" w16cid:durableId="1884898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4B"/>
    <w:rsid w:val="000968B8"/>
    <w:rsid w:val="002C45A1"/>
    <w:rsid w:val="002F11A9"/>
    <w:rsid w:val="0037590B"/>
    <w:rsid w:val="0050054B"/>
    <w:rsid w:val="0059073F"/>
    <w:rsid w:val="0092307D"/>
    <w:rsid w:val="00AE64AB"/>
    <w:rsid w:val="00AF1DF4"/>
    <w:rsid w:val="00DA0899"/>
    <w:rsid w:val="00F3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F23F"/>
  <w15:chartTrackingRefBased/>
  <w15:docId w15:val="{E7D5AAB5-C96E-4A5B-843C-BABFB7FB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4AB"/>
  </w:style>
  <w:style w:type="paragraph" w:styleId="Heading1">
    <w:name w:val="heading 1"/>
    <w:basedOn w:val="Normal"/>
    <w:next w:val="Normal"/>
    <w:link w:val="Heading1Char"/>
    <w:uiPriority w:val="9"/>
    <w:qFormat/>
    <w:rsid w:val="00AE64A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4A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A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A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A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AB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4A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A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A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A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A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A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A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AB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E64AB"/>
    <w:pPr>
      <w:pBdr>
        <w:top w:val="single" w:sz="6" w:space="8" w:color="37A76F" w:themeColor="accent3"/>
        <w:bottom w:val="single" w:sz="6" w:space="8" w:color="37A76F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55F5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E64AB"/>
    <w:rPr>
      <w:rFonts w:asciiTheme="majorHAnsi" w:eastAsiaTheme="majorEastAsia" w:hAnsiTheme="majorHAnsi" w:cstheme="majorBidi"/>
      <w:caps/>
      <w:color w:val="455F5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AB"/>
    <w:pPr>
      <w:numPr>
        <w:ilvl w:val="1"/>
      </w:numPr>
      <w:jc w:val="center"/>
    </w:pPr>
    <w:rPr>
      <w:color w:val="455F5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4AB"/>
    <w:rPr>
      <w:color w:val="455F5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AB"/>
    <w:pPr>
      <w:spacing w:before="160"/>
      <w:ind w:left="720" w:right="720"/>
      <w:jc w:val="center"/>
    </w:pPr>
    <w:rPr>
      <w:i/>
      <w:iCs/>
      <w:color w:val="297C5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E64AB"/>
    <w:rPr>
      <w:i/>
      <w:iCs/>
      <w:color w:val="297C52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00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4A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A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729928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AB"/>
    <w:rPr>
      <w:rFonts w:asciiTheme="majorHAnsi" w:eastAsiaTheme="majorEastAsia" w:hAnsiTheme="majorHAnsi" w:cstheme="majorBidi"/>
      <w:caps/>
      <w:color w:val="729928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E64AB"/>
    <w:rPr>
      <w:b/>
      <w:bCs/>
      <w:caps w:val="0"/>
      <w:smallCaps/>
      <w:color w:val="auto"/>
      <w:spacing w:val="0"/>
      <w:u w:val="single"/>
    </w:rPr>
  </w:style>
  <w:style w:type="table" w:styleId="TableGrid">
    <w:name w:val="Table Grid"/>
    <w:basedOn w:val="TableNormal"/>
    <w:uiPriority w:val="39"/>
    <w:rsid w:val="00500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E64A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E64AB"/>
    <w:rPr>
      <w:b/>
      <w:bCs/>
    </w:rPr>
  </w:style>
  <w:style w:type="character" w:styleId="Emphasis">
    <w:name w:val="Emphasis"/>
    <w:basedOn w:val="DefaultParagraphFont"/>
    <w:uiPriority w:val="20"/>
    <w:qFormat/>
    <w:rsid w:val="00AE64AB"/>
    <w:rPr>
      <w:i/>
      <w:iCs/>
      <w:color w:val="000000" w:themeColor="text1"/>
    </w:rPr>
  </w:style>
  <w:style w:type="paragraph" w:styleId="NoSpacing">
    <w:name w:val="No Spacing"/>
    <w:uiPriority w:val="1"/>
    <w:qFormat/>
    <w:rsid w:val="00AE64A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E64A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E64A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E64A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64A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Gallery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B423D-BA6F-4DD2-A64F-625429255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A</dc:creator>
  <cp:keywords/>
  <dc:description/>
  <cp:lastModifiedBy>pavan A</cp:lastModifiedBy>
  <cp:revision>3</cp:revision>
  <dcterms:created xsi:type="dcterms:W3CDTF">2026-08-28T10:25:00Z</dcterms:created>
  <dcterms:modified xsi:type="dcterms:W3CDTF">2026-08-29T05:53:00Z</dcterms:modified>
</cp:coreProperties>
</file>