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A2FD6"/>
          <w:spacing w:val="60"/>
          <w:sz w:val="20"/>
          <w:szCs w:val="20"/>
        </w:rPr>
        <w:t xml:space="preserve">KYRO</w:t>
      </w:r>
    </w:p>
    <w:p>
      <w:pPr>
        <w:spacing w:after="100"/>
      </w:pPr>
      <w:r>
        <w:rPr>
          <w:rFonts w:ascii="Calibri" w:cs="Calibri" w:eastAsia="Calibri" w:hAnsi="Calibri"/>
          <w:b/>
          <w:bCs/>
          <w:color w:val="1A1A22"/>
          <w:sz w:val="44"/>
          <w:szCs w:val="44"/>
        </w:rPr>
        <w:t xml:space="preserve">Order Attribution Model</w:t>
      </w:r>
    </w:p>
    <w:p>
      <w:pPr>
        <w:pBdr>
          <w:bottom w:val="single" w:color="D8D5E4" w:sz="6" w:space="6"/>
        </w:pBdr>
        <w:spacing w:after="160"/>
      </w:pPr>
      <w:r>
        <w:rPr>
          <w:rFonts w:ascii="Calibri" w:cs="Calibri" w:eastAsia="Calibri" w:hAnsi="Calibri"/>
          <w:color w:val="5C5A6B"/>
          <w:sz w:val="24"/>
          <w:szCs w:val="24"/>
        </w:rPr>
        <w:t xml:space="preserve">How a Shopify order is linked back to the creator video that drove it.</w:t>
      </w:r>
    </w:p>
    <w:p>
      <w:pPr>
        <w:spacing w:after="320"/>
      </w:pPr>
      <w:r>
        <w:rPr>
          <w:rFonts w:ascii="Calibri" w:cs="Calibri" w:eastAsia="Calibri" w:hAnsi="Calibri"/>
          <w:color w:val="5C5A6B"/>
          <w:sz w:val="18"/>
          <w:szCs w:val="18"/>
        </w:rPr>
        <w:t xml:space="preserve">Version 1.0  ·  16 September 2026  ·  Kyvo LLC  ·  Internal reference</w:t>
      </w:r>
    </w:p>
    <w:p>
      <w:pPr>
        <w:pStyle w:val="Heading1"/>
        <w:spacing w:after="160" w:before="420"/>
      </w:pPr>
      <w:r>
        <w:rPr>
          <w:rFonts w:ascii="Calibri" w:cs="Calibri" w:eastAsia="Calibri" w:hAnsi="Calibri"/>
          <w:b/>
          <w:bCs/>
          <w:color w:val="1A1A22"/>
          <w:sz w:val="30"/>
          <w:szCs w:val="30"/>
        </w:rPr>
        <w:t xml:space="preserve">1. What KYRO can and cannot prove</w:t>
      </w:r>
    </w:p>
    <w:p>
      <w:pPr>
        <w:spacing w:after="160" w:line="276"/>
      </w:pPr>
      <w:r>
        <w:rPr>
          <w:rFonts w:ascii="Calibri" w:cs="Calibri" w:eastAsia="Calibri" w:hAnsi="Calibri"/>
          <w:b/>
          <w:bCs/>
          <w:color w:val="1A1A22"/>
          <w:sz w:val="21"/>
          <w:szCs w:val="21"/>
        </w:rPr>
        <w:t xml:space="preserve">KYRO cannot prove causation. </w:t>
      </w:r>
      <w:r>
        <w:rPr>
          <w:rFonts w:ascii="Calibri" w:cs="Calibri" w:eastAsia="Calibri" w:hAnsi="Calibri"/>
          <w:color w:val="1A1A22"/>
          <w:sz w:val="21"/>
          <w:szCs w:val="21"/>
        </w:rPr>
        <w:t xml:space="preserve">No advertising platform can. It is not possible to demonstrate that a person bought a product </w:t>
      </w:r>
      <w:r>
        <w:rPr>
          <w:rFonts w:ascii="Calibri" w:cs="Calibri" w:eastAsia="Calibri" w:hAnsi="Calibri"/>
          <w:i/>
          <w:iCs/>
          <w:color w:val="1A1A22"/>
          <w:sz w:val="21"/>
          <w:szCs w:val="21"/>
        </w:rPr>
        <w:t xml:space="preserve">because</w:t>
      </w:r>
      <w:r>
        <w:rPr>
          <w:rFonts w:ascii="Calibri" w:cs="Calibri" w:eastAsia="Calibri" w:hAnsi="Calibri"/>
          <w:color w:val="1A1A22"/>
          <w:sz w:val="21"/>
          <w:szCs w:val="21"/>
        </w:rPr>
        <w:t xml:space="preserve"> they saw a particular video, any more than a television network can prove a commercial caused a sale.</w:t>
      </w:r>
    </w:p>
    <w:p>
      <w:pPr>
        <w:spacing w:after="160" w:line="276"/>
      </w:pPr>
      <w:r>
        <w:rPr>
          <w:rFonts w:ascii="Calibri" w:cs="Calibri" w:eastAsia="Calibri" w:hAnsi="Calibri"/>
          <w:color w:val="1A1A22"/>
          <w:sz w:val="21"/>
          <w:szCs w:val="21"/>
        </w:rPr>
        <w:t xml:space="preserve">What KYRO can prove is a </w:t>
      </w:r>
      <w:r>
        <w:rPr>
          <w:rFonts w:ascii="Calibri" w:cs="Calibri" w:eastAsia="Calibri" w:hAnsi="Calibri"/>
          <w:b/>
          <w:bCs/>
          <w:color w:val="1A1A22"/>
          <w:sz w:val="21"/>
          <w:szCs w:val="21"/>
        </w:rPr>
        <w:t xml:space="preserve">chain of custody on a tracking token</w:t>
      </w:r>
      <w:r>
        <w:rPr>
          <w:rFonts w:ascii="Calibri" w:cs="Calibri" w:eastAsia="Calibri" w:hAnsi="Calibri"/>
          <w:color w:val="1A1A22"/>
          <w:sz w:val="21"/>
          <w:szCs w:val="21"/>
        </w:rPr>
        <w:t xml:space="preserve">: this order arrived carrying this identifier, that identifier was attached to exactly one ad, and that ad ran exactly one creator’s video. That chain is auditable, reproducible, and inspectable by both the brand and the creator.</w:t>
      </w:r>
    </w:p>
    <w:p>
      <w:pPr>
        <w:pBdr>
          <w:left w:val="single" w:color="4A2FD6" w:sz="18" w:space="8"/>
        </w:pBdr>
        <w:shd w:fill="F2EFFC" w:val="clear"/>
        <w:spacing w:after="0" w:before="180"/>
      </w:pPr>
      <w:r>
        <w:rPr>
          <w:rFonts w:ascii="Calibri" w:cs="Calibri" w:eastAsia="Calibri" w:hAnsi="Calibri"/>
          <w:b/>
          <w:bCs/>
          <w:color w:val="4A2FD6"/>
          <w:spacing w:val="30"/>
          <w:sz w:val="16"/>
          <w:szCs w:val="16"/>
        </w:rPr>
        <w:t xml:space="preserve">WHY THIS DISTINCTION MATTERS</w:t>
      </w:r>
    </w:p>
    <w:p>
      <w:pPr>
        <w:pBdr>
          <w:left w:val="single" w:color="4A2FD6" w:sz="18" w:space="8"/>
        </w:pBdr>
        <w:shd w:fill="F2EFFC" w:val="clear"/>
        <w:spacing w:after="200" w:before="60" w:line="276"/>
      </w:pPr>
      <w:r>
        <w:rPr>
          <w:rFonts w:ascii="Calibri" w:cs="Calibri" w:eastAsia="Calibri" w:hAnsi="Calibri"/>
          <w:color w:val="1A1A22"/>
          <w:sz w:val="21"/>
          <w:szCs w:val="21"/>
        </w:rPr>
        <w:t xml:space="preserve">The Terms of Service state that commission is owed on </w:t>
      </w:r>
      <w:r>
        <w:rPr>
          <w:rFonts w:ascii="Calibri" w:cs="Calibri" w:eastAsia="Calibri" w:hAnsi="Calibri"/>
          <w:b/>
          <w:bCs/>
          <w:color w:val="1A1A22"/>
          <w:sz w:val="21"/>
          <w:szCs w:val="21"/>
        </w:rPr>
        <w:t xml:space="preserve">tracked orders attributed under the published rule</w:t>
      </w:r>
      <w:r>
        <w:rPr>
          <w:rFonts w:ascii="Calibri" w:cs="Calibri" w:eastAsia="Calibri" w:hAnsi="Calibri"/>
          <w:color w:val="1A1A22"/>
          <w:sz w:val="21"/>
          <w:szCs w:val="21"/>
        </w:rPr>
        <w:t xml:space="preserve">, not on “sales the video caused.” That converts an unprovable causal claim into an auditable contractual one, which is the only version that survives a dispute.</w:t>
      </w:r>
    </w:p>
    <w:p>
      <w:pPr>
        <w:pStyle w:val="Heading1"/>
        <w:spacing w:after="160" w:before="420"/>
      </w:pPr>
      <w:r>
        <w:rPr>
          <w:rFonts w:ascii="Calibri" w:cs="Calibri" w:eastAsia="Calibri" w:hAnsi="Calibri"/>
          <w:b/>
          <w:bCs/>
          <w:color w:val="1A1A22"/>
          <w:sz w:val="30"/>
          <w:szCs w:val="30"/>
        </w:rPr>
        <w:t xml:space="preserve">2. Where the ad lives, and why it matters</w:t>
      </w:r>
    </w:p>
    <w:p>
      <w:pPr>
        <w:spacing w:after="160" w:line="276"/>
      </w:pPr>
      <w:r>
        <w:rPr>
          <w:rFonts w:ascii="Calibri" w:cs="Calibri" w:eastAsia="Calibri" w:hAnsi="Calibri"/>
          <w:color w:val="1A1A22"/>
          <w:sz w:val="21"/>
          <w:szCs w:val="21"/>
        </w:rPr>
        <w:t xml:space="preserve">Approved creator videos run as whitelisted Meta Partnership Ads </w:t>
      </w:r>
      <w:r>
        <w:rPr>
          <w:rFonts w:ascii="Calibri" w:cs="Calibri" w:eastAsia="Calibri" w:hAnsi="Calibri"/>
          <w:b/>
          <w:bCs/>
          <w:color w:val="1A1A22"/>
          <w:sz w:val="21"/>
          <w:szCs w:val="21"/>
        </w:rPr>
        <w:t xml:space="preserve">inside the brand’s own ad account</w:t>
      </w:r>
      <w:r>
        <w:rPr>
          <w:rFonts w:ascii="Calibri" w:cs="Calibri" w:eastAsia="Calibri" w:hAnsi="Calibri"/>
          <w:color w:val="1A1A22"/>
          <w:sz w:val="21"/>
          <w:szCs w:val="21"/>
        </w:rPr>
        <w:t xml:space="preserve">. KYRO creates the ad there using the access token the brand granted during onboarding. Meta bills the brand’s own payment method directly. The ad publishes under the creator’s handle.</w:t>
      </w:r>
    </w:p>
    <w:tbl>
      <w:tblPr>
        <w:tblW w:type="dxa" w:w="9360"/>
        <w:tblBorders>
          <w:top w:val="single" w:color="D8D5E4" w:sz="4"/>
          <w:left w:val="none" w:color="FFFFFF" w:sz="0"/>
          <w:bottom w:val="single" w:color="D8D5E4" w:sz="4"/>
          <w:right w:val="none" w:color="FFFFFF" w:sz="0"/>
          <w:insideH w:val="single" w:color="D8D5E4" w:sz="4"/>
          <w:insideV w:val="none" w:color="FFFFFF" w:sz="0"/>
        </w:tblBorders>
      </w:tblPr>
      <w:tblGrid>
        <w:gridCol w:w="2400"/>
        <w:gridCol w:w="6960"/>
      </w:tblGrid>
      <w:tr>
        <w:trPr>
          <w:tblHeader/>
        </w:trPr>
        <w:tc>
          <w:tcPr>
            <w:tcW w:type="dxa" w:w="2400"/>
            <w:shd w:fill="F4F2FA" w:val="clear"/>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Element</w:t>
            </w:r>
          </w:p>
        </w:tc>
        <w:tc>
          <w:tcPr>
            <w:tcW w:type="dxa" w:w="6960"/>
            <w:shd w:fill="F4F2FA" w:val="clear"/>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Whose it is</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Ad account</w:t>
            </w:r>
          </w:p>
        </w:tc>
        <w:tc>
          <w:tcPr>
            <w:tcW w:type="dxa" w:w="69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The brand’s. KYRO never owns or opens one.</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Media spend</w:t>
            </w:r>
          </w:p>
        </w:tc>
        <w:tc>
          <w:tcPr>
            <w:tcW w:type="dxa" w:w="69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The brand’s, billed by Meta directly. It never touches KYRO.</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Publishing handle</w:t>
            </w:r>
          </w:p>
        </w:tc>
        <w:tc>
          <w:tcPr>
            <w:tcW w:type="dxa" w:w="69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The creator’s. That is what whitelisting means.</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The video</w:t>
            </w:r>
          </w:p>
        </w:tc>
        <w:tc>
          <w:tcPr>
            <w:tcW w:type="dxa" w:w="69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The creator’s. Licensed to the brand, never transferred.</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Ad creation</w:t>
            </w:r>
          </w:p>
        </w:tc>
        <w:tc>
          <w:tcPr>
            <w:tcW w:type="dxa" w:w="69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KYRO, via the Marketing API, on the brand’s behalf.</w:t>
            </w:r>
          </w:p>
        </w:tc>
      </w:tr>
    </w:tbl>
    <w:p>
      <w:pPr>
        <w:spacing w:after="200"/>
      </w:pPr>
    </w:p>
    <w:p>
      <w:pPr>
        <w:pBdr>
          <w:left w:val="single" w:color="4A2FD6" w:sz="18" w:space="8"/>
        </w:pBdr>
        <w:shd w:fill="F2EFFC" w:val="clear"/>
        <w:spacing w:after="0" w:before="180"/>
      </w:pPr>
      <w:r>
        <w:rPr>
          <w:rFonts w:ascii="Calibri" w:cs="Calibri" w:eastAsia="Calibri" w:hAnsi="Calibri"/>
          <w:b/>
          <w:bCs/>
          <w:color w:val="4A2FD6"/>
          <w:spacing w:val="30"/>
          <w:sz w:val="16"/>
          <w:szCs w:val="16"/>
        </w:rPr>
        <w:t xml:space="preserve">THE HINGE OF THE WHOLE MODEL</w:t>
      </w:r>
    </w:p>
    <w:p>
      <w:pPr>
        <w:pBdr>
          <w:left w:val="single" w:color="4A2FD6" w:sz="18" w:space="8"/>
        </w:pBdr>
        <w:shd w:fill="F2EFFC" w:val="clear"/>
        <w:spacing w:after="200" w:before="60" w:line="276"/>
      </w:pPr>
      <w:r>
        <w:rPr>
          <w:rFonts w:ascii="Calibri" w:cs="Calibri" w:eastAsia="Calibri" w:hAnsi="Calibri"/>
          <w:color w:val="1A1A22"/>
          <w:sz w:val="21"/>
          <w:szCs w:val="21"/>
        </w:rPr>
        <w:t xml:space="preserve">Because KYRO creates the ad, KYRO controls the ad’s destination URL. That is where the tracking token is placed. If a brand built the ad themselves, there would be nowhere to inject an identifier and the attribution chain would not exist.</w:t>
      </w:r>
    </w:p>
    <w:p>
      <w:pPr>
        <w:pStyle w:val="Heading1"/>
        <w:spacing w:after="160" w:before="420"/>
      </w:pPr>
      <w:r>
        <w:rPr>
          <w:rFonts w:ascii="Calibri" w:cs="Calibri" w:eastAsia="Calibri" w:hAnsi="Calibri"/>
          <w:b/>
          <w:bCs/>
          <w:color w:val="1A1A22"/>
          <w:sz w:val="30"/>
          <w:szCs w:val="30"/>
        </w:rPr>
        <w:t xml:space="preserve">3. The tracking token, step by step</w:t>
      </w:r>
    </w:p>
    <w:p>
      <w:pPr>
        <w:pStyle w:val="ListParagraph"/>
        <w:numPr>
          <w:ilvl w:val="0"/>
          <w:numId w:val="2"/>
        </w:numPr>
        <w:spacing w:after="110" w:line="276"/>
      </w:pPr>
      <w:r>
        <w:rPr>
          <w:rFonts w:ascii="Calibri" w:cs="Calibri" w:eastAsia="Calibri" w:hAnsi="Calibri"/>
          <w:color w:val="1A1A22"/>
          <w:sz w:val="21"/>
          <w:szCs w:val="21"/>
        </w:rPr>
        <w:t xml:space="preserve">A creator uploads a video. KYRO stores it as a submission with its own identifier.</w:t>
      </w:r>
    </w:p>
    <w:p>
      <w:pPr>
        <w:pStyle w:val="ListParagraph"/>
        <w:numPr>
          <w:ilvl w:val="0"/>
          <w:numId w:val="2"/>
        </w:numPr>
        <w:spacing w:after="110" w:line="276"/>
      </w:pPr>
      <w:r>
        <w:rPr>
          <w:rFonts w:ascii="Calibri" w:cs="Calibri" w:eastAsia="Calibri" w:hAnsi="Calibri"/>
          <w:color w:val="1A1A22"/>
          <w:sz w:val="21"/>
          <w:szCs w:val="21"/>
        </w:rPr>
        <w:t xml:space="preserve">The brand approves it. A licence attaches to that specific video, scoped to their connected ad account.</w:t>
      </w:r>
    </w:p>
    <w:p>
      <w:pPr>
        <w:pStyle w:val="ListParagraph"/>
        <w:numPr>
          <w:ilvl w:val="0"/>
          <w:numId w:val="2"/>
        </w:numPr>
        <w:spacing w:after="110" w:line="276"/>
      </w:pPr>
      <w:r>
        <w:rPr>
          <w:rFonts w:ascii="Calibri" w:cs="Calibri" w:eastAsia="Calibri" w:hAnsi="Calibri"/>
          <w:color w:val="1A1A22"/>
          <w:sz w:val="21"/>
          <w:szCs w:val="21"/>
        </w:rPr>
        <w:t xml:space="preserve">KYRO pushes the video to Meta as an ad and sets the destination link itself, appending a token unique to that submission: </w:t>
      </w:r>
    </w:p>
    <w:p>
      <w:pPr>
        <w:shd w:fill="F6F5FA" w:val="clear"/>
        <w:spacing w:after="160" w:before="40"/>
        <w:ind w:left="420"/>
      </w:pPr>
      <w:r>
        <w:rPr>
          <w:rFonts w:ascii="Consolas" w:cs="Consolas" w:eastAsia="Consolas" w:hAnsi="Consolas"/>
          <w:color w:val="2A2440"/>
          <w:sz w:val="19"/>
          <w:szCs w:val="19"/>
        </w:rPr>
        <w:t xml:space="preserve">brandstore.com/products/x?utm_source=kyro&amp;utm_medium=paid&amp;utm_content=SUBMISSION_ID</w:t>
      </w:r>
    </w:p>
    <w:p>
      <w:pPr>
        <w:pStyle w:val="ListParagraph"/>
        <w:numPr>
          <w:ilvl w:val="0"/>
          <w:numId w:val="2"/>
        </w:numPr>
        <w:spacing w:after="110" w:line="276"/>
      </w:pPr>
      <w:r>
        <w:rPr>
          <w:rFonts w:ascii="Calibri" w:cs="Calibri" w:eastAsia="Calibri" w:hAnsi="Calibri"/>
          <w:color w:val="1A1A22"/>
          <w:sz w:val="21"/>
          <w:szCs w:val="21"/>
        </w:rPr>
        <w:t xml:space="preserve">Meta returns an ad ID. KYRO stores it against that submission. This is the second half of the join.</w:t>
      </w:r>
    </w:p>
    <w:p>
      <w:pPr>
        <w:pStyle w:val="ListParagraph"/>
        <w:numPr>
          <w:ilvl w:val="0"/>
          <w:numId w:val="2"/>
        </w:numPr>
        <w:spacing w:after="110" w:line="276"/>
      </w:pPr>
      <w:r>
        <w:rPr>
          <w:rFonts w:ascii="Calibri" w:cs="Calibri" w:eastAsia="Calibri" w:hAnsi="Calibri"/>
          <w:color w:val="1A1A22"/>
          <w:sz w:val="21"/>
          <w:szCs w:val="21"/>
        </w:rPr>
        <w:t xml:space="preserve">A shopper clicks the ad and lands on the store carrying the token.</w:t>
      </w:r>
    </w:p>
    <w:p>
      <w:pPr>
        <w:pStyle w:val="ListParagraph"/>
        <w:numPr>
          <w:ilvl w:val="0"/>
          <w:numId w:val="2"/>
        </w:numPr>
        <w:spacing w:after="110" w:line="276"/>
      </w:pPr>
      <w:r>
        <w:rPr>
          <w:rFonts w:ascii="Calibri" w:cs="Calibri" w:eastAsia="Calibri" w:hAnsi="Calibri"/>
          <w:color w:val="1A1A22"/>
          <w:sz w:val="21"/>
          <w:szCs w:val="21"/>
        </w:rPr>
        <w:t xml:space="preserve">Shopify records the visit and its parameters automatically. No script injection is required.</w:t>
      </w:r>
    </w:p>
    <w:p>
      <w:pPr>
        <w:pStyle w:val="ListParagraph"/>
        <w:numPr>
          <w:ilvl w:val="0"/>
          <w:numId w:val="2"/>
        </w:numPr>
        <w:spacing w:after="110" w:line="276"/>
      </w:pPr>
      <w:r>
        <w:rPr>
          <w:rFonts w:ascii="Calibri" w:cs="Calibri" w:eastAsia="Calibri" w:hAnsi="Calibri"/>
          <w:color w:val="1A1A22"/>
          <w:sz w:val="21"/>
          <w:szCs w:val="21"/>
        </w:rPr>
        <w:t xml:space="preserve">The order webhook fires. KYRO reads the order’s attribution data, finds the token, and writes an attribution row naming that creator.</w:t>
      </w:r>
    </w:p>
    <w:p>
      <w:pPr>
        <w:pStyle w:val="ListParagraph"/>
        <w:numPr>
          <w:ilvl w:val="0"/>
          <w:numId w:val="2"/>
        </w:numPr>
        <w:spacing w:after="110" w:line="276"/>
      </w:pPr>
      <w:r>
        <w:rPr>
          <w:rFonts w:ascii="Calibri" w:cs="Calibri" w:eastAsia="Calibri" w:hAnsi="Calibri"/>
          <w:color w:val="1A1A22"/>
          <w:sz w:val="21"/>
          <w:szCs w:val="21"/>
        </w:rPr>
        <w:t xml:space="preserve">Commission accrues against that creator at the campaign’s rate.</w:t>
      </w:r>
    </w:p>
    <w:p>
      <w:pPr>
        <w:spacing w:after="200" w:line="276"/>
      </w:pPr>
      <w:r>
        <w:rPr>
          <w:rFonts w:ascii="Calibri" w:cs="Calibri" w:eastAsia="Calibri" w:hAnsi="Calibri"/>
          <w:color w:val="1A1A22"/>
          <w:sz w:val="21"/>
          <w:szCs w:val="21"/>
        </w:rPr>
        <w:t xml:space="preserve">The token is unique per submission, set by KYRO, and never exposed in a form a brand could fabricate or a creator could claim on someone else’s behalf.</w:t>
      </w:r>
    </w:p>
    <w:p>
      <w:r>
        <w:br w:type="page"/>
      </w:r>
    </w:p>
    <w:p>
      <w:pPr>
        <w:pStyle w:val="Heading1"/>
        <w:spacing w:after="160" w:before="420"/>
      </w:pPr>
      <w:r>
        <w:rPr>
          <w:rFonts w:ascii="Calibri" w:cs="Calibri" w:eastAsia="Calibri" w:hAnsi="Calibri"/>
          <w:b/>
          <w:bCs/>
          <w:color w:val="1A1A22"/>
          <w:sz w:val="30"/>
          <w:szCs w:val="30"/>
        </w:rPr>
        <w:t xml:space="preserve">4. What Shopify actually provides</w:t>
      </w:r>
    </w:p>
    <w:p>
      <w:pPr>
        <w:spacing w:after="160" w:line="276"/>
      </w:pPr>
      <w:r>
        <w:rPr>
          <w:rFonts w:ascii="Calibri" w:cs="Calibri" w:eastAsia="Calibri" w:hAnsi="Calibri"/>
          <w:color w:val="1A1A22"/>
          <w:sz w:val="21"/>
          <w:szCs w:val="21"/>
        </w:rPr>
        <w:t xml:space="preserve">Shopify captures campaign parameters on a visit natively. The field to read is </w:t>
      </w:r>
      <w:r>
        <w:rPr>
          <w:rFonts w:ascii="Calibri" w:cs="Calibri" w:eastAsia="Calibri" w:hAnsi="Calibri"/>
          <w:i/>
          <w:iCs/>
          <w:color w:val="1A1A22"/>
          <w:sz w:val="21"/>
          <w:szCs w:val="21"/>
        </w:rPr>
        <w:t xml:space="preserve">not</w:t>
      </w:r>
      <w:r>
        <w:rPr>
          <w:rFonts w:ascii="Calibri" w:cs="Calibri" w:eastAsia="Calibri" w:hAnsi="Calibri"/>
          <w:color w:val="1A1A22"/>
          <w:sz w:val="21"/>
          <w:szCs w:val="21"/>
        </w:rPr>
        <w:t xml:space="preserve"> the older </w:t>
      </w:r>
      <w:r>
        <w:rPr>
          <w:rFonts w:ascii="Calibri" w:cs="Calibri" w:eastAsia="Calibri" w:hAnsi="Calibri"/>
          <w:color w:val="1A1A22"/>
          <w:sz w:val="21"/>
          <w:szCs w:val="21"/>
        </w:rPr>
      </w:r>
      <w:r>
        <w:rPr>
          <w:rFonts w:ascii="Calibri" w:cs="Calibri" w:eastAsia="Calibri" w:hAnsi="Calibri"/>
          <w:color w:val="1A1A22"/>
          <w:sz w:val="21"/>
          <w:szCs w:val="21"/>
        </w:rPr>
        <w:t xml:space="preserve"> property: Shopify retired the REST Admin API on 1 October 2024 and that field is deprecated.</w:t>
      </w:r>
    </w:p>
    <w:p>
      <w:pPr>
        <w:spacing w:after="160" w:line="276"/>
      </w:pPr>
      <w:r>
        <w:rPr>
          <w:rFonts w:ascii="Calibri" w:cs="Calibri" w:eastAsia="Calibri" w:hAnsi="Calibri"/>
          <w:color w:val="1A1A22"/>
          <w:sz w:val="21"/>
          <w:szCs w:val="21"/>
        </w:rPr>
        <w:t xml:space="preserve">The current surface is the GraphQL Admin API’s </w:t>
      </w:r>
      <w:r>
        <w:rPr>
          <w:rFonts w:ascii="Calibri" w:cs="Calibri" w:eastAsia="Calibri" w:hAnsi="Calibri"/>
          <w:b/>
          <w:bCs/>
          <w:color w:val="1A1A22"/>
          <w:sz w:val="21"/>
          <w:szCs w:val="21"/>
        </w:rPr>
        <w:t xml:space="preserve">customerJourneySummary</w:t>
      </w:r>
      <w:r>
        <w:rPr>
          <w:rFonts w:ascii="Calibri" w:cs="Calibri" w:eastAsia="Calibri" w:hAnsi="Calibri"/>
          <w:color w:val="1A1A22"/>
          <w:sz w:val="21"/>
          <w:szCs w:val="21"/>
        </w:rPr>
        <w:t xml:space="preserve"> and </w:t>
      </w:r>
      <w:r>
        <w:rPr>
          <w:rFonts w:ascii="Calibri" w:cs="Calibri" w:eastAsia="Calibri" w:hAnsi="Calibri"/>
          <w:b/>
          <w:bCs/>
          <w:color w:val="1A1A22"/>
          <w:sz w:val="21"/>
          <w:szCs w:val="21"/>
        </w:rPr>
        <w:t xml:space="preserve">customerVisit</w:t>
      </w:r>
      <w:r>
        <w:rPr>
          <w:rFonts w:ascii="Calibri" w:cs="Calibri" w:eastAsia="Calibri" w:hAnsi="Calibri"/>
          <w:color w:val="1A1A22"/>
          <w:sz w:val="21"/>
          <w:szCs w:val="21"/>
        </w:rPr>
        <w:t xml:space="preserve"> objects, which expose </w:t>
      </w:r>
      <w:r>
        <w:rPr>
          <w:rFonts w:ascii="Calibri" w:cs="Calibri" w:eastAsia="Calibri" w:hAnsi="Calibri"/>
          <w:color w:val="1A1A22"/>
          <w:sz w:val="21"/>
          <w:szCs w:val="21"/>
        </w:rPr>
      </w:r>
      <w:r>
        <w:rPr>
          <w:rFonts w:ascii="Calibri" w:cs="Calibri" w:eastAsia="Calibri" w:hAnsi="Calibri"/>
          <w:color w:val="1A1A22"/>
          <w:sz w:val="21"/>
          <w:szCs w:val="21"/>
        </w:rPr>
        <w:t xml:space="preserve">, </w:t>
      </w:r>
      <w:r>
        <w:rPr>
          <w:rFonts w:ascii="Calibri" w:cs="Calibri" w:eastAsia="Calibri" w:hAnsi="Calibri"/>
          <w:color w:val="1A1A22"/>
          <w:sz w:val="21"/>
          <w:szCs w:val="21"/>
        </w:rPr>
      </w:r>
      <w:r>
        <w:rPr>
          <w:rFonts w:ascii="Calibri" w:cs="Calibri" w:eastAsia="Calibri" w:hAnsi="Calibri"/>
          <w:color w:val="1A1A22"/>
          <w:sz w:val="21"/>
          <w:szCs w:val="21"/>
        </w:rPr>
        <w:t xml:space="preserve"> and </w:t>
      </w:r>
      <w:r>
        <w:rPr>
          <w:rFonts w:ascii="Calibri" w:cs="Calibri" w:eastAsia="Calibri" w:hAnsi="Calibri"/>
          <w:color w:val="1A1A22"/>
          <w:sz w:val="21"/>
          <w:szCs w:val="21"/>
        </w:rPr>
      </w:r>
      <w:r>
        <w:rPr>
          <w:rFonts w:ascii="Calibri" w:cs="Calibri" w:eastAsia="Calibri" w:hAnsi="Calibri"/>
          <w:color w:val="1A1A22"/>
          <w:sz w:val="21"/>
          <w:szCs w:val="21"/>
        </w:rPr>
        <w:t xml:space="preserve"> per visit.</w:t>
      </w:r>
    </w:p>
    <w:p>
      <w:pPr>
        <w:spacing w:after="160" w:line="276"/>
      </w:pPr>
      <w:r>
        <w:rPr>
          <w:rFonts w:ascii="Calibri" w:cs="Calibri" w:eastAsia="Calibri" w:hAnsi="Calibri"/>
          <w:color w:val="1A1A22"/>
          <w:sz w:val="21"/>
          <w:szCs w:val="21"/>
        </w:rPr>
        <w:t xml:space="preserve">This is richer than the old single field because it returns </w:t>
      </w:r>
      <w:r>
        <w:rPr>
          <w:rFonts w:ascii="Calibri" w:cs="Calibri" w:eastAsia="Calibri" w:hAnsi="Calibri"/>
          <w:b/>
          <w:bCs/>
          <w:color w:val="1A1A22"/>
          <w:sz w:val="21"/>
          <w:szCs w:val="21"/>
        </w:rPr>
        <w:t xml:space="preserve">multiple touchpoints</w:t>
      </w:r>
      <w:r>
        <w:rPr>
          <w:rFonts w:ascii="Calibri" w:cs="Calibri" w:eastAsia="Calibri" w:hAnsi="Calibri"/>
          <w:color w:val="1A1A22"/>
          <w:sz w:val="21"/>
          <w:szCs w:val="21"/>
        </w:rPr>
        <w:t xml:space="preserve"> rather than only the last one, which is what makes a considered multi-touch rule possible instead of a crude guess.</w:t>
      </w:r>
    </w:p>
    <w:p>
      <w:pPr>
        <w:pBdr>
          <w:left w:val="single" w:color="4A2FD6" w:sz="18" w:space="8"/>
        </w:pBdr>
        <w:shd w:fill="F2EFFC" w:val="clear"/>
        <w:spacing w:after="0" w:before="180"/>
      </w:pPr>
      <w:r>
        <w:rPr>
          <w:rFonts w:ascii="Calibri" w:cs="Calibri" w:eastAsia="Calibri" w:hAnsi="Calibri"/>
          <w:b/>
          <w:bCs/>
          <w:color w:val="4A2FD6"/>
          <w:spacing w:val="30"/>
          <w:sz w:val="16"/>
          <w:szCs w:val="16"/>
        </w:rPr>
        <w:t xml:space="preserve">DEPENDENCY WORTH NAMING</w:t>
      </w:r>
    </w:p>
    <w:p>
      <w:pPr>
        <w:pBdr>
          <w:left w:val="single" w:color="4A2FD6" w:sz="18" w:space="8"/>
        </w:pBdr>
        <w:shd w:fill="F2EFFC" w:val="clear"/>
        <w:spacing w:after="200" w:before="60" w:line="276"/>
      </w:pPr>
      <w:r>
        <w:rPr>
          <w:rFonts w:ascii="Calibri" w:cs="Calibri" w:eastAsia="Calibri" w:hAnsi="Calibri"/>
          <w:color w:val="1A1A22"/>
          <w:sz w:val="21"/>
          <w:szCs w:val="21"/>
        </w:rPr>
        <w:t xml:space="preserve">Customer journey data is customer browsing behaviour, which sits behind Shopify’s </w:t>
      </w:r>
      <w:r>
        <w:rPr>
          <w:rFonts w:ascii="Calibri" w:cs="Calibri" w:eastAsia="Calibri" w:hAnsi="Calibri"/>
          <w:b/>
          <w:bCs/>
          <w:color w:val="1A1A22"/>
          <w:sz w:val="21"/>
          <w:szCs w:val="21"/>
        </w:rPr>
        <w:t xml:space="preserve">protected customer data</w:t>
      </w:r>
      <w:r>
        <w:rPr>
          <w:rFonts w:ascii="Calibri" w:cs="Calibri" w:eastAsia="Calibri" w:hAnsi="Calibri"/>
          <w:color w:val="1A1A22"/>
          <w:sz w:val="21"/>
          <w:szCs w:val="21"/>
        </w:rPr>
        <w:t xml:space="preserve"> approval. KYRO’s attribution mechanism therefore depends on that request being granted. It is not side paperwork; it is a prerequisite.</w:t>
      </w:r>
    </w:p>
    <w:p>
      <w:pPr>
        <w:pStyle w:val="Heading1"/>
        <w:spacing w:after="160" w:before="420"/>
      </w:pPr>
      <w:r>
        <w:rPr>
          <w:rFonts w:ascii="Calibri" w:cs="Calibri" w:eastAsia="Calibri" w:hAnsi="Calibri"/>
          <w:b/>
          <w:bCs/>
          <w:color w:val="1A1A22"/>
          <w:sz w:val="30"/>
          <w:szCs w:val="30"/>
        </w:rPr>
        <w:t xml:space="preserve">5. Orders from other channels</w:t>
      </w:r>
    </w:p>
    <w:p>
      <w:pPr>
        <w:spacing w:after="160" w:line="276"/>
      </w:pPr>
      <w:r>
        <w:rPr>
          <w:rFonts w:ascii="Calibri" w:cs="Calibri" w:eastAsia="Calibri" w:hAnsi="Calibri"/>
          <w:color w:val="1A1A22"/>
          <w:sz w:val="21"/>
          <w:szCs w:val="21"/>
        </w:rPr>
        <w:t xml:space="preserve">A brand running KYRO also runs TikTok, email, Google, retail and organic social. Those channels drive orders too. The question is what KYRO does with them.</w:t>
      </w:r>
    </w:p>
    <w:p>
      <w:pPr>
        <w:pBdr>
          <w:left w:val="single" w:color="4A2FD6" w:sz="18" w:space="8"/>
        </w:pBdr>
        <w:shd w:fill="F2EFFC" w:val="clear"/>
        <w:spacing w:after="0" w:before="180"/>
      </w:pPr>
      <w:r>
        <w:rPr>
          <w:rFonts w:ascii="Calibri" w:cs="Calibri" w:eastAsia="Calibri" w:hAnsi="Calibri"/>
          <w:b/>
          <w:bCs/>
          <w:color w:val="4A2FD6"/>
          <w:spacing w:val="30"/>
          <w:sz w:val="16"/>
          <w:szCs w:val="16"/>
        </w:rPr>
        <w:t xml:space="preserve">THE ANSWER</w:t>
      </w:r>
    </w:p>
    <w:p>
      <w:pPr>
        <w:pBdr>
          <w:left w:val="single" w:color="4A2FD6" w:sz="18" w:space="8"/>
        </w:pBdr>
        <w:shd w:fill="F2EFFC" w:val="clear"/>
        <w:spacing w:after="200" w:before="60" w:line="276"/>
      </w:pPr>
      <w:r>
        <w:rPr>
          <w:rFonts w:ascii="Calibri" w:cs="Calibri" w:eastAsia="Calibri" w:hAnsi="Calibri"/>
          <w:color w:val="1A1A22"/>
          <w:sz w:val="21"/>
          <w:szCs w:val="21"/>
        </w:rPr>
        <w:t xml:space="preserve">An order carrying no KYRO token is not a KYRO order. No attribution row is written, no commission accrues, and nothing is billed. </w:t>
      </w:r>
      <w:r>
        <w:rPr>
          <w:rFonts w:ascii="Calibri" w:cs="Calibri" w:eastAsia="Calibri" w:hAnsi="Calibri"/>
          <w:b/>
          <w:bCs/>
          <w:color w:val="1A1A22"/>
          <w:sz w:val="21"/>
          <w:szCs w:val="21"/>
        </w:rPr>
        <w:t xml:space="preserve">The system’s default is to claim nothing.</w:t>
      </w:r>
    </w:p>
    <w:p>
      <w:pPr>
        <w:spacing w:after="160" w:line="276"/>
      </w:pPr>
      <w:r>
        <w:rPr>
          <w:rFonts w:ascii="Calibri" w:cs="Calibri" w:eastAsia="Calibri" w:hAnsi="Calibri"/>
          <w:color w:val="1A1A22"/>
          <w:sz w:val="21"/>
          <w:szCs w:val="21"/>
        </w:rPr>
        <w:t xml:space="preserve">This means KYRO’s exposure is </w:t>
      </w:r>
      <w:r>
        <w:rPr>
          <w:rFonts w:ascii="Calibri" w:cs="Calibri" w:eastAsia="Calibri" w:hAnsi="Calibri"/>
          <w:b/>
          <w:bCs/>
          <w:color w:val="1A1A22"/>
          <w:sz w:val="21"/>
          <w:szCs w:val="21"/>
        </w:rPr>
        <w:t xml:space="preserve">under-claiming, not over-claiming</w:t>
      </w:r>
      <w:r>
        <w:rPr>
          <w:rFonts w:ascii="Calibri" w:cs="Calibri" w:eastAsia="Calibri" w:hAnsi="Calibri"/>
          <w:color w:val="1A1A22"/>
          <w:sz w:val="21"/>
          <w:szCs w:val="21"/>
        </w:rPr>
        <w:t xml:space="preserve">. Some orders genuinely driven by a creator will be missed. No order the creator did not drive will be billed.</w:t>
      </w:r>
    </w:p>
    <w:p>
      <w:pPr>
        <w:spacing w:after="200" w:line="276"/>
      </w:pPr>
      <w:r>
        <w:rPr>
          <w:rFonts w:ascii="Calibri" w:cs="Calibri" w:eastAsia="Calibri" w:hAnsi="Calibri"/>
          <w:color w:val="1A1A22"/>
          <w:sz w:val="21"/>
          <w:szCs w:val="21"/>
        </w:rPr>
        <w:t xml:space="preserve">For a two-sided marketplace where trust is the scarce asset, that is the correct direction to be wrong in, and it is the version that holds up in front of a skeptical brand.</w:t>
      </w:r>
    </w:p>
    <w:p>
      <w:pPr>
        <w:pStyle w:val="Heading1"/>
        <w:spacing w:after="160" w:before="420"/>
      </w:pPr>
      <w:r>
        <w:rPr>
          <w:rFonts w:ascii="Calibri" w:cs="Calibri" w:eastAsia="Calibri" w:hAnsi="Calibri"/>
          <w:b/>
          <w:bCs/>
          <w:color w:val="1A1A22"/>
          <w:sz w:val="30"/>
          <w:szCs w:val="30"/>
        </w:rPr>
        <w:t xml:space="preserve">6. The attribution rule</w:t>
      </w:r>
    </w:p>
    <w:p>
      <w:pPr>
        <w:spacing w:after="160" w:line="276"/>
      </w:pPr>
      <w:r>
        <w:rPr>
          <w:rFonts w:ascii="Calibri" w:cs="Calibri" w:eastAsia="Calibri" w:hAnsi="Calibri"/>
          <w:color w:val="1A1A22"/>
          <w:sz w:val="21"/>
          <w:szCs w:val="21"/>
        </w:rPr>
        <w:t xml:space="preserve">When several creators’ ads touched the same buyer, something has to decide. Any rule is defensible. Choosing one </w:t>
      </w:r>
      <w:r>
        <w:rPr>
          <w:rFonts w:ascii="Calibri" w:cs="Calibri" w:eastAsia="Calibri" w:hAnsi="Calibri"/>
          <w:i/>
          <w:iCs/>
          <w:color w:val="1A1A22"/>
          <w:sz w:val="21"/>
          <w:szCs w:val="21"/>
        </w:rPr>
        <w:t xml:space="preserve">after</w:t>
      </w:r>
      <w:r>
        <w:rPr>
          <w:rFonts w:ascii="Calibri" w:cs="Calibri" w:eastAsia="Calibri" w:hAnsi="Calibri"/>
          <w:color w:val="1A1A22"/>
          <w:sz w:val="21"/>
          <w:szCs w:val="21"/>
        </w:rPr>
        <w:t xml:space="preserve"> a dispute is not.</w:t>
      </w:r>
    </w:p>
    <w:p>
      <w:pPr>
        <w:pBdr>
          <w:left w:val="single" w:color="4A2FD6" w:sz="18" w:space="8"/>
        </w:pBdr>
        <w:shd w:fill="F2EFFC" w:val="clear"/>
        <w:spacing w:after="0" w:before="180"/>
      </w:pPr>
      <w:r>
        <w:rPr>
          <w:rFonts w:ascii="Calibri" w:cs="Calibri" w:eastAsia="Calibri" w:hAnsi="Calibri"/>
          <w:b/>
          <w:bCs/>
          <w:color w:val="4A2FD6"/>
          <w:spacing w:val="30"/>
          <w:sz w:val="16"/>
          <w:szCs w:val="16"/>
        </w:rPr>
        <w:t xml:space="preserve">PUBLISHED BEFORE ANY CAMPAIGN RUNS</w:t>
      </w:r>
    </w:p>
    <w:p>
      <w:pPr>
        <w:pBdr>
          <w:left w:val="single" w:color="4A2FD6" w:sz="18" w:space="8"/>
        </w:pBdr>
        <w:shd w:fill="F2EFFC" w:val="clear"/>
        <w:spacing w:after="200" w:before="60" w:line="276"/>
      </w:pPr>
      <w:r>
        <w:rPr>
          <w:rFonts w:ascii="Calibri" w:cs="Calibri" w:eastAsia="Calibri" w:hAnsi="Calibri"/>
          <w:b/>
          <w:bCs/>
          <w:color w:val="1A1A22"/>
          <w:sz w:val="21"/>
          <w:szCs w:val="21"/>
        </w:rPr>
        <w:t xml:space="preserve">Last click within 7 days. One creator credited per order. Ties broken by the most recent touch. The connected Shopify store is the source of truth.</w:t>
      </w:r>
    </w:p>
    <w:p>
      <w:pPr>
        <w:spacing w:after="160" w:line="276"/>
      </w:pPr>
      <w:r>
        <w:rPr>
          <w:rFonts w:ascii="Calibri" w:cs="Calibri" w:eastAsia="Calibri" w:hAnsi="Calibri"/>
          <w:color w:val="1A1A22"/>
          <w:sz w:val="21"/>
          <w:szCs w:val="21"/>
        </w:rPr>
        <w:t xml:space="preserve">This appears in the campaign brief so creators read it before they apply, and in the brand agreement so it is contractually fixed rather than discretionary.</w:t>
      </w:r>
    </w:p>
    <w:p>
      <w:pPr>
        <w:pStyle w:val="Heading2"/>
        <w:spacing w:after="120" w:before="280"/>
      </w:pPr>
      <w:r>
        <w:rPr>
          <w:rFonts w:ascii="Calibri" w:cs="Calibri" w:eastAsia="Calibri" w:hAnsi="Calibri"/>
          <w:b/>
          <w:bCs/>
          <w:color w:val="4A2FD6"/>
          <w:sz w:val="23"/>
          <w:szCs w:val="23"/>
        </w:rPr>
        <w:t xml:space="preserve">Meta’s numbers are a cross-check, never the bill</w:t>
      </w:r>
    </w:p>
    <w:p>
      <w:pPr>
        <w:spacing w:after="200" w:line="276"/>
      </w:pPr>
      <w:r>
        <w:rPr>
          <w:rFonts w:ascii="Calibri" w:cs="Calibri" w:eastAsia="Calibri" w:hAnsi="Calibri"/>
          <w:color w:val="1A1A22"/>
          <w:sz w:val="21"/>
          <w:szCs w:val="21"/>
        </w:rPr>
        <w:t xml:space="preserve">Meta reports conversions per ad, but those figures are attributed and partly modelled and will not match Shopify’s order count. They are useful for optimising ad performance. Billing always reads from the store. The first time the two disagree in front of a client, KYRO points at the store.</w:t>
      </w:r>
    </w:p>
    <w:p>
      <w:pPr>
        <w:pStyle w:val="Heading1"/>
        <w:spacing w:after="160" w:before="420"/>
      </w:pPr>
      <w:r>
        <w:rPr>
          <w:rFonts w:ascii="Calibri" w:cs="Calibri" w:eastAsia="Calibri" w:hAnsi="Calibri"/>
          <w:b/>
          <w:bCs/>
          <w:color w:val="1A1A22"/>
          <w:sz w:val="30"/>
          <w:szCs w:val="30"/>
        </w:rPr>
        <w:t xml:space="preserve">7. What will be missed, honestly</w:t>
      </w:r>
    </w:p>
    <w:p>
      <w:pPr>
        <w:pStyle w:val="ListParagraph"/>
        <w:numPr>
          <w:ilvl w:val="0"/>
          <w:numId w:val="3"/>
        </w:numPr>
        <w:spacing w:after="90" w:line="276"/>
      </w:pPr>
      <w:r>
        <w:rPr>
          <w:rFonts w:ascii="Calibri" w:cs="Calibri" w:eastAsia="Calibri" w:hAnsi="Calibri"/>
          <w:color w:val="1A1A22"/>
          <w:sz w:val="21"/>
          <w:szCs w:val="21"/>
        </w:rPr>
        <w:t xml:space="preserve">Cross-device buyers: sees the ad on a phone, purchases on a laptop.</w:t>
      </w:r>
    </w:p>
    <w:p>
      <w:pPr>
        <w:pStyle w:val="ListParagraph"/>
        <w:numPr>
          <w:ilvl w:val="0"/>
          <w:numId w:val="3"/>
        </w:numPr>
        <w:spacing w:after="90" w:line="276"/>
      </w:pPr>
      <w:r>
        <w:rPr>
          <w:rFonts w:ascii="Calibri" w:cs="Calibri" w:eastAsia="Calibri" w:hAnsi="Calibri"/>
          <w:color w:val="1A1A22"/>
          <w:sz w:val="21"/>
          <w:szCs w:val="21"/>
        </w:rPr>
        <w:t xml:space="preserve">Long-delay purchases beyond the attribution window.</w:t>
      </w:r>
    </w:p>
    <w:p>
      <w:pPr>
        <w:pStyle w:val="ListParagraph"/>
        <w:numPr>
          <w:ilvl w:val="0"/>
          <w:numId w:val="3"/>
        </w:numPr>
        <w:spacing w:after="90" w:line="276"/>
      </w:pPr>
      <w:r>
        <w:rPr>
          <w:rFonts w:ascii="Calibri" w:cs="Calibri" w:eastAsia="Calibri" w:hAnsi="Calibri"/>
          <w:color w:val="1A1A22"/>
          <w:sz w:val="21"/>
          <w:szCs w:val="21"/>
        </w:rPr>
        <w:t xml:space="preserve">Ad blockers and privacy modes that strip parameters.</w:t>
      </w:r>
    </w:p>
    <w:p>
      <w:pPr>
        <w:pStyle w:val="ListParagraph"/>
        <w:numPr>
          <w:ilvl w:val="0"/>
          <w:numId w:val="3"/>
        </w:numPr>
        <w:spacing w:after="90" w:line="276"/>
      </w:pPr>
      <w:r>
        <w:rPr>
          <w:rFonts w:ascii="Calibri" w:cs="Calibri" w:eastAsia="Calibri" w:hAnsi="Calibri"/>
          <w:color w:val="1A1A22"/>
          <w:sz w:val="21"/>
          <w:szCs w:val="21"/>
        </w:rPr>
        <w:t xml:space="preserve">Customers who click, leave, and return later by typing the URL directly.</w:t>
      </w:r>
    </w:p>
    <w:p>
      <w:pPr>
        <w:spacing w:after="200" w:line="276"/>
      </w:pPr>
      <w:r>
        <w:rPr>
          <w:rFonts w:ascii="Calibri" w:cs="Calibri" w:eastAsia="Calibri" w:hAnsi="Calibri"/>
          <w:color w:val="1A1A22"/>
          <w:sz w:val="21"/>
          <w:szCs w:val="21"/>
        </w:rPr>
        <w:t xml:space="preserve">Realistically most tracked orders are captured, not all. The contract already accounts for this: commission is owed on tracked orders, and untracked ones were never promised.</w:t>
      </w:r>
    </w:p>
    <w:p>
      <w:pPr>
        <w:pStyle w:val="Heading1"/>
        <w:spacing w:after="160" w:before="420"/>
      </w:pPr>
      <w:r>
        <w:rPr>
          <w:rFonts w:ascii="Calibri" w:cs="Calibri" w:eastAsia="Calibri" w:hAnsi="Calibri"/>
          <w:b/>
          <w:bCs/>
          <w:color w:val="1A1A22"/>
          <w:sz w:val="30"/>
          <w:szCs w:val="30"/>
        </w:rPr>
        <w:t xml:space="preserve">8. How this maps to the database</w:t>
      </w:r>
    </w:p>
    <w:tbl>
      <w:tblPr>
        <w:tblW w:type="dxa" w:w="9360"/>
        <w:tblBorders>
          <w:top w:val="single" w:color="D8D5E4" w:sz="4"/>
          <w:left w:val="none" w:color="FFFFFF" w:sz="0"/>
          <w:bottom w:val="single" w:color="D8D5E4" w:sz="4"/>
          <w:right w:val="none" w:color="FFFFFF" w:sz="0"/>
          <w:insideH w:val="single" w:color="D8D5E4" w:sz="4"/>
          <w:insideV w:val="none" w:color="FFFFFF" w:sz="0"/>
        </w:tblBorders>
      </w:tblPr>
      <w:tblGrid>
        <w:gridCol w:w="3000"/>
        <w:gridCol w:w="6360"/>
      </w:tblGrid>
      <w:tr>
        <w:trPr>
          <w:tblHeader/>
        </w:trPr>
        <w:tc>
          <w:tcPr>
            <w:tcW w:type="dxa" w:w="3000"/>
            <w:shd w:fill="F4F2FA" w:val="clear"/>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Table</w:t>
            </w:r>
          </w:p>
        </w:tc>
        <w:tc>
          <w:tcPr>
            <w:tcW w:type="dxa" w:w="6360"/>
            <w:shd w:fill="F4F2FA" w:val="clear"/>
            <w:tcMar>
              <w:top w:type="dxa" w:w="90"/>
              <w:left w:type="dxa" w:w="130"/>
              <w:bottom w:type="dxa" w:w="90"/>
              <w:right w:type="dxa" w:w="130"/>
            </w:tcMar>
          </w:tcPr>
          <w:p>
            <w:pPr>
              <w:spacing w:after="0" w:line="260"/>
            </w:pPr>
            <w:r>
              <w:rPr>
                <w:rFonts w:ascii="Calibri" w:cs="Calibri" w:eastAsia="Calibri" w:hAnsi="Calibri"/>
                <w:b/>
                <w:bCs/>
                <w:color w:val="1A1A22"/>
                <w:sz w:val="20"/>
                <w:szCs w:val="20"/>
              </w:rPr>
              <w:t xml:space="preserve">What it holds</w:t>
            </w:r>
          </w:p>
        </w:tc>
      </w:tr>
      <w:tr>
        <w:tc>
          <w:tcPr>
            <w:tcW w:type="dxa" w:w="3000"/>
            <w:tcMar>
              <w:top w:type="dxa" w:w="90"/>
              <w:left w:type="dxa" w:w="130"/>
              <w:bottom w:type="dxa" w:w="90"/>
              <w:right w:type="dxa" w:w="130"/>
            </w:tcMar>
          </w:tcPr>
          <w:p>
            <w:pPr>
              <w:spacing w:after="0" w:line="260"/>
            </w:pPr>
            <w:r>
              <w:rPr>
                <w:rFonts w:ascii="Consolas" w:cs="Consolas" w:eastAsia="Consolas" w:hAnsi="Consolas"/>
                <w:b/>
                <w:bCs/>
                <w:color w:val="1A1A22"/>
                <w:sz w:val="18"/>
                <w:szCs w:val="18"/>
              </w:rPr>
              <w:t xml:space="preserve">submissions</w:t>
            </w:r>
          </w:p>
        </w:tc>
        <w:tc>
          <w:tcPr>
            <w:tcW w:type="dxa" w:w="63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The creator video, and meta_ad_id once the ad exists. One half of the join.</w:t>
            </w:r>
          </w:p>
        </w:tc>
      </w:tr>
      <w:tr>
        <w:tc>
          <w:tcPr>
            <w:tcW w:type="dxa" w:w="3000"/>
            <w:tcMar>
              <w:top w:type="dxa" w:w="90"/>
              <w:left w:type="dxa" w:w="130"/>
              <w:bottom w:type="dxa" w:w="90"/>
              <w:right w:type="dxa" w:w="130"/>
            </w:tcMar>
          </w:tcPr>
          <w:p>
            <w:pPr>
              <w:spacing w:after="0" w:line="260"/>
            </w:pPr>
            <w:r>
              <w:rPr>
                <w:rFonts w:ascii="Consolas" w:cs="Consolas" w:eastAsia="Consolas" w:hAnsi="Consolas"/>
                <w:b/>
                <w:bCs/>
                <w:color w:val="1A1A22"/>
                <w:sz w:val="18"/>
                <w:szCs w:val="18"/>
              </w:rPr>
              <w:t xml:space="preserve">orders</w:t>
            </w:r>
          </w:p>
        </w:tc>
        <w:tc>
          <w:tcPr>
            <w:tcW w:type="dxa" w:w="63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Order totals, fulfilment and refund state from the Shopify webhook. No customer name, email or address is stored.</w:t>
            </w:r>
          </w:p>
        </w:tc>
      </w:tr>
      <w:tr>
        <w:tc>
          <w:tcPr>
            <w:tcW w:type="dxa" w:w="3000"/>
            <w:tcMar>
              <w:top w:type="dxa" w:w="90"/>
              <w:left w:type="dxa" w:w="130"/>
              <w:bottom w:type="dxa" w:w="90"/>
              <w:right w:type="dxa" w:w="130"/>
            </w:tcMar>
          </w:tcPr>
          <w:p>
            <w:pPr>
              <w:spacing w:after="0" w:line="260"/>
            </w:pPr>
            <w:r>
              <w:rPr>
                <w:rFonts w:ascii="Consolas" w:cs="Consolas" w:eastAsia="Consolas" w:hAnsi="Consolas"/>
                <w:b/>
                <w:bCs/>
                <w:color w:val="1A1A22"/>
                <w:sz w:val="18"/>
                <w:szCs w:val="18"/>
              </w:rPr>
              <w:t xml:space="preserve">order_attributions</w:t>
            </w:r>
          </w:p>
        </w:tc>
        <w:tc>
          <w:tcPr>
            <w:tcW w:type="dxa" w:w="63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The join itself: order, submission, creator, method and weight. Method is one of meta_ad, utm, discount_code or manual.</w:t>
            </w:r>
          </w:p>
        </w:tc>
      </w:tr>
      <w:tr>
        <w:tc>
          <w:tcPr>
            <w:tcW w:type="dxa" w:w="3000"/>
            <w:tcMar>
              <w:top w:type="dxa" w:w="90"/>
              <w:left w:type="dxa" w:w="130"/>
              <w:bottom w:type="dxa" w:w="90"/>
              <w:right w:type="dxa" w:w="130"/>
            </w:tcMar>
          </w:tcPr>
          <w:p>
            <w:pPr>
              <w:spacing w:after="0" w:line="260"/>
            </w:pPr>
            <w:r>
              <w:rPr>
                <w:rFonts w:ascii="Consolas" w:cs="Consolas" w:eastAsia="Consolas" w:hAnsi="Consolas"/>
                <w:b/>
                <w:bCs/>
                <w:color w:val="1A1A22"/>
                <w:sz w:val="18"/>
                <w:szCs w:val="18"/>
              </w:rPr>
              <w:t xml:space="preserve">earnings</w:t>
            </w:r>
          </w:p>
        </w:tc>
        <w:tc>
          <w:tcPr>
            <w:tcW w:type="dxa" w:w="6360"/>
            <w:tcMar>
              <w:top w:type="dxa" w:w="90"/>
              <w:left w:type="dxa" w:w="130"/>
              <w:bottom w:type="dxa" w:w="90"/>
              <w:right w:type="dxa" w:w="130"/>
            </w:tcMar>
          </w:tcPr>
          <w:p>
            <w:pPr>
              <w:spacing w:after="0" w:line="260"/>
            </w:pPr>
            <w:r>
              <w:rPr>
                <w:rFonts w:ascii="Calibri" w:cs="Calibri" w:eastAsia="Calibri" w:hAnsi="Calibri"/>
                <w:b w:val="false"/>
                <w:bCs w:val="false"/>
                <w:color w:val="5C5A6B"/>
                <w:sz w:val="20"/>
                <w:szCs w:val="20"/>
              </w:rPr>
              <w:t xml:space="preserve">Commission derived from an attribution, with the rate snapshotted so later rate changes never rewrite history.</w:t>
            </w:r>
          </w:p>
        </w:tc>
      </w:tr>
    </w:tbl>
    <w:p>
      <w:pPr>
        <w:spacing w:after="200"/>
      </w:pPr>
    </w:p>
    <w:p>
      <w:pPr>
        <w:pStyle w:val="Heading1"/>
        <w:spacing w:after="160" w:before="420"/>
      </w:pPr>
      <w:r>
        <w:rPr>
          <w:rFonts w:ascii="Calibri" w:cs="Calibri" w:eastAsia="Calibri" w:hAnsi="Calibri"/>
          <w:b/>
          <w:bCs/>
          <w:color w:val="1A1A22"/>
          <w:sz w:val="30"/>
          <w:szCs w:val="30"/>
        </w:rPr>
        <w:t xml:space="preserve">9. Open decisions</w:t>
      </w:r>
    </w:p>
    <w:p>
      <w:pPr>
        <w:pStyle w:val="ListParagraph"/>
        <w:numPr>
          <w:ilvl w:val="0"/>
          <w:numId w:val="3"/>
        </w:numPr>
        <w:spacing w:after="90" w:line="276"/>
      </w:pPr>
      <w:r>
        <w:rPr>
          <w:rFonts w:ascii="Calibri" w:cs="Calibri" w:eastAsia="Calibri" w:hAnsi="Calibri"/>
          <w:b/>
          <w:bCs/>
          <w:color w:val="1A1A22"/>
          <w:sz w:val="21"/>
          <w:szCs w:val="21"/>
        </w:rPr>
        <w:t xml:space="preserve">Protected customer data level. </w:t>
      </w:r>
      <w:r>
        <w:rPr>
          <w:rFonts w:ascii="Calibri" w:cs="Calibri" w:eastAsia="Calibri" w:hAnsi="Calibri"/>
          <w:color w:val="1A1A22"/>
          <w:sz w:val="21"/>
          <w:szCs w:val="21"/>
        </w:rPr>
        <w:t xml:space="preserve">Confirm whether customer journey fields fall under Level 1 or Level 2 before submitting, since guessing wrong costs a rejection cycle.</w:t>
      </w:r>
    </w:p>
    <w:p>
      <w:pPr>
        <w:pStyle w:val="ListParagraph"/>
        <w:numPr>
          <w:ilvl w:val="0"/>
          <w:numId w:val="3"/>
        </w:numPr>
        <w:spacing w:after="90" w:line="276"/>
      </w:pPr>
      <w:r>
        <w:rPr>
          <w:rFonts w:ascii="Calibri" w:cs="Calibri" w:eastAsia="Calibri" w:hAnsi="Calibri"/>
          <w:b/>
          <w:bCs/>
          <w:color w:val="1A1A22"/>
          <w:sz w:val="21"/>
          <w:szCs w:val="21"/>
        </w:rPr>
        <w:t xml:space="preserve">Attribution window. </w:t>
      </w:r>
      <w:r>
        <w:rPr>
          <w:rFonts w:ascii="Calibri" w:cs="Calibri" w:eastAsia="Calibri" w:hAnsi="Calibri"/>
          <w:color w:val="1A1A22"/>
          <w:sz w:val="21"/>
          <w:szCs w:val="21"/>
        </w:rPr>
        <w:t xml:space="preserve">Seven days is the working default. Longer captures more, and increases disputes.</w:t>
      </w:r>
    </w:p>
    <w:p>
      <w:pPr>
        <w:pStyle w:val="ListParagraph"/>
        <w:numPr>
          <w:ilvl w:val="0"/>
          <w:numId w:val="3"/>
        </w:numPr>
        <w:spacing w:after="90" w:line="276"/>
      </w:pPr>
      <w:r>
        <w:rPr>
          <w:rFonts w:ascii="Calibri" w:cs="Calibri" w:eastAsia="Calibri" w:hAnsi="Calibri"/>
          <w:b/>
          <w:bCs/>
          <w:color w:val="1A1A22"/>
          <w:sz w:val="21"/>
          <w:szCs w:val="21"/>
        </w:rPr>
        <w:t xml:space="preserve">Discount codes. </w:t>
      </w:r>
      <w:r>
        <w:rPr>
          <w:rFonts w:ascii="Calibri" w:cs="Calibri" w:eastAsia="Calibri" w:hAnsi="Calibri"/>
          <w:color w:val="1A1A22"/>
          <w:sz w:val="21"/>
          <w:szCs w:val="21"/>
        </w:rPr>
        <w:t xml:space="preserve">Deliberately not used. They leak to coupon sites, which means paying commission on traffic no video touched. The token is the single signal.</w:t>
      </w:r>
    </w:p>
    <w:p>
      <w:pPr>
        <w:pStyle w:val="ListParagraph"/>
        <w:numPr>
          <w:ilvl w:val="0"/>
          <w:numId w:val="3"/>
        </w:numPr>
        <w:spacing w:after="90" w:line="276"/>
      </w:pPr>
      <w:r>
        <w:rPr>
          <w:rFonts w:ascii="Calibri" w:cs="Calibri" w:eastAsia="Calibri" w:hAnsi="Calibri"/>
          <w:b/>
          <w:bCs/>
          <w:color w:val="1A1A22"/>
          <w:sz w:val="21"/>
          <w:szCs w:val="21"/>
        </w:rPr>
        <w:t xml:space="preserve">Multi-touch splitting. </w:t>
      </w:r>
      <w:r>
        <w:rPr>
          <w:rFonts w:ascii="Calibri" w:cs="Calibri" w:eastAsia="Calibri" w:hAnsi="Calibri"/>
          <w:color w:val="1A1A22"/>
          <w:sz w:val="21"/>
          <w:szCs w:val="21"/>
        </w:rPr>
        <w:t xml:space="preserve">The schema supports fractional credit via a weight column. The published rule currently awards a single creator. Revisit only if brands ask.</w:t>
      </w:r>
    </w:p>
    <w:p>
      <w:pPr>
        <w:pBdr>
          <w:top w:val="single" w:color="D8D5E4" w:sz="4" w:space="8"/>
        </w:pBdr>
        <w:spacing w:before="400"/>
      </w:pPr>
      <w:r>
        <w:rPr>
          <w:rFonts w:ascii="Calibri" w:cs="Calibri" w:eastAsia="Calibri" w:hAnsi="Calibri"/>
          <w:i/>
          <w:iCs/>
          <w:color w:val="5C5A6B"/>
          <w:sz w:val="17"/>
          <w:szCs w:val="17"/>
        </w:rPr>
        <w:t xml:space="preserve">Mirrors docs/KYRO_MODEL.md in the KYRO repository. If one changes, change both.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KYRO — Order Attribution Model</dc:title>
  <dc:creator>KYRO</dc:creator>
  <dc:description>How KYRO links a Shopify order back to the creator video that drove it.</dc:description>
  <cp:lastModifiedBy>Un-named</cp:lastModifiedBy>
  <cp:revision>1</cp:revision>
  <dcterms:created xsi:type="dcterms:W3CDTF">2026-09-16T06:39:30.466Z</dcterms:created>
  <dcterms:modified xsi:type="dcterms:W3CDTF">2026-09-16T06:39:30.477Z</dcterms:modified>
</cp:coreProperties>
</file>

<file path=docProps/custom.xml><?xml version="1.0" encoding="utf-8"?>
<Properties xmlns="http://schemas.openxmlformats.org/officeDocument/2006/custom-properties" xmlns:vt="http://schemas.openxmlformats.org/officeDocument/2006/docPropsVTypes"/>
</file>