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3192"/>
          <w:sz w:val="44"/>
          <w:szCs w:val="44"/>
        </w:rPr>
        <w:t xml:space="preserve">NIT Supply Chain System V2</w:t>
      </w:r>
    </w:p>
    <w:p>
      <w:pPr>
        <w:spacing w:after="100"/>
        <w:jc w:val="center"/>
      </w:pPr>
      <w:r>
        <w:rPr>
          <w:rFonts w:ascii="Arial" w:cs="Arial" w:eastAsia="Arial" w:hAnsi="Arial"/>
          <w:b/>
          <w:bCs/>
          <w:color w:val="0A1628"/>
          <w:sz w:val="36"/>
          <w:szCs w:val="36"/>
        </w:rPr>
        <w:t xml:space="preserve">QA Execution Analysis Report</w:t>
      </w:r>
    </w:p>
    <w:p>
      <w:pPr>
        <w:spacing w:after="600"/>
        <w:jc w:val="center"/>
      </w:pPr>
      <w:r>
        <w:rPr>
          <w:rFonts w:ascii="Arial" w:cs="Arial" w:eastAsia="Arial" w:hAnsi="Arial"/>
          <w:color w:val="6B7280"/>
          <w:sz w:val="22"/>
          <w:szCs w:val="22"/>
        </w:rPr>
        <w:t xml:space="preserve">Comprehensive Quality Assessment &amp; Recommendations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pPr>
              <w:bidi w:val="false"/>
              <w:jc w:val="left"/>
            </w:pPr>
            <w:r>
              <w:rPr>
                <w:rFonts w:ascii="Arial" w:cs="Arial" w:eastAsia="Arial" w:hAnsi="Arial"/>
                <w:b/>
                <w:bCs/>
                <w:color w:val="2E3192"/>
                <w:sz w:val="20"/>
                <w:szCs w:val="20"/>
              </w:rPr>
              <w:t xml:space="preserve">Project</w:t>
            </w:r>
          </w:p>
        </w:tc>
        <w:tc>
          <w:tcPr>
            <w:tcW w:type="dxa" w:w="5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20"/>
                <w:szCs w:val="20"/>
              </w:rPr>
              <w:t xml:space="preserve">NIT-SCS V2 — Enterprise Supply Chain Management</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pPr>
              <w:bidi w:val="false"/>
              <w:jc w:val="left"/>
            </w:pPr>
            <w:r>
              <w:rPr>
                <w:rFonts w:ascii="Arial" w:cs="Arial" w:eastAsia="Arial" w:hAnsi="Arial"/>
                <w:b/>
                <w:bCs/>
                <w:color w:val="2E3192"/>
                <w:sz w:val="20"/>
                <w:szCs w:val="20"/>
              </w:rPr>
              <w:t xml:space="preserve">Client</w:t>
            </w:r>
          </w:p>
        </w:tc>
        <w:tc>
          <w:tcPr>
            <w:tcW w:type="dxa" w:w="5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20"/>
                <w:szCs w:val="20"/>
              </w:rPr>
              <w:t xml:space="preserve">Nesma Infrastructure &amp; Technology (NIT), Saudi Arabia</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pPr>
              <w:bidi w:val="false"/>
              <w:jc w:val="left"/>
            </w:pPr>
            <w:r>
              <w:rPr>
                <w:rFonts w:ascii="Arial" w:cs="Arial" w:eastAsia="Arial" w:hAnsi="Arial"/>
                <w:b/>
                <w:bCs/>
                <w:color w:val="2E3192"/>
                <w:sz w:val="20"/>
                <w:szCs w:val="20"/>
              </w:rPr>
              <w:t xml:space="preserve">Scope</w:t>
            </w:r>
          </w:p>
        </w:tc>
        <w:tc>
          <w:tcPr>
            <w:tcW w:type="dxa" w:w="5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20"/>
                <w:szCs w:val="20"/>
              </w:rPr>
              <w:t xml:space="preserve">686 Test Cases across 27 Modules</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pPr>
              <w:bidi w:val="false"/>
              <w:jc w:val="left"/>
            </w:pPr>
            <w:r>
              <w:rPr>
                <w:rFonts w:ascii="Arial" w:cs="Arial" w:eastAsia="Arial" w:hAnsi="Arial"/>
                <w:b/>
                <w:bCs/>
                <w:color w:val="2E3192"/>
                <w:sz w:val="20"/>
                <w:szCs w:val="20"/>
              </w:rPr>
              <w:t xml:space="preserve">Date</w:t>
            </w:r>
          </w:p>
        </w:tc>
        <w:tc>
          <w:tcPr>
            <w:tcW w:type="dxa" w:w="5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20"/>
                <w:szCs w:val="20"/>
              </w:rPr>
              <w:t xml:space="preserve">February 12, 2026</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pPr>
              <w:bidi w:val="false"/>
              <w:jc w:val="left"/>
            </w:pPr>
            <w:r>
              <w:rPr>
                <w:rFonts w:ascii="Arial" w:cs="Arial" w:eastAsia="Arial" w:hAnsi="Arial"/>
                <w:b/>
                <w:bCs/>
                <w:color w:val="2E3192"/>
                <w:sz w:val="20"/>
                <w:szCs w:val="20"/>
              </w:rPr>
              <w:t xml:space="preserve">Prepared By</w:t>
            </w:r>
          </w:p>
        </w:tc>
        <w:tc>
          <w:tcPr>
            <w:tcW w:type="dxa" w:w="5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20"/>
                <w:szCs w:val="20"/>
              </w:rPr>
              <w:t xml:space="preserve">Idaratech / Claude AI Analysis</w:t>
            </w:r>
          </w:p>
        </w:tc>
      </w:tr>
      <w:tr>
        <w:tc>
          <w:tcPr>
            <w:tcW w:type="dxa" w:w="24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pPr>
              <w:bidi w:val="false"/>
              <w:jc w:val="left"/>
            </w:pPr>
            <w:r>
              <w:rPr>
                <w:rFonts w:ascii="Arial" w:cs="Arial" w:eastAsia="Arial" w:hAnsi="Arial"/>
                <w:b/>
                <w:bCs/>
                <w:color w:val="2E3192"/>
                <w:sz w:val="20"/>
                <w:szCs w:val="20"/>
              </w:rPr>
              <w:t xml:space="preserve">Classification</w:t>
            </w:r>
          </w:p>
        </w:tc>
        <w:tc>
          <w:tcPr>
            <w:tcW w:type="dxa" w:w="5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20"/>
                <w:szCs w:val="20"/>
              </w:rPr>
              <w:t xml:space="preserve">Confidential</w:t>
            </w:r>
          </w:p>
        </w:tc>
      </w:tr>
    </w:tbl>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240" w:after="200"/>
      </w:pPr>
      <w:r>
        <w:rPr>
          <w:rFonts w:ascii="Arial" w:cs="Arial" w:eastAsia="Arial" w:hAnsi="Arial"/>
          <w:b/>
          <w:bCs/>
          <w:color w:val="2E3192"/>
          <w:sz w:val="32"/>
          <w:szCs w:val="32"/>
        </w:rPr>
        <w:t xml:space="preserve">1. Executive Summary</w:t>
      </w:r>
    </w:p>
    <w:p>
      <w:pPr>
        <w:spacing w:after="200"/>
      </w:pPr>
      <w:r>
        <w:rPr>
          <w:rFonts w:ascii="Arial" w:cs="Arial" w:eastAsia="Arial" w:hAnsi="Arial"/>
          <w:sz w:val="20"/>
          <w:szCs w:val="20"/>
        </w:rPr>
        <w:t xml:space="preserve">This report presents a comprehensive analysis of the QA Execution Report for the NIT Supply Chain System V2 (NIT-SCS V2), covering </w:t>
      </w:r>
      <w:r>
        <w:rPr>
          <w:rFonts w:ascii="Arial" w:cs="Arial" w:eastAsia="Arial" w:hAnsi="Arial"/>
          <w:b/>
          <w:bCs/>
          <w:sz w:val="20"/>
          <w:szCs w:val="20"/>
        </w:rPr>
        <w:t xml:space="preserve">686 test cases across 27 modules</w:t>
      </w:r>
      <w:r>
        <w:rPr>
          <w:rFonts w:ascii="Arial" w:cs="Arial" w:eastAsia="Arial" w:hAnsi="Arial"/>
          <w:sz w:val="20"/>
          <w:szCs w:val="20"/>
        </w:rPr>
        <w:t xml:space="preserve">. The system is an enterprise supply chain management platform serving Nesma Infrastructure &amp; Technology (NIT) across 30+ construction sites in Saudi Arabia.</w:t>
      </w:r>
    </w:p>
    <w:p>
      <w:pPr>
        <w:pStyle w:val="Heading2"/>
        <w:spacing w:before="200" w:after="150"/>
      </w:pPr>
      <w:r>
        <w:rPr>
          <w:rFonts w:ascii="Arial" w:cs="Arial" w:eastAsia="Arial" w:hAnsi="Arial"/>
          <w:b/>
          <w:bCs/>
          <w:sz w:val="28"/>
          <w:szCs w:val="28"/>
        </w:rPr>
        <w:t xml:space="preserve">1.1 Overall Results at a Glance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Total Tests</w:t>
            </w:r>
          </w:p>
        </w:tc>
        <w:tc>
          <w:tcPr>
            <w:tcW w:type="dxa" w:w="2376"/>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Passed</w:t>
            </w:r>
          </w:p>
        </w:tc>
        <w:tc>
          <w:tcPr>
            <w:tcW w:type="dxa" w:w="2376"/>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Failed</w:t>
            </w:r>
          </w:p>
        </w:tc>
        <w:tc>
          <w:tcPr>
            <w:tcW w:type="dxa" w:w="2376"/>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Blocked</w:t>
            </w:r>
          </w:p>
        </w:tc>
      </w:tr>
      <w:tr>
        <w:tc>
          <w:tcPr>
            <w:tcW w:type="dxa" w:w="237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000000"/>
                <w:sz w:val="28"/>
                <w:szCs w:val="28"/>
              </w:rPr>
              <w:t xml:space="preserve">616</w:t>
            </w:r>
          </w:p>
        </w:tc>
        <w:tc>
          <w:tcPr>
            <w:tcW w:type="dxa" w:w="2376"/>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center"/>
            </w:pPr>
            <w:r>
              <w:rPr>
                <w:rFonts w:ascii="Arial" w:cs="Arial" w:eastAsia="Arial" w:hAnsi="Arial"/>
                <w:b/>
                <w:bCs/>
                <w:color w:val="047857"/>
                <w:sz w:val="28"/>
                <w:szCs w:val="28"/>
              </w:rPr>
              <w:t xml:space="preserve">377</w:t>
            </w:r>
          </w:p>
        </w:tc>
        <w:tc>
          <w:tcPr>
            <w:tcW w:type="dxa" w:w="2376"/>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bidi w:val="false"/>
              <w:jc w:val="center"/>
            </w:pPr>
            <w:r>
              <w:rPr>
                <w:rFonts w:ascii="Arial" w:cs="Arial" w:eastAsia="Arial" w:hAnsi="Arial"/>
                <w:b/>
                <w:bCs/>
                <w:color w:val="B91C1C"/>
                <w:sz w:val="28"/>
                <w:szCs w:val="28"/>
              </w:rPr>
              <w:t xml:space="preserve">187</w:t>
            </w:r>
          </w:p>
        </w:tc>
        <w:tc>
          <w:tcPr>
            <w:tcW w:type="dxa" w:w="2376"/>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pPr>
              <w:bidi w:val="false"/>
              <w:jc w:val="center"/>
            </w:pPr>
            <w:r>
              <w:rPr>
                <w:rFonts w:ascii="Arial" w:cs="Arial" w:eastAsia="Arial" w:hAnsi="Arial"/>
                <w:b/>
                <w:bCs/>
                <w:color w:val="92400E"/>
                <w:sz w:val="28"/>
                <w:szCs w:val="28"/>
              </w:rPr>
              <w:t xml:space="preserve">52</w:t>
            </w:r>
          </w:p>
        </w:tc>
      </w:tr>
      <w:tr>
        <w:tc>
          <w:tcPr>
            <w:tcW w:type="dxa" w:w="237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100%</w:t>
            </w:r>
          </w:p>
        </w:tc>
        <w:tc>
          <w:tcPr>
            <w:tcW w:type="dxa" w:w="237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047857"/>
                <w:sz w:val="18"/>
                <w:szCs w:val="18"/>
              </w:rPr>
              <w:t xml:space="preserve">61.2%</w:t>
            </w:r>
          </w:p>
        </w:tc>
        <w:tc>
          <w:tcPr>
            <w:tcW w:type="dxa" w:w="237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30.4%</w:t>
            </w:r>
          </w:p>
        </w:tc>
        <w:tc>
          <w:tcPr>
            <w:tcW w:type="dxa" w:w="237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92400E"/>
                <w:sz w:val="18"/>
                <w:szCs w:val="18"/>
              </w:rPr>
              <w:t xml:space="preserve">8.4%</w:t>
            </w:r>
          </w:p>
        </w:tc>
      </w:tr>
    </w:tbl>
    <w:p>
      <w:pPr>
        <w:spacing w:before="300" w:after="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5E7EB" w:sz="1"/>
              <w:left w:val="single" w:color="E5E7EB" w:sz="1"/>
              <w:bottom w:val="single" w:color="E5E7EB" w:sz="1"/>
              <w:right w:val="single" w:color="E5E7EB" w:sz="1"/>
            </w:tcBorders>
            <w:shd w:fill="FEE2E2" w:val="clear"/>
            <w:tcMar>
              <w:top w:type="dxa" w:w="150"/>
              <w:left w:type="dxa" w:w="200"/>
              <w:bottom w:type="dxa" w:w="150"/>
              <w:right w:type="dxa" w:w="200"/>
            </w:tcMar>
          </w:tcPr>
          <w:p>
            <w:pPr>
              <w:spacing w:after="100"/>
              <w:jc w:val="center"/>
            </w:pPr>
            <w:r>
              <w:rPr>
                <w:rFonts w:ascii="Arial" w:cs="Arial" w:eastAsia="Arial" w:hAnsi="Arial"/>
                <w:b/>
                <w:bCs/>
                <w:color w:val="B91C1C"/>
                <w:sz w:val="28"/>
                <w:szCs w:val="28"/>
              </w:rPr>
              <w:t xml:space="preserve">VERDICT: NOT PRODUCTION-READY</w:t>
            </w:r>
          </w:p>
          <w:p>
            <w:pPr>
              <w:jc w:val="center"/>
            </w:pPr>
            <w:r>
              <w:rPr>
                <w:rFonts w:ascii="Arial" w:cs="Arial" w:eastAsia="Arial" w:hAnsi="Arial"/>
                <w:color w:val="991B1B"/>
                <w:sz w:val="20"/>
                <w:szCs w:val="20"/>
              </w:rPr>
              <w:t xml:space="preserve">The system has a 46.8% failure rate with 8 critical and 8 high-severity defects requiring immediate resolution before any production deployment.</w:t>
            </w:r>
          </w:p>
        </w:tc>
      </w:tr>
    </w:tbl>
    <w:p>
      <w:pPr>
        <w:pStyle w:val="Heading2"/>
        <w:spacing w:before="300" w:after="150"/>
      </w:pPr>
      <w:r>
        <w:rPr>
          <w:rFonts w:ascii="Arial" w:cs="Arial" w:eastAsia="Arial" w:hAnsi="Arial"/>
          <w:b/>
          <w:bCs/>
          <w:sz w:val="28"/>
          <w:szCs w:val="28"/>
        </w:rPr>
        <w:t xml:space="preserve">1.2 Dominant Systemic Issue: Backend-Frontend Integration Gap</w:t>
      </w:r>
    </w:p>
    <w:p>
      <w:pPr>
        <w:spacing w:after="150"/>
      </w:pPr>
      <w:r>
        <w:rPr>
          <w:rFonts w:ascii="Arial" w:cs="Arial" w:eastAsia="Arial" w:hAnsi="Arial"/>
          <w:sz w:val="20"/>
          <w:szCs w:val="20"/>
        </w:rPr>
        <w:t xml:space="preserve">The single most impactful finding is that approximately </w:t>
      </w:r>
      <w:r>
        <w:rPr>
          <w:rFonts w:ascii="Arial" w:cs="Arial" w:eastAsia="Arial" w:hAnsi="Arial"/>
          <w:b/>
          <w:bCs/>
          <w:color w:val="B91C1C"/>
          <w:sz w:val="20"/>
          <w:szCs w:val="20"/>
        </w:rPr>
        <w:t xml:space="preserve">40% of all test failures</w:t>
      </w:r>
      <w:r>
        <w:rPr>
          <w:rFonts w:ascii="Arial" w:cs="Arial" w:eastAsia="Arial" w:hAnsi="Arial"/>
          <w:sz w:val="20"/>
          <w:szCs w:val="20"/>
        </w:rPr>
        <w:t xml:space="preserve"> stem from the same root cause: backend services and React Query hooks are fully implemented, but the frontend dashboard components render read-only tables without wiring any action buttons.</w:t>
      </w:r>
    </w:p>
    <w:p>
      <w:pPr>
        <w:spacing w:after="200"/>
      </w:pPr>
      <w:r>
        <w:rPr>
          <w:rFonts w:ascii="Arial" w:cs="Arial" w:eastAsia="Arial" w:hAnsi="Arial"/>
          <w:sz w:val="20"/>
          <w:szCs w:val="20"/>
        </w:rPr>
        <w:t xml:space="preserve">This affects the Manager, Warehouse Supervisor, Logistics Coordinator, QC Officer, and Admin roles. The backend code (approval services, hooks like useApproveJobOrder, state transitions) exists and works, but the UI components simply never call these hooks. This is fundamentally an integration/wiring issue, not an architectural problem, and is relatively straightforward to fix.</w:t>
      </w:r>
    </w:p>
    <w:p>
      <w:r>
        <w:br w:type="page"/>
      </w:r>
    </w:p>
    <w:p>
      <w:pPr>
        <w:pStyle w:val="Heading1"/>
        <w:spacing w:before="240" w:after="200"/>
      </w:pPr>
      <w:r>
        <w:rPr>
          <w:rFonts w:ascii="Arial" w:cs="Arial" w:eastAsia="Arial" w:hAnsi="Arial"/>
          <w:b/>
          <w:bCs/>
          <w:color w:val="2E3192"/>
          <w:sz w:val="32"/>
          <w:szCs w:val="32"/>
        </w:rPr>
        <w:t xml:space="preserve">2. Module-by-Module 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900"/>
        <w:gridCol w:w="900"/>
        <w:gridCol w:w="900"/>
        <w:gridCol w:w="900"/>
        <w:gridCol w:w="1300"/>
      </w:tblGrid>
      <w:tr>
        <w:tc>
          <w:tcPr>
            <w:tcW w:type="dxa" w:w="5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1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Module</w:t>
            </w:r>
          </w:p>
        </w:tc>
        <w:tc>
          <w:tcPr>
            <w:tcW w:type="dxa" w:w="9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Total</w:t>
            </w:r>
          </w:p>
        </w:tc>
        <w:tc>
          <w:tcPr>
            <w:tcW w:type="dxa" w:w="9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Pass</w:t>
            </w:r>
          </w:p>
        </w:tc>
        <w:tc>
          <w:tcPr>
            <w:tcW w:type="dxa" w:w="9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Fail</w:t>
            </w:r>
          </w:p>
        </w:tc>
        <w:tc>
          <w:tcPr>
            <w:tcW w:type="dxa" w:w="9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Blocked</w:t>
            </w:r>
          </w:p>
        </w:tc>
        <w:tc>
          <w:tcPr>
            <w:tcW w:type="dxa" w:w="13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Pass Rate</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Authentication &amp; Session</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58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33</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22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3</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56.9%</w:t>
            </w:r>
          </w:p>
        </w:tc>
      </w:tr>
      <w:tr>
        <w:tc>
          <w:tcPr>
            <w:tcW w:type="dxa" w:w="5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w:t>
            </w:r>
          </w:p>
        </w:tc>
        <w:tc>
          <w:tcPr>
            <w:tcW w:type="dxa" w:w="31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RBAC &amp; Permissions</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32</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13</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19</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B91C1C"/>
                <w:sz w:val="18"/>
                <w:szCs w:val="18"/>
              </w:rPr>
              <w:t xml:space="preserve">40.6%</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3</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Admin Role</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28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11</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3</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66.7%</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Manager Role</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11</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2</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61.1%</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5</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Warehouse Supervisor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1</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70.0%</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6</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Warehouse Staff</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1</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1</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047857"/>
                <w:sz w:val="18"/>
                <w:szCs w:val="18"/>
              </w:rPr>
              <w:t xml:space="preserve">85.7%</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7</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Logistics Coordinator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11</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7</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50.0%</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8</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Site Engineer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4</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66.7%</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9</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QC Officer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16</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7</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1</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50.0%</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10</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Freight Forwarder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1</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1</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047857"/>
                <w:sz w:val="18"/>
                <w:szCs w:val="18"/>
              </w:rPr>
              <w:t xml:space="preserve">83.3%</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11</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MRRV (GRN)</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30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24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2</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047857"/>
                <w:sz w:val="18"/>
                <w:szCs w:val="18"/>
              </w:rPr>
              <w:t xml:space="preserve">80.0%</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12</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MIRV (MI)</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19</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7</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2</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67.9%</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13</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Other Documents</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38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5</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047857"/>
                <w:sz w:val="18"/>
                <w:szCs w:val="18"/>
              </w:rPr>
              <w:t xml:space="preserve">79.2%</w:t>
            </w:r>
          </w:p>
        </w:tc>
      </w:tr>
      <w:tr>
        <w:tc>
          <w:tcPr>
            <w:tcW w:type="dxa" w:w="5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14</w:t>
            </w:r>
          </w:p>
        </w:tc>
        <w:tc>
          <w:tcPr>
            <w:tcW w:type="dxa" w:w="31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Inventory &amp; FIFO</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16</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7</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8</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1</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B91C1C"/>
                <w:sz w:val="18"/>
                <w:szCs w:val="18"/>
              </w:rPr>
              <w:t xml:space="preserve">43.8%</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15</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Notifications (Socket.IO)</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6</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60.0%</w:t>
            </w:r>
          </w:p>
        </w:tc>
      </w:tr>
      <w:tr>
        <w:tc>
          <w:tcPr>
            <w:tcW w:type="dxa" w:w="5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16</w:t>
            </w:r>
          </w:p>
        </w:tc>
        <w:tc>
          <w:tcPr>
            <w:tcW w:type="dxa" w:w="31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Email System</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9</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4</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5</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B91C1C"/>
                <w:sz w:val="18"/>
                <w:szCs w:val="18"/>
              </w:rPr>
              <w:t xml:space="preserve">44.4%</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17</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Audit Trail</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50.0%</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18</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UI Design System</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62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48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6</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8</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047857"/>
                <w:sz w:val="18"/>
                <w:szCs w:val="18"/>
              </w:rPr>
              <w:t xml:space="preserve">77.4%</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19</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Responsive &amp; Cross-Browser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16</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4</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66.7%</w:t>
            </w:r>
          </w:p>
        </w:tc>
      </w:tr>
      <w:tr>
        <w:tc>
          <w:tcPr>
            <w:tcW w:type="dxa" w:w="5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20</w:t>
            </w:r>
          </w:p>
        </w:tc>
        <w:tc>
          <w:tcPr>
            <w:tcW w:type="dxa" w:w="31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Localization &amp; i18n</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48</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11</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32</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5</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B91C1C"/>
                <w:sz w:val="18"/>
                <w:szCs w:val="18"/>
              </w:rPr>
              <w:t xml:space="preserve">22.9%</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21</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PDF Export</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1</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1</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047857"/>
                <w:sz w:val="18"/>
                <w:szCs w:val="18"/>
              </w:rPr>
              <w:t xml:space="preserve">83.3%</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22</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Barcode &amp; QR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047857"/>
                <w:sz w:val="18"/>
                <w:szCs w:val="18"/>
              </w:rPr>
              <w:t xml:space="preserve">100.0%</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23</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Workflow Engine</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50.0%</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24</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Dashboard &amp; Report Builder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12</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10</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54.5%</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25</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Error Handling &amp; Pagination</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8</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5</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92400E"/>
                <w:sz w:val="18"/>
                <w:szCs w:val="18"/>
              </w:rPr>
              <w:t xml:space="preserve">1</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92400E"/>
                <w:sz w:val="18"/>
                <w:szCs w:val="18"/>
              </w:rPr>
              <w:t xml:space="preserve">57.1%</w:t>
            </w:r>
          </w:p>
        </w:tc>
      </w:tr>
      <w:tr>
        <w:tc>
          <w:tcPr>
            <w:tcW w:type="dxa" w:w="5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26</w:t>
            </w:r>
          </w:p>
        </w:tc>
        <w:tc>
          <w:tcPr>
            <w:tcW w:type="dxa" w:w="31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PWA &amp; Offline</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5</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2</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3</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B91C1C"/>
                <w:sz w:val="18"/>
                <w:szCs w:val="18"/>
              </w:rPr>
              <w:t xml:space="preserve">40.0%</w:t>
            </w:r>
          </w:p>
        </w:tc>
      </w:tr>
      <w:tr>
        <w:tc>
          <w:tcPr>
            <w:tcW w:type="dxa" w:w="5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27</w:t>
            </w:r>
          </w:p>
        </w:tc>
        <w:tc>
          <w:tcPr>
            <w:tcW w:type="dxa" w:w="31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Security</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8</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047857"/>
                <w:sz w:val="18"/>
                <w:szCs w:val="18"/>
              </w:rPr>
              <w:t xml:space="preserve">2</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B91C1C"/>
                <w:sz w:val="18"/>
                <w:szCs w:val="18"/>
              </w:rPr>
              <w:t xml:space="preserve">6</w:t>
            </w:r>
          </w:p>
        </w:tc>
        <w:tc>
          <w:tcPr>
            <w:tcW w:type="dxa" w:w="900"/>
            <w:tcBorders>
              <w:top w:val="single" w:color="E5E7EB" w:sz="1"/>
              <w:left w:val="single" w:color="E5E7EB" w:sz="1"/>
              <w:bottom w:val="single" w:color="E5E7EB" w:sz="1"/>
              <w:right w:val="single" w:color="E5E7EB" w:sz="1"/>
            </w:tcBorders>
            <w:shd w:fill="FFF5F5" w:val="clear"/>
            <w:tcMar>
              <w:top w:type="dxa" w:w="60"/>
              <w:left w:type="dxa" w:w="100"/>
              <w:bottom w:type="dxa" w:w="60"/>
              <w:right w:type="dxa" w:w="100"/>
            </w:tcMar>
          </w:tcPr>
          <w:p>
            <w:pPr>
              <w:bidi w:val="false"/>
              <w:jc w:val="center"/>
            </w:pPr>
            <w:r>
              <w:rPr>
                <w:rFonts w:ascii="Arial" w:cs="Arial" w:eastAsia="Arial" w:hAnsi="Arial"/>
                <w:b w:val="false"/>
                <w:bCs w:val="false"/>
                <w:color w:val="6B7280"/>
                <w:sz w:val="18"/>
                <w:szCs w:val="18"/>
              </w:rPr>
              <w:t xml:space="preserve">0</w:t>
            </w:r>
          </w:p>
        </w:tc>
        <w:tc>
          <w:tcPr>
            <w:tcW w:type="dxa" w:w="13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B91C1C"/>
                <w:sz w:val="18"/>
                <w:szCs w:val="18"/>
              </w:rPr>
              <w:t xml:space="preserve">25.0%</w:t>
            </w:r>
          </w:p>
        </w:tc>
      </w:tr>
      <w:tr>
        <w:tc>
          <w:tcPr>
            <w:tcW w:type="dxa" w:w="500"/>
            <w:tcBorders>
              <w:top w:val="single" w:color="E5E7EB" w:sz="1"/>
              <w:left w:val="single" w:color="E5E7EB" w:sz="1"/>
              <w:bottom w:val="single" w:color="E5E7EB" w:sz="1"/>
              <w:right w:val="single" w:color="E5E7EB" w:sz="1"/>
            </w:tcBorders>
            <w:shd w:fill="1E293B" w:val="clear"/>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
            </w:r>
          </w:p>
        </w:tc>
        <w:tc>
          <w:tcPr>
            <w:tcW w:type="dxa" w:w="3100"/>
            <w:tcBorders>
              <w:top w:val="single" w:color="E5E7EB" w:sz="1"/>
              <w:left w:val="single" w:color="E5E7EB" w:sz="1"/>
              <w:bottom w:val="single" w:color="E5E7EB" w:sz="1"/>
              <w:right w:val="single" w:color="E5E7EB" w:sz="1"/>
            </w:tcBorders>
            <w:shd w:fill="1E293B" w:val="clear"/>
            <w:tcMar>
              <w:top w:type="dxa" w:w="60"/>
              <w:left w:type="dxa" w:w="100"/>
              <w:bottom w:type="dxa" w:w="60"/>
              <w:right w:type="dxa" w:w="100"/>
            </w:tcMar>
          </w:tcPr>
          <w:p>
            <w:pPr>
              <w:bidi w:val="false"/>
              <w:jc w:val="left"/>
            </w:pPr>
            <w:r>
              <w:rPr>
                <w:rFonts w:ascii="Arial" w:cs="Arial" w:eastAsia="Arial" w:hAnsi="Arial"/>
                <w:b/>
                <w:bCs/>
                <w:color w:val="FFFFFF"/>
                <w:sz w:val="18"/>
                <w:szCs w:val="18"/>
              </w:rPr>
              <w:t xml:space="preserve">TOTAL</w:t>
            </w:r>
          </w:p>
        </w:tc>
        <w:tc>
          <w:tcPr>
            <w:tcW w:type="dxa" w:w="900"/>
            <w:tcBorders>
              <w:top w:val="single" w:color="E5E7EB" w:sz="1"/>
              <w:left w:val="single" w:color="E5E7EB" w:sz="1"/>
              <w:bottom w:val="single" w:color="E5E7EB" w:sz="1"/>
              <w:right w:val="single" w:color="E5E7EB" w:sz="1"/>
            </w:tcBorders>
            <w:shd w:fill="1E293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616</w:t>
            </w:r>
          </w:p>
        </w:tc>
        <w:tc>
          <w:tcPr>
            <w:tcW w:type="dxa" w:w="900"/>
            <w:tcBorders>
              <w:top w:val="single" w:color="E5E7EB" w:sz="1"/>
              <w:left w:val="single" w:color="E5E7EB" w:sz="1"/>
              <w:bottom w:val="single" w:color="E5E7EB" w:sz="1"/>
              <w:right w:val="single" w:color="E5E7EB" w:sz="1"/>
            </w:tcBorders>
            <w:shd w:fill="1E293B" w:val="clear"/>
            <w:tcMar>
              <w:top w:type="dxa" w:w="60"/>
              <w:left w:type="dxa" w:w="100"/>
              <w:bottom w:type="dxa" w:w="60"/>
              <w:right w:type="dxa" w:w="100"/>
            </w:tcMar>
          </w:tcPr>
          <w:p>
            <w:pPr>
              <w:bidi w:val="false"/>
              <w:jc w:val="center"/>
            </w:pPr>
            <w:r>
              <w:rPr>
                <w:rFonts w:ascii="Arial" w:cs="Arial" w:eastAsia="Arial" w:hAnsi="Arial"/>
                <w:b/>
                <w:bCs/>
                <w:color w:val="6EE7B7"/>
                <w:sz w:val="18"/>
                <w:szCs w:val="18"/>
              </w:rPr>
              <w:t xml:space="preserve">377</w:t>
            </w:r>
          </w:p>
        </w:tc>
        <w:tc>
          <w:tcPr>
            <w:tcW w:type="dxa" w:w="900"/>
            <w:tcBorders>
              <w:top w:val="single" w:color="E5E7EB" w:sz="1"/>
              <w:left w:val="single" w:color="E5E7EB" w:sz="1"/>
              <w:bottom w:val="single" w:color="E5E7EB" w:sz="1"/>
              <w:right w:val="single" w:color="E5E7EB" w:sz="1"/>
            </w:tcBorders>
            <w:shd w:fill="1E293B" w:val="clear"/>
            <w:tcMar>
              <w:top w:type="dxa" w:w="60"/>
              <w:left w:type="dxa" w:w="100"/>
              <w:bottom w:type="dxa" w:w="60"/>
              <w:right w:type="dxa" w:w="100"/>
            </w:tcMar>
          </w:tcPr>
          <w:p>
            <w:pPr>
              <w:bidi w:val="false"/>
              <w:jc w:val="center"/>
            </w:pPr>
            <w:r>
              <w:rPr>
                <w:rFonts w:ascii="Arial" w:cs="Arial" w:eastAsia="Arial" w:hAnsi="Arial"/>
                <w:b/>
                <w:bCs/>
                <w:color w:val="FCA5A5"/>
                <w:sz w:val="18"/>
                <w:szCs w:val="18"/>
              </w:rPr>
              <w:t xml:space="preserve">187</w:t>
            </w:r>
          </w:p>
        </w:tc>
        <w:tc>
          <w:tcPr>
            <w:tcW w:type="dxa" w:w="900"/>
            <w:tcBorders>
              <w:top w:val="single" w:color="E5E7EB" w:sz="1"/>
              <w:left w:val="single" w:color="E5E7EB" w:sz="1"/>
              <w:bottom w:val="single" w:color="E5E7EB" w:sz="1"/>
              <w:right w:val="single" w:color="E5E7EB" w:sz="1"/>
            </w:tcBorders>
            <w:shd w:fill="1E293B" w:val="clear"/>
            <w:tcMar>
              <w:top w:type="dxa" w:w="60"/>
              <w:left w:type="dxa" w:w="100"/>
              <w:bottom w:type="dxa" w:w="60"/>
              <w:right w:type="dxa" w:w="100"/>
            </w:tcMar>
          </w:tcPr>
          <w:p>
            <w:pPr>
              <w:bidi w:val="false"/>
              <w:jc w:val="center"/>
            </w:pPr>
            <w:r>
              <w:rPr>
                <w:rFonts w:ascii="Arial" w:cs="Arial" w:eastAsia="Arial" w:hAnsi="Arial"/>
                <w:b/>
                <w:bCs/>
                <w:color w:val="FCD34D"/>
                <w:sz w:val="18"/>
                <w:szCs w:val="18"/>
              </w:rPr>
              <w:t xml:space="preserve">52</w:t>
            </w:r>
          </w:p>
        </w:tc>
        <w:tc>
          <w:tcPr>
            <w:tcW w:type="dxa" w:w="1300"/>
            <w:tcBorders>
              <w:top w:val="single" w:color="E5E7EB" w:sz="1"/>
              <w:left w:val="single" w:color="E5E7EB" w:sz="1"/>
              <w:bottom w:val="single" w:color="E5E7EB" w:sz="1"/>
              <w:right w:val="single" w:color="E5E7EB" w:sz="1"/>
            </w:tcBorders>
            <w:shd w:fill="1E293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61.2%</w:t>
            </w:r>
          </w:p>
        </w:tc>
      </w:tr>
    </w:tbl>
    <w:p>
      <w:pPr>
        <w:pStyle w:val="Heading2"/>
        <w:spacing w:before="300" w:after="150"/>
      </w:pPr>
      <w:r>
        <w:rPr>
          <w:rFonts w:ascii="Arial" w:cs="Arial" w:eastAsia="Arial" w:hAnsi="Arial"/>
          <w:b/>
          <w:bCs/>
          <w:sz w:val="28"/>
          <w:szCs w:val="28"/>
        </w:rPr>
        <w:t xml:space="preserve">2.1 Worst Performing Modules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500"/>
      </w:tblGrid>
      <w:tr>
        <w:tc>
          <w:tcPr>
            <w:tcW w:type="dxa" w:w="35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Module</w:t>
            </w:r>
          </w:p>
        </w:tc>
        <w:tc>
          <w:tcPr>
            <w:tcW w:type="dxa" w:w="15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Total</w:t>
            </w:r>
          </w:p>
        </w:tc>
        <w:tc>
          <w:tcPr>
            <w:tcW w:type="dxa" w:w="15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Failed</w:t>
            </w:r>
          </w:p>
        </w:tc>
        <w:tc>
          <w:tcPr>
            <w:tcW w:type="dxa" w:w="15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Fail Rate</w:t>
            </w:r>
          </w:p>
        </w:tc>
        <w:tc>
          <w:tcPr>
            <w:tcW w:type="dxa" w:w="15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Pass Rate</w:t>
            </w:r>
          </w:p>
        </w:tc>
      </w:tr>
      <w:tr>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Security</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8</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6</w:t>
            </w:r>
          </w:p>
        </w:tc>
        <w:tc>
          <w:tcPr>
            <w:tcW w:type="dxa" w:w="15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75.0%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25.0%</w:t>
            </w:r>
          </w:p>
        </w:tc>
      </w:tr>
      <w:tr>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Localization &amp; i18n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48</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32</w:t>
            </w:r>
          </w:p>
        </w:tc>
        <w:tc>
          <w:tcPr>
            <w:tcW w:type="dxa" w:w="15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66.7%</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22.9%</w:t>
            </w:r>
          </w:p>
        </w:tc>
      </w:tr>
      <w:tr>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PWA &amp; Offline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5</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3</w:t>
            </w:r>
          </w:p>
        </w:tc>
        <w:tc>
          <w:tcPr>
            <w:tcW w:type="dxa" w:w="15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60.0%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40.0%</w:t>
            </w:r>
          </w:p>
        </w:tc>
      </w:tr>
      <w:tr>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RBAC &amp; Permissions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32</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19</w:t>
            </w:r>
          </w:p>
        </w:tc>
        <w:tc>
          <w:tcPr>
            <w:tcW w:type="dxa" w:w="15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59.4%</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40.6%</w:t>
            </w:r>
          </w:p>
        </w:tc>
      </w:tr>
      <w:tr>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Email System</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9</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5</w:t>
            </w:r>
          </w:p>
        </w:tc>
        <w:tc>
          <w:tcPr>
            <w:tcW w:type="dxa" w:w="15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55.6%</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44.4%</w:t>
            </w:r>
          </w:p>
        </w:tc>
      </w:tr>
      <w:tr>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Inventory &amp; FIFO</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16</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8</w:t>
            </w:r>
          </w:p>
        </w:tc>
        <w:tc>
          <w:tcPr>
            <w:tcW w:type="dxa" w:w="15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50.0%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43.8%</w:t>
            </w:r>
          </w:p>
        </w:tc>
      </w:tr>
      <w:tr>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Audit Trail</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5</w:t>
            </w:r>
          </w:p>
        </w:tc>
        <w:tc>
          <w:tcPr>
            <w:tcW w:type="dxa" w:w="1500"/>
            <w:tcBorders>
              <w:top w:val="single" w:color="E5E7EB" w:sz="1"/>
              <w:left w:val="single" w:color="E5E7EB" w:sz="1"/>
              <w:bottom w:val="single" w:color="E5E7EB" w:sz="1"/>
              <w:right w:val="single" w:color="E5E7EB" w:sz="1"/>
            </w:tcBorders>
            <w:shd w:fill="FEE2E2" w:val="clear"/>
            <w:tcMar>
              <w:top w:type="dxa" w:w="60"/>
              <w:left w:type="dxa" w:w="100"/>
              <w:bottom w:type="dxa" w:w="60"/>
              <w:right w:type="dxa" w:w="100"/>
            </w:tcMar>
          </w:tcPr>
          <w:p>
            <w:pPr>
              <w:bidi w:val="false"/>
              <w:jc w:val="center"/>
            </w:pPr>
            <w:r>
              <w:rPr>
                <w:rFonts w:ascii="Arial" w:cs="Arial" w:eastAsia="Arial" w:hAnsi="Arial"/>
                <w:b/>
                <w:bCs/>
                <w:color w:val="B91C1C"/>
                <w:sz w:val="18"/>
                <w:szCs w:val="18"/>
              </w:rPr>
              <w:t xml:space="preserve">50.0%</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50.0%</w:t>
            </w:r>
          </w:p>
        </w:tc>
      </w:tr>
    </w:tbl>
    <w:p>
      <w:pPr>
        <w:pStyle w:val="Heading2"/>
        <w:spacing w:before="300" w:after="150"/>
      </w:pPr>
      <w:r>
        <w:rPr>
          <w:rFonts w:ascii="Arial" w:cs="Arial" w:eastAsia="Arial" w:hAnsi="Arial"/>
          <w:b/>
          <w:bCs/>
          <w:sz w:val="28"/>
          <w:szCs w:val="28"/>
        </w:rPr>
        <w:t xml:space="preserve">2.2 Best Performing Modules</w:t>
      </w:r>
    </w:p>
    <w:p>
      <w:pPr>
        <w:spacing w:after="100"/>
      </w:pPr>
      <w:r>
        <w:rPr>
          <w:rFonts w:ascii="Arial" w:cs="Arial" w:eastAsia="Arial" w:hAnsi="Arial"/>
          <w:sz w:val="20"/>
          <w:szCs w:val="20"/>
        </w:rPr>
        <w:t xml:space="preserve">Module 22 (Barcode &amp; QR) achieved a perfect 100% pass rate (8/8). Other strong performers include Module 21 (PDF Export, 83.3%), Module 13 (Other Documents, 79.2%), and Module 6 (Warehouse Staff, 85.7%). The state machine implementation for document workflows is solid, and the FIFO inventory logic is correctly implemented.</w:t>
      </w:r>
    </w:p>
    <w:p>
      <w:r>
        <w:br w:type="page"/>
      </w:r>
    </w:p>
    <w:p>
      <w:pPr>
        <w:pStyle w:val="Heading1"/>
        <w:spacing w:before="240" w:after="200"/>
      </w:pPr>
      <w:r>
        <w:rPr>
          <w:rFonts w:ascii="Arial" w:cs="Arial" w:eastAsia="Arial" w:hAnsi="Arial"/>
          <w:b/>
          <w:bCs/>
          <w:color w:val="2E3192"/>
          <w:sz w:val="32"/>
          <w:szCs w:val="32"/>
        </w:rPr>
        <w:t xml:space="preserve">3. Critical &amp; High-Severity Defects</w:t>
      </w:r>
    </w:p>
    <w:p>
      <w:pPr>
        <w:spacing w:after="200"/>
      </w:pPr>
      <w:r>
        <w:rPr>
          <w:rFonts w:ascii="Arial" w:cs="Arial" w:eastAsia="Arial" w:hAnsi="Arial"/>
          <w:sz w:val="20"/>
          <w:szCs w:val="20"/>
        </w:rPr>
        <w:t xml:space="preserve">The following defects require resolution before production deployment. They are ordered by severity and impact.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306"/>
      </w:tblGrid>
      <w:tr>
        <w:tc>
          <w:tcPr>
            <w:tcW w:type="dxa" w:w="12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Defect ID</w:t>
            </w:r>
          </w:p>
        </w:tc>
        <w:tc>
          <w:tcPr>
            <w:tcW w:type="dxa" w:w="10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306"/>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ADM-19~24</w:t>
            </w:r>
          </w:p>
        </w:tc>
        <w:tc>
          <w:tcPr>
            <w:tcW w:type="dxa" w:w="1000"/>
            <w:tcBorders>
              <w:top w:val="single" w:color="E5E7EB" w:sz="1"/>
              <w:left w:val="single" w:color="E5E7EB" w:sz="1"/>
              <w:bottom w:val="single" w:color="E5E7EB" w:sz="1"/>
              <w:right w:val="single" w:color="E5E7EB" w:sz="1"/>
            </w:tcBorders>
            <w:shd w:fill="FCA5A5"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No master data CRUD buttons in Admin UI — AdminResourceList.tsx renders read-only tables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MGR/WHS/LOG/QCO</w:t>
            </w:r>
          </w:p>
        </w:tc>
        <w:tc>
          <w:tcPr>
            <w:tcW w:type="dxa" w:w="1000"/>
            <w:tcBorders>
              <w:top w:val="single" w:color="E5E7EB" w:sz="1"/>
              <w:left w:val="single" w:color="E5E7EB" w:sz="1"/>
              <w:bottom w:val="single" w:color="E5E7EB" w:sz="1"/>
              <w:right w:val="single" w:color="E5E7EB" w:sz="1"/>
            </w:tcBorders>
            <w:shd w:fill="FCA5A5"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Role dashboards missing ALL action buttons — backend hooks exist but frontend not wired</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RBAC-32</w:t>
            </w:r>
          </w:p>
        </w:tc>
        <w:tc>
          <w:tcPr>
            <w:tcW w:type="dxa" w:w="1000"/>
            <w:tcBorders>
              <w:top w:val="single" w:color="E5E7EB" w:sz="1"/>
              <w:left w:val="single" w:color="E5E7EB" w:sz="1"/>
              <w:bottom w:val="single" w:color="E5E7EB" w:sz="1"/>
              <w:right w:val="single" w:color="E5E7EB" w:sz="1"/>
            </w:tcBorders>
            <w:shd w:fill="FCA5A5"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No frontend ProtectedRoute component — all routes accessible to any authenticated user</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RBAC-26</w:t>
            </w:r>
          </w:p>
        </w:tc>
        <w:tc>
          <w:tcPr>
            <w:tcW w:type="dxa" w:w="1000"/>
            <w:tcBorders>
              <w:top w:val="single" w:color="E5E7EB" w:sz="1"/>
              <w:left w:val="single" w:color="E5E7EB" w:sz="1"/>
              <w:bottom w:val="single" w:color="E5E7EB" w:sz="1"/>
              <w:right w:val="single" w:color="E5E7EB" w:sz="1"/>
            </w:tcBorders>
            <w:shd w:fill="FCA5A5"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Self-approval allowed — users can approve their own documents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ST-07/08</w:t>
            </w:r>
          </w:p>
        </w:tc>
        <w:tc>
          <w:tcPr>
            <w:tcW w:type="dxa" w:w="1000"/>
            <w:tcBorders>
              <w:top w:val="single" w:color="E5E7EB" w:sz="1"/>
              <w:left w:val="single" w:color="E5E7EB" w:sz="1"/>
              <w:bottom w:val="single" w:color="E5E7EB" w:sz="1"/>
              <w:right w:val="single" w:color="E5E7EB" w:sz="1"/>
            </w:tcBorders>
            <w:shd w:fill="FCA5A5"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Stock transfer ship()/receive() not wrapped in $transaction — partial updates possible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INV-16</w:t>
            </w:r>
          </w:p>
        </w:tc>
        <w:tc>
          <w:tcPr>
            <w:tcW w:type="dxa" w:w="1000"/>
            <w:tcBorders>
              <w:top w:val="single" w:color="E5E7EB" w:sz="1"/>
              <w:left w:val="single" w:color="E5E7EB" w:sz="1"/>
              <w:bottom w:val="single" w:color="E5E7EB" w:sz="1"/>
              <w:right w:val="single" w:color="E5E7EB" w:sz="1"/>
            </w:tcBorders>
            <w:shd w:fill="FCA5A5"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Uninspected stock available for issuance before RFIM completion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SEC-03</w:t>
            </w:r>
          </w:p>
        </w:tc>
        <w:tc>
          <w:tcPr>
            <w:tcW w:type="dxa" w:w="1000"/>
            <w:tcBorders>
              <w:top w:val="single" w:color="E5E7EB" w:sz="1"/>
              <w:left w:val="single" w:color="E5E7EB" w:sz="1"/>
              <w:bottom w:val="single" w:color="E5E7EB" w:sz="1"/>
              <w:right w:val="single" w:color="E5E7EB" w:sz="1"/>
            </w:tcBorders>
            <w:shd w:fill="FCA5A5"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Uploaded files publicly accessible — no authentication on /uploads path</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SEC-07</w:t>
            </w:r>
          </w:p>
        </w:tc>
        <w:tc>
          <w:tcPr>
            <w:tcW w:type="dxa" w:w="1000"/>
            <w:tcBorders>
              <w:top w:val="single" w:color="E5E7EB" w:sz="1"/>
              <w:left w:val="single" w:color="E5E7EB" w:sz="1"/>
              <w:bottom w:val="single" w:color="E5E7EB" w:sz="1"/>
              <w:right w:val="single" w:color="E5E7EB" w:sz="1"/>
            </w:tcBorders>
            <w:shd w:fill="FCA5A5"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XSS vulnerability in barcode HTML rendering — unsanitized input</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AUTH-54</w:t>
            </w:r>
          </w:p>
        </w:tc>
        <w:tc>
          <w:tcPr>
            <w:tcW w:type="dxa" w:w="1000"/>
            <w:tcBorders>
              <w:top w:val="single" w:color="E5E7EB" w:sz="1"/>
              <w:left w:val="single" w:color="E5E7EB" w:sz="1"/>
              <w:bottom w:val="single" w:color="E5E7EB" w:sz="1"/>
              <w:right w:val="single" w:color="E5E7EB" w:sz="1"/>
            </w:tcBorders>
            <w:shd w:fill="FDBA74"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High</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Logout is a no-op — no token blacklist, JWT valid for 15 minutes after logout</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AUTH-55</w:t>
            </w:r>
          </w:p>
        </w:tc>
        <w:tc>
          <w:tcPr>
            <w:tcW w:type="dxa" w:w="1000"/>
            <w:tcBorders>
              <w:top w:val="single" w:color="E5E7EB" w:sz="1"/>
              <w:left w:val="single" w:color="E5E7EB" w:sz="1"/>
              <w:bottom w:val="single" w:color="E5E7EB" w:sz="1"/>
              <w:right w:val="single" w:color="E5E7EB" w:sz="1"/>
            </w:tcBorders>
            <w:shd w:fill="FDBA74"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High</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Deactivated users can still access API with existing tokens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AUTH-58</w:t>
            </w:r>
          </w:p>
        </w:tc>
        <w:tc>
          <w:tcPr>
            <w:tcW w:type="dxa" w:w="1000"/>
            <w:tcBorders>
              <w:top w:val="single" w:color="E5E7EB" w:sz="1"/>
              <w:left w:val="single" w:color="E5E7EB" w:sz="1"/>
              <w:bottom w:val="single" w:color="E5E7EB" w:sz="1"/>
              <w:right w:val="single" w:color="E5E7EB" w:sz="1"/>
            </w:tcBorders>
            <w:shd w:fill="FDBA74"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High</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Hardcoded JWT secrets in env.ts fallback values — exposed in source code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I18N-01</w:t>
            </w:r>
          </w:p>
        </w:tc>
        <w:tc>
          <w:tcPr>
            <w:tcW w:type="dxa" w:w="1000"/>
            <w:tcBorders>
              <w:top w:val="single" w:color="E5E7EB" w:sz="1"/>
              <w:left w:val="single" w:color="E5E7EB" w:sz="1"/>
              <w:bottom w:val="single" w:color="E5E7EB" w:sz="1"/>
              <w:right w:val="single" w:color="E5E7EB" w:sz="1"/>
            </w:tcBorders>
            <w:shd w:fill="FDBA74"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High</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~90% of UI strings hardcoded in English — only ~69 i18n keys exist</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INV-10</w:t>
            </w:r>
          </w:p>
        </w:tc>
        <w:tc>
          <w:tcPr>
            <w:tcW w:type="dxa" w:w="1000"/>
            <w:tcBorders>
              <w:top w:val="single" w:color="E5E7EB" w:sz="1"/>
              <w:left w:val="single" w:color="E5E7EB" w:sz="1"/>
              <w:bottom w:val="single" w:color="E5E7EB" w:sz="1"/>
              <w:right w:val="single" w:color="E5E7EB" w:sz="1"/>
            </w:tcBorders>
            <w:shd w:fill="FDBA74"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High</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addStock() accepts negative quantities — no validation guard</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INV-12</w:t>
            </w:r>
          </w:p>
        </w:tc>
        <w:tc>
          <w:tcPr>
            <w:tcW w:type="dxa" w:w="1000"/>
            <w:tcBorders>
              <w:top w:val="single" w:color="E5E7EB" w:sz="1"/>
              <w:left w:val="single" w:color="E5E7EB" w:sz="1"/>
              <w:bottom w:val="single" w:color="E5E7EB" w:sz="1"/>
              <w:right w:val="single" w:color="E5E7EB" w:sz="1"/>
            </w:tcBorders>
            <w:shd w:fill="FDBA74"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High</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deductStock() ignores reservedQty — can issue reserved stock to other requests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SEC-05</w:t>
            </w:r>
          </w:p>
        </w:tc>
        <w:tc>
          <w:tcPr>
            <w:tcW w:type="dxa" w:w="1000"/>
            <w:tcBorders>
              <w:top w:val="single" w:color="E5E7EB" w:sz="1"/>
              <w:left w:val="single" w:color="E5E7EB" w:sz="1"/>
              <w:bottom w:val="single" w:color="E5E7EB" w:sz="1"/>
              <w:right w:val="single" w:color="E5E7EB" w:sz="1"/>
            </w:tcBorders>
            <w:shd w:fill="FDBA74"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High</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Pagination attack — page=999999999 causes database timeout/crash</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6"/>
                <w:szCs w:val="16"/>
              </w:rPr>
              <w:t xml:space="preserve">SEC-06</w:t>
            </w:r>
          </w:p>
        </w:tc>
        <w:tc>
          <w:tcPr>
            <w:tcW w:type="dxa" w:w="1000"/>
            <w:tcBorders>
              <w:top w:val="single" w:color="E5E7EB" w:sz="1"/>
              <w:left w:val="single" w:color="E5E7EB" w:sz="1"/>
              <w:bottom w:val="single" w:color="E5E7EB" w:sz="1"/>
              <w:right w:val="single" w:color="E5E7EB" w:sz="1"/>
            </w:tcBorders>
            <w:shd w:fill="FDBA74" w:val="clear"/>
            <w:tcMar>
              <w:top w:type="dxa" w:w="60"/>
              <w:left w:type="dxa" w:w="100"/>
              <w:bottom w:type="dxa" w:w="60"/>
              <w:right w:type="dxa" w:w="100"/>
            </w:tcMar>
          </w:tcPr>
          <w:p>
            <w:pPr>
              <w:jc w:val="center"/>
            </w:pPr>
            <w:r>
              <w:rPr>
                <w:rFonts w:ascii="Arial" w:cs="Arial" w:eastAsia="Arial" w:hAnsi="Arial"/>
                <w:b/>
                <w:bCs/>
                <w:color w:val="9A3412"/>
                <w:sz w:val="18"/>
                <w:szCs w:val="18"/>
              </w:rPr>
              <w:t xml:space="preserve">High</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Query parameter injection via Prisma orderBy — unsafe dynamic field names</w:t>
            </w:r>
          </w:p>
        </w:tc>
      </w:tr>
    </w:tbl>
    <w:p>
      <w:r>
        <w:br w:type="page"/>
      </w:r>
    </w:p>
    <w:p>
      <w:pPr>
        <w:pStyle w:val="Heading1"/>
        <w:spacing w:before="240" w:after="200"/>
      </w:pPr>
      <w:r>
        <w:rPr>
          <w:rFonts w:ascii="Arial" w:cs="Arial" w:eastAsia="Arial" w:hAnsi="Arial"/>
          <w:b/>
          <w:bCs/>
          <w:color w:val="2E3192"/>
          <w:sz w:val="32"/>
          <w:szCs w:val="32"/>
        </w:rPr>
        <w:t xml:space="preserve">4. Failure Category Analysis</w:t>
      </w:r>
    </w:p>
    <w:p>
      <w:pPr>
        <w:pStyle w:val="Heading2"/>
        <w:spacing w:before="200" w:after="100"/>
      </w:pPr>
      <w:r>
        <w:rPr>
          <w:rFonts w:ascii="Arial" w:cs="Arial" w:eastAsia="Arial" w:hAnsi="Arial"/>
          <w:b/>
          <w:bCs/>
          <w:sz w:val="26"/>
          <w:szCs w:val="26"/>
        </w:rPr>
        <w:t xml:space="preserve">4.1 Security Vulnerabilities (8 defects)</w:t>
      </w:r>
    </w:p>
    <w:p>
      <w:pPr>
        <w:spacing w:after="200"/>
      </w:pPr>
      <w:r>
        <w:rPr>
          <w:rFonts w:ascii="Arial" w:cs="Arial" w:eastAsia="Arial" w:hAnsi="Arial"/>
          <w:sz w:val="20"/>
          <w:szCs w:val="20"/>
        </w:rPr>
        <w:t xml:space="preserve">The security module has the highest severity concentration with 6/8 tests failing. Critical issues include publicly accessible uploaded files without authentication, XSS vulnerability in barcode HTML rendering, pagination-based DoS attack vector (page=999999999), and query injection via unsanitized Prisma orderBy parameters. The in-memory rate limiter resets on server restart and can be bypassed via proxy rotation.</w:t>
      </w:r>
    </w:p>
    <w:p>
      <w:pPr>
        <w:pStyle w:val="Heading2"/>
        <w:spacing w:before="200" w:after="100"/>
      </w:pPr>
      <w:r>
        <w:rPr>
          <w:rFonts w:ascii="Arial" w:cs="Arial" w:eastAsia="Arial" w:hAnsi="Arial"/>
          <w:b/>
          <w:bCs/>
          <w:sz w:val="26"/>
          <w:szCs w:val="26"/>
        </w:rPr>
        <w:t xml:space="preserve">4.2 Data Integrity &amp; Inventory Risks (8 defects)</w:t>
      </w:r>
    </w:p>
    <w:p>
      <w:pPr>
        <w:spacing w:after="200"/>
      </w:pPr>
      <w:r>
        <w:rPr>
          <w:rFonts w:ascii="Arial" w:cs="Arial" w:eastAsia="Arial" w:hAnsi="Arial"/>
          <w:sz w:val="20"/>
          <w:szCs w:val="20"/>
        </w:rPr>
        <w:t xml:space="preserve">Stock management has fundamental validation gaps: addStock() accepts negative quantities, deductStock() ignores reservedQty (allowing issuance of reserved stock), uninspected materials are available before RFIM approval, and unitCost can be null (breaking financial calculations). Stock transfer ship/receive operations are not wrapped in database transactions, risking partial updates.</w:t>
      </w:r>
    </w:p>
    <w:p>
      <w:pPr>
        <w:pStyle w:val="Heading2"/>
        <w:spacing w:before="200" w:after="100"/>
      </w:pPr>
      <w:r>
        <w:rPr>
          <w:rFonts w:ascii="Arial" w:cs="Arial" w:eastAsia="Arial" w:hAnsi="Arial"/>
          <w:b/>
          <w:bCs/>
          <w:sz w:val="26"/>
          <w:szCs w:val="26"/>
        </w:rPr>
        <w:t xml:space="preserve">4.3 Backend-Frontend Integration Gap (~40% of failures)</w:t>
      </w:r>
    </w:p>
    <w:p>
      <w:pPr>
        <w:spacing w:after="200"/>
      </w:pPr>
      <w:r>
        <w:rPr>
          <w:rFonts w:ascii="Arial" w:cs="Arial" w:eastAsia="Arial" w:hAnsi="Arial"/>
          <w:sz w:val="20"/>
          <w:szCs w:val="20"/>
        </w:rPr>
        <w:t xml:space="preserve">The single largest category. Backend services, approval hooks, and state machine logic are fully implemented and working. However, frontend dashboards for Manager, Warehouse Supervisor, Logistics Coordinator, QC Officer, and Admin roles render data tables without action buttons. The React Query hooks (useApproveJobOrder, etc.) exist but are never called from the UI components.</w:t>
      </w:r>
    </w:p>
    <w:p>
      <w:pPr>
        <w:pStyle w:val="Heading2"/>
        <w:spacing w:before="200" w:after="100"/>
      </w:pPr>
      <w:r>
        <w:rPr>
          <w:rFonts w:ascii="Arial" w:cs="Arial" w:eastAsia="Arial" w:hAnsi="Arial"/>
          <w:b/>
          <w:bCs/>
          <w:sz w:val="26"/>
          <w:szCs w:val="26"/>
        </w:rPr>
        <w:t xml:space="preserve">4.4 Localization &amp; i18n (32 failures, 66.7% fail rate)</w:t>
      </w:r>
    </w:p>
    <w:p>
      <w:pPr>
        <w:spacing w:after="200"/>
      </w:pPr>
      <w:r>
        <w:rPr>
          <w:rFonts w:ascii="Arial" w:cs="Arial" w:eastAsia="Arial" w:hAnsi="Arial"/>
          <w:sz w:val="20"/>
          <w:szCs w:val="20"/>
        </w:rPr>
        <w:t xml:space="preserve">Module 20 is the worst-performing module. Approximately 90% of UI strings are hardcoded in English with only ~69 translation keys configured. RTL layout is broken in sidebar navigation, form layouts, icon positions, and CSS animations. Date/number/currency formats are hardcoded to en-GB/en-US. No support exists for Urdu, Hindi, or Filipino despite the international workforce context.</w:t>
      </w:r>
    </w:p>
    <w:p>
      <w:pPr>
        <w:pStyle w:val="Heading2"/>
        <w:spacing w:before="200" w:after="100"/>
      </w:pPr>
      <w:r>
        <w:rPr>
          <w:rFonts w:ascii="Arial" w:cs="Arial" w:eastAsia="Arial" w:hAnsi="Arial"/>
          <w:b/>
          <w:bCs/>
          <w:sz w:val="26"/>
          <w:szCs w:val="26"/>
        </w:rPr>
        <w:t xml:space="preserve">4.5 Authentication &amp; Access Control (41 failures)</w:t>
      </w:r>
    </w:p>
    <w:p>
      <w:pPr>
        <w:spacing w:after="200"/>
      </w:pPr>
      <w:r>
        <w:rPr>
          <w:rFonts w:ascii="Arial" w:cs="Arial" w:eastAsia="Arial" w:hAnsi="Arial"/>
          <w:sz w:val="20"/>
          <w:szCs w:val="20"/>
        </w:rPr>
        <w:t xml:space="preserve">Combined Auth + RBAC modules show 41 failures. Logout performs no server-side action (no token blacklist), deactivated users retain API access, JWT secrets have hardcoded fallbacks in source code, password minimum length is inconsistent (8 for change, 6 for login/reset), and demo credentials exist in source code. The ProtectedRoute component is missing entirely from the frontend.</w:t>
      </w:r>
    </w:p>
    <w:p>
      <w:pPr>
        <w:pStyle w:val="Heading2"/>
        <w:spacing w:before="200" w:after="100"/>
      </w:pPr>
      <w:r>
        <w:rPr>
          <w:rFonts w:ascii="Arial" w:cs="Arial" w:eastAsia="Arial" w:hAnsi="Arial"/>
          <w:b/>
          <w:bCs/>
          <w:sz w:val="26"/>
          <w:szCs w:val="26"/>
        </w:rPr>
        <w:t xml:space="preserve">4.6 Infrastructure (Email, Notifications, Audit)</w:t>
      </w:r>
    </w:p>
    <w:p>
      <w:pPr>
        <w:spacing w:after="200"/>
      </w:pPr>
      <w:r>
        <w:rPr>
          <w:rFonts w:ascii="Arial" w:cs="Arial" w:eastAsia="Arial" w:hAnsi="Arial"/>
          <w:sz w:val="20"/>
          <w:szCs w:val="20"/>
        </w:rPr>
        <w:t xml:space="preserve">Email: No webhook verification, silent failures, no retry mechanism, XSS in Handlebars templates. Socket.IO: No token refresh, no event queuing, no rate limiting, no disconnect cleanup. Audit Trail: Only 3 action types tracked, changedFields often empty, performedById sometimes null, no data retention policy.</w:t>
      </w:r>
    </w:p>
    <w:p>
      <w:r>
        <w:br w:type="page"/>
      </w:r>
    </w:p>
    <w:p>
      <w:pPr>
        <w:pStyle w:val="Heading1"/>
        <w:spacing w:before="240" w:after="200"/>
      </w:pPr>
      <w:r>
        <w:rPr>
          <w:rFonts w:ascii="Arial" w:cs="Arial" w:eastAsia="Arial" w:hAnsi="Arial"/>
          <w:b/>
          <w:bCs/>
          <w:color w:val="2E3192"/>
          <w:sz w:val="32"/>
          <w:szCs w:val="32"/>
        </w:rPr>
        <w:t xml:space="preserve">5. Prioritized Recommendations</w:t>
      </w:r>
    </w:p>
    <w:p>
      <w:pPr>
        <w:spacing w:after="200"/>
      </w:pPr>
      <w:r>
        <w:rPr>
          <w:rFonts w:ascii="Arial" w:cs="Arial" w:eastAsia="Arial" w:hAnsi="Arial"/>
          <w:sz w:val="20"/>
          <w:szCs w:val="20"/>
        </w:rPr>
        <w:t xml:space="preserve">Recommendations are organized into four priority tiers based on severity, user impact, and effort required.</w:t>
      </w:r>
    </w:p>
    <w:p>
      <w:pPr>
        <w:pStyle w:val="Heading2"/>
        <w:spacing w:before="250" w:after="150"/>
      </w:pPr>
      <w:r>
        <w:rPr>
          <w:rFonts w:ascii="Arial" w:cs="Arial" w:eastAsia="Arial" w:hAnsi="Arial"/>
          <w:b/>
          <w:bCs/>
          <w:color w:val="EF4444"/>
          <w:sz w:val="26"/>
          <w:szCs w:val="26"/>
        </w:rPr>
        <w:t xml:space="preserve">Tier 1 — Immediate (Week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1</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Wire all action buttons in role dashboards (Manager, WH Supervisor, Logistics, QC Officer, Admin)</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2</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Implement ProtectedRoute component and apply to all routes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3</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Block self-approval in approval service middleware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4</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authentication middleware to /uploads file serving route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5</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Sanitize all HTML inputs (especially barcode rendering) to prevent XSS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6</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Wrap ship()/receive() operations in Prisma $transaction</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7</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stock quantity validation (qty &gt; 0, qty &lt;= available - reserved)</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8</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Remove hardcoded JWT secrets from env.ts fallbacks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9</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Implement token blacklist for logout (Redis or DB-based)</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EF4444"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10</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Block API access for deactivated users via middleware check</w:t>
            </w:r>
          </w:p>
        </w:tc>
      </w:tr>
    </w:tbl>
    <w:p>
      <w:pPr>
        <w:pStyle w:val="Heading2"/>
        <w:spacing w:before="250" w:after="150"/>
      </w:pPr>
      <w:r>
        <w:rPr>
          <w:rFonts w:ascii="Arial" w:cs="Arial" w:eastAsia="Arial" w:hAnsi="Arial"/>
          <w:b/>
          <w:bCs/>
          <w:color w:val="F59E0B"/>
          <w:sz w:val="26"/>
          <w:szCs w:val="26"/>
        </w:rPr>
        <w:t xml:space="preserve">Tier 2 — Pre-Production (Week 3-4)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1</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Cap pagination pageSize (max 100) and validate page parameter bounds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2</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Sanitize Prisma orderBy fields against allowed whitelist</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3</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MIME type validation on file uploads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4</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Wrap all multi-step document operations in $transaction</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5</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optimistic locking (version field) on concurrent document edits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6</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Fix approval tier boundary conditions (&gt; not &gt;= for value thresholds)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7</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Prevent rejected documents from being terminal — allow resubmission to Draft</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8</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ownership checks on document update/delete operations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9</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Implement email retry logic with exponential backoff</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F59E0B"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10</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webhook signature verification for Resend callbacks</w:t>
            </w:r>
          </w:p>
        </w:tc>
      </w:tr>
    </w:tbl>
    <w:p>
      <w:pPr>
        <w:pStyle w:val="Heading2"/>
        <w:spacing w:before="250" w:after="150"/>
      </w:pPr>
      <w:r>
        <w:rPr>
          <w:rFonts w:ascii="Arial" w:cs="Arial" w:eastAsia="Arial" w:hAnsi="Arial"/>
          <w:b/>
          <w:bCs/>
          <w:color w:val="80D1E9"/>
          <w:sz w:val="26"/>
          <w:szCs w:val="26"/>
        </w:rPr>
        <w:t xml:space="preserve">Tier 3 — Next Sprint (Week 5-8)</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1</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Expand i18n: extract all hardcoded English strings to translation keys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2</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Fix RTL layout issues (sidebar, forms, icons, animations)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3</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Localize date/number/currency formats per locale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4</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Urdu, Hindi, Filipino language support for international workforce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5</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Fix Arabic PDF rendering (consider alternative to jsPDF for Arabic text)</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6</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Expand audit trail to capture all CRUD operations with full changedFields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7</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report pagination and date range validation in Dashboard Builder</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8</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Implement proper Socket.IO disconnect cleanup and event queuing</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9</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backdrop-filter CSS fallback for older browsers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80D1E9"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10</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Fix responsive breakpoints for laptop (1366px) and mobile (320px)</w:t>
            </w:r>
          </w:p>
        </w:tc>
      </w:tr>
    </w:tbl>
    <w:p>
      <w:pPr>
        <w:pStyle w:val="Heading2"/>
        <w:spacing w:before="250" w:after="150"/>
      </w:pPr>
      <w:r>
        <w:rPr>
          <w:rFonts w:ascii="Arial" w:cs="Arial" w:eastAsia="Arial" w:hAnsi="Arial"/>
          <w:b/>
          <w:bCs/>
          <w:color w:val="6B7280"/>
          <w:sz w:val="26"/>
          <w:szCs w:val="26"/>
        </w:rPr>
        <w:t xml:space="preserve">Tier 4 — Backlog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6B7280"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1</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Implement PWA offline fallback page and background sync</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6B7280"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2</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Move rate limiter to Redis for multi-instance support</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6B7280"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3</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widget limit cap in Dashboard Builder (prevent 1000+ widgets)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6B7280"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4</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JSON schema validation for dashboard configurations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6B7280"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5</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Implement EventEmitter leak detection (replace maxListeners=100 workaround)</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6B7280"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6</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data retention policy for audit logs</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6B7280"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7</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Add touch target minimum size (44px) enforcement</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E5E7EB" w:sz="1"/>
              <w:left w:val="single" w:color="E5E7EB" w:sz="1"/>
              <w:bottom w:val="single" w:color="E5E7EB" w:sz="1"/>
              <w:right w:val="single" w:color="E5E7EB" w:sz="1"/>
            </w:tcBorders>
            <w:shd w:fill="6B7280" w:val="clear"/>
            <w:tcMar>
              <w:top w:type="dxa" w:w="60"/>
              <w:left w:type="dxa" w:w="100"/>
              <w:bottom w:type="dxa" w:w="60"/>
              <w:right w:type="dxa" w:w="100"/>
            </w:tcMar>
          </w:tcPr>
          <w:p>
            <w:pPr>
              <w:bidi w:val="false"/>
              <w:jc w:val="center"/>
            </w:pPr>
            <w:r>
              <w:rPr>
                <w:rFonts w:ascii="Arial" w:cs="Arial" w:eastAsia="Arial" w:hAnsi="Arial"/>
                <w:b/>
                <w:bCs/>
                <w:color w:val="FFFFFF"/>
                <w:sz w:val="18"/>
                <w:szCs w:val="18"/>
              </w:rPr>
              <w:t xml:space="preserve">8</w:t>
            </w:r>
          </w:p>
        </w:tc>
        <w:tc>
          <w:tcPr>
            <w:tcW w:type="dxa" w:w="90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Implement proper cache invalidation strategy (replace 5-min stale TTL)</w:t>
            </w:r>
          </w:p>
        </w:tc>
      </w:tr>
    </w:tbl>
    <w:p>
      <w:r>
        <w:br w:type="page"/>
      </w:r>
    </w:p>
    <w:p>
      <w:pPr>
        <w:pStyle w:val="Heading1"/>
        <w:spacing w:before="240" w:after="200"/>
      </w:pPr>
      <w:r>
        <w:rPr>
          <w:rFonts w:ascii="Arial" w:cs="Arial" w:eastAsia="Arial" w:hAnsi="Arial"/>
          <w:b/>
          <w:bCs/>
          <w:color w:val="2E3192"/>
          <w:sz w:val="32"/>
          <w:szCs w:val="32"/>
        </w:rPr>
        <w:t xml:space="preserve">6. Positive Findings &amp; Strengths</w:t>
      </w:r>
    </w:p>
    <w:p>
      <w:pPr>
        <w:spacing w:after="150"/>
      </w:pPr>
      <w:r>
        <w:rPr>
          <w:rFonts w:ascii="Arial" w:cs="Arial" w:eastAsia="Arial" w:hAnsi="Arial"/>
          <w:sz w:val="20"/>
          <w:szCs w:val="20"/>
        </w:rPr>
        <w:t xml:space="preserve">Despite the high failure rate, the system demonstrates solid architectural foundations in several areas: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c>
          <w:tcPr>
            <w:tcW w:type="dxa" w:w="22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Area</w:t>
            </w:r>
          </w:p>
        </w:tc>
        <w:tc>
          <w:tcPr>
            <w:tcW w:type="dxa" w:w="7306"/>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Finding</w:t>
            </w:r>
          </w:p>
        </w:tc>
      </w:tr>
      <w:tr>
        <w:tc>
          <w:tcPr>
            <w:tcW w:type="dxa" w:w="22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left"/>
            </w:pPr>
            <w:r>
              <w:rPr>
                <w:rFonts w:ascii="Arial" w:cs="Arial" w:eastAsia="Arial" w:hAnsi="Arial"/>
                <w:b/>
                <w:bCs/>
                <w:color w:val="047857"/>
                <w:sz w:val="18"/>
                <w:szCs w:val="18"/>
              </w:rPr>
              <w:t xml:space="preserve">State Machine</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Document lifecycle management via assertTransition() is well-implemented with proper state validation.</w:t>
            </w:r>
          </w:p>
        </w:tc>
      </w:tr>
      <w:tr>
        <w:tc>
          <w:tcPr>
            <w:tcW w:type="dxa" w:w="22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left"/>
            </w:pPr>
            <w:r>
              <w:rPr>
                <w:rFonts w:ascii="Arial" w:cs="Arial" w:eastAsia="Arial" w:hAnsi="Arial"/>
                <w:b/>
                <w:bCs/>
                <w:color w:val="047857"/>
                <w:sz w:val="18"/>
                <w:szCs w:val="18"/>
              </w:rPr>
              <w:t xml:space="preserve">FIFO Inventory</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Core FIFO logic (receiptDate ascending ordering) works correctly for stock deduction.</w:t>
            </w:r>
          </w:p>
        </w:tc>
      </w:tr>
      <w:tr>
        <w:tc>
          <w:tcPr>
            <w:tcW w:type="dxa" w:w="22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left"/>
            </w:pPr>
            <w:r>
              <w:rPr>
                <w:rFonts w:ascii="Arial" w:cs="Arial" w:eastAsia="Arial" w:hAnsi="Arial"/>
                <w:b/>
                <w:bCs/>
                <w:color w:val="047857"/>
                <w:sz w:val="18"/>
                <w:szCs w:val="18"/>
              </w:rPr>
              <w:t xml:space="preserve">Barcode &amp; QR</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Perfect 100% pass rate (8/8) — scanning, generation, and validation all working.</w:t>
            </w:r>
          </w:p>
        </w:tc>
      </w:tr>
      <w:tr>
        <w:tc>
          <w:tcPr>
            <w:tcW w:type="dxa" w:w="22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left"/>
            </w:pPr>
            <w:r>
              <w:rPr>
                <w:rFonts w:ascii="Arial" w:cs="Arial" w:eastAsia="Arial" w:hAnsi="Arial"/>
                <w:b/>
                <w:bCs/>
                <w:color w:val="047857"/>
                <w:sz w:val="18"/>
                <w:szCs w:val="18"/>
              </w:rPr>
              <w:t xml:space="preserve">PDF Export</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83.3% pass rate — comprehensive PDF generation with proper formatting and calculations.</w:t>
            </w:r>
          </w:p>
        </w:tc>
      </w:tr>
      <w:tr>
        <w:tc>
          <w:tcPr>
            <w:tcW w:type="dxa" w:w="22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left"/>
            </w:pPr>
            <w:r>
              <w:rPr>
                <w:rFonts w:ascii="Arial" w:cs="Arial" w:eastAsia="Arial" w:hAnsi="Arial"/>
                <w:b/>
                <w:bCs/>
                <w:color w:val="047857"/>
                <w:sz w:val="18"/>
                <w:szCs w:val="18"/>
              </w:rPr>
              <w:t xml:space="preserve">Form Validation</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Zod schema validation on the backend catches most invalid inputs effectively.</w:t>
            </w:r>
          </w:p>
        </w:tc>
      </w:tr>
      <w:tr>
        <w:tc>
          <w:tcPr>
            <w:tcW w:type="dxa" w:w="22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left"/>
            </w:pPr>
            <w:r>
              <w:rPr>
                <w:rFonts w:ascii="Arial" w:cs="Arial" w:eastAsia="Arial" w:hAnsi="Arial"/>
                <w:b/>
                <w:bCs/>
                <w:color w:val="047857"/>
                <w:sz w:val="18"/>
                <w:szCs w:val="18"/>
              </w:rPr>
              <w:t xml:space="preserve">Glass UI Design</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The glassmorphism design system is well-implemented with consistent visual language (77.4% UI pass rate).</w:t>
            </w:r>
          </w:p>
        </w:tc>
      </w:tr>
      <w:tr>
        <w:tc>
          <w:tcPr>
            <w:tcW w:type="dxa" w:w="22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left"/>
            </w:pPr>
            <w:r>
              <w:rPr>
                <w:rFonts w:ascii="Arial" w:cs="Arial" w:eastAsia="Arial" w:hAnsi="Arial"/>
                <w:b/>
                <w:bCs/>
                <w:color w:val="047857"/>
                <w:sz w:val="18"/>
                <w:szCs w:val="18"/>
              </w:rPr>
              <w:t xml:space="preserve">React Query</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Server state management pattern is solid with proper cache invalidation and hooks.</w:t>
            </w:r>
          </w:p>
        </w:tc>
      </w:tr>
      <w:tr>
        <w:tc>
          <w:tcPr>
            <w:tcW w:type="dxa" w:w="2200"/>
            <w:tcBorders>
              <w:top w:val="single" w:color="E5E7EB" w:sz="1"/>
              <w:left w:val="single" w:color="E5E7EB" w:sz="1"/>
              <w:bottom w:val="single" w:color="E5E7EB" w:sz="1"/>
              <w:right w:val="single" w:color="E5E7EB" w:sz="1"/>
            </w:tcBorders>
            <w:shd w:fill="D1FAE5" w:val="clear"/>
            <w:tcMar>
              <w:top w:type="dxa" w:w="60"/>
              <w:left w:type="dxa" w:w="100"/>
              <w:bottom w:type="dxa" w:w="60"/>
              <w:right w:type="dxa" w:w="100"/>
            </w:tcMar>
          </w:tcPr>
          <w:p>
            <w:pPr>
              <w:bidi w:val="false"/>
              <w:jc w:val="left"/>
            </w:pPr>
            <w:r>
              <w:rPr>
                <w:rFonts w:ascii="Arial" w:cs="Arial" w:eastAsia="Arial" w:hAnsi="Arial"/>
                <w:b/>
                <w:bCs/>
                <w:color w:val="047857"/>
                <w:sz w:val="18"/>
                <w:szCs w:val="18"/>
              </w:rPr>
              <w:t xml:space="preserve">Value-Based Approvals</w:t>
            </w:r>
          </w:p>
        </w:tc>
        <w:tc>
          <w:tcPr>
            <w:tcW w:type="dxa" w:w="73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9"/>
                <w:szCs w:val="19"/>
              </w:rPr>
              <w:t xml:space="preserve">5-tier approval routing based on SAR value thresholds is correctly implemented on the backend.</w:t>
            </w:r>
          </w:p>
        </w:tc>
      </w:tr>
    </w:tbl>
    <w:p>
      <w:r>
        <w:br w:type="page"/>
      </w:r>
    </w:p>
    <w:p>
      <w:pPr>
        <w:pStyle w:val="Heading1"/>
        <w:spacing w:before="240" w:after="200"/>
      </w:pPr>
      <w:r>
        <w:rPr>
          <w:rFonts w:ascii="Arial" w:cs="Arial" w:eastAsia="Arial" w:hAnsi="Arial"/>
          <w:b/>
          <w:bCs/>
          <w:color w:val="2E3192"/>
          <w:sz w:val="32"/>
          <w:szCs w:val="32"/>
        </w:rPr>
        <w:t xml:space="preserve">7. Conclusion &amp; Next Steps</w:t>
      </w:r>
    </w:p>
    <w:p>
      <w:pPr>
        <w:spacing w:after="200"/>
      </w:pPr>
      <w:r>
        <w:rPr>
          <w:rFonts w:ascii="Arial" w:cs="Arial" w:eastAsia="Arial" w:hAnsi="Arial"/>
          <w:sz w:val="20"/>
          <w:szCs w:val="20"/>
        </w:rPr>
        <w:t xml:space="preserve">The NIT-SCS V2 system is </w:t>
      </w:r>
      <w:r>
        <w:rPr>
          <w:rFonts w:ascii="Arial" w:cs="Arial" w:eastAsia="Arial" w:hAnsi="Arial"/>
          <w:b/>
          <w:bCs/>
          <w:color w:val="B91C1C"/>
          <w:sz w:val="20"/>
          <w:szCs w:val="20"/>
        </w:rPr>
        <w:t xml:space="preserve">not ready for production deployment</w:t>
      </w:r>
      <w:r>
        <w:rPr>
          <w:rFonts w:ascii="Arial" w:cs="Arial" w:eastAsia="Arial" w:hAnsi="Arial"/>
          <w:sz w:val="20"/>
          <w:szCs w:val="20"/>
        </w:rPr>
        <w:t xml:space="preserve"> in its current state, with a 46.8% failure rate and critical security, data integrity, and integration gaps. However, the architectural foundation is sound. The dominant failure pattern (backend-frontend integration) accounts for ~40% of failures and is a wiring issue, not an architectural one.</w:t>
      </w:r>
    </w:p>
    <w:p>
      <w:pPr>
        <w:spacing w:after="200"/>
      </w:pPr>
      <w:r>
        <w:rPr>
          <w:rFonts w:ascii="Arial" w:cs="Arial" w:eastAsia="Arial" w:hAnsi="Arial"/>
          <w:b/>
          <w:bCs/>
          <w:sz w:val="20"/>
          <w:szCs w:val="20"/>
        </w:rPr>
        <w:t xml:space="preserve">Estimated effort to reach production readiness: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6"/>
      </w:tblGrid>
      <w:tr>
        <w:tc>
          <w:tcPr>
            <w:tcW w:type="dxa" w:w="32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c>
          <w:tcPr>
            <w:tcW w:type="dxa" w:w="3200"/>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Duration</w:t>
            </w:r>
          </w:p>
        </w:tc>
        <w:tc>
          <w:tcPr>
            <w:tcW w:type="dxa" w:w="3106"/>
            <w:tcBorders>
              <w:top w:val="single" w:color="E5E7EB" w:sz="1"/>
              <w:left w:val="single" w:color="E5E7EB" w:sz="1"/>
              <w:bottom w:val="single" w:color="E5E7EB" w:sz="1"/>
              <w:right w:val="single" w:color="E5E7EB"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Resources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Tier 1 (Critical fixes)</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1-2 weeks</w:t>
            </w:r>
          </w:p>
        </w:tc>
        <w:tc>
          <w:tcPr>
            <w:tcW w:type="dxa" w:w="31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2-3 senior developers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Tier 2 (Pre-production)</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1-2 weeks</w:t>
            </w:r>
          </w:p>
        </w:tc>
        <w:tc>
          <w:tcPr>
            <w:tcW w:type="dxa" w:w="31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2 developers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Tier 3 (i18n + UX)</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2-4 weeks</w:t>
            </w:r>
          </w:p>
        </w:tc>
        <w:tc>
          <w:tcPr>
            <w:tcW w:type="dxa" w:w="31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1-2 developers + Arabic translator</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Tier 4 (Backlog)</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Ongoing</w:t>
            </w:r>
          </w:p>
        </w:tc>
        <w:tc>
          <w:tcPr>
            <w:tcW w:type="dxa" w:w="31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1 developer</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bCs/>
                <w:color w:val="000000"/>
                <w:sz w:val="18"/>
                <w:szCs w:val="18"/>
              </w:rPr>
              <w:t xml:space="preserve">QA Re-test</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center"/>
            </w:pPr>
            <w:r>
              <w:rPr>
                <w:rFonts w:ascii="Arial" w:cs="Arial" w:eastAsia="Arial" w:hAnsi="Arial"/>
                <w:b w:val="false"/>
                <w:bCs w:val="false"/>
                <w:color w:val="000000"/>
                <w:sz w:val="18"/>
                <w:szCs w:val="18"/>
              </w:rPr>
              <w:t xml:space="preserve">1 week</w:t>
            </w:r>
          </w:p>
        </w:tc>
        <w:tc>
          <w:tcPr>
            <w:tcW w:type="dxa" w:w="3106"/>
            <w:tcBorders>
              <w:top w:val="single" w:color="E5E7EB" w:sz="1"/>
              <w:left w:val="single" w:color="E5E7EB" w:sz="1"/>
              <w:bottom w:val="single" w:color="E5E7EB" w:sz="1"/>
              <w:right w:val="single" w:color="E5E7EB" w:sz="1"/>
            </w:tcBorders>
            <w:tcMar>
              <w:top w:type="dxa" w:w="60"/>
              <w:left w:type="dxa" w:w="100"/>
              <w:bottom w:type="dxa" w:w="60"/>
              <w:right w:type="dxa" w:w="100"/>
            </w:tcMar>
          </w:tcPr>
          <w:p>
            <w:pPr>
              <w:bidi w:val="false"/>
              <w:jc w:val="left"/>
            </w:pPr>
            <w:r>
              <w:rPr>
                <w:rFonts w:ascii="Arial" w:cs="Arial" w:eastAsia="Arial" w:hAnsi="Arial"/>
                <w:b w:val="false"/>
                <w:bCs w:val="false"/>
                <w:color w:val="000000"/>
                <w:sz w:val="18"/>
                <w:szCs w:val="18"/>
              </w:rPr>
              <w:t xml:space="preserve">1 QA engineer</w:t>
            </w:r>
          </w:p>
        </w:tc>
      </w:tr>
    </w:tbl>
    <w:p>
      <w:pPr>
        <w:spacing w:before="300" w:after="200"/>
      </w:pPr>
    </w:p>
    <w:p>
      <w:pPr>
        <w:spacing w:after="150"/>
      </w:pPr>
      <w:r>
        <w:rPr>
          <w:rFonts w:ascii="Arial" w:cs="Arial" w:eastAsia="Arial" w:hAnsi="Arial"/>
          <w:sz w:val="20"/>
          <w:szCs w:val="20"/>
        </w:rPr>
        <w:t xml:space="preserve">With focused effort on Tier 1 and Tier 2 items (approximately 4 weeks), the system can reach a minimum viable production state. The i18n/Arabic support (Tier 3) should follow immediately after to serve the Saudi Arabian user base effectively.</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Prepared by Idaratech  |  </w:t>
    </w:r>
    <w:r>
      <w:rPr>
        <w:rFonts w:ascii="Arial" w:cs="Arial" w:eastAsia="Arial" w:hAnsi="Arial"/>
        <w:color w:val="6B7280"/>
        <w:sz w:val="16"/>
        <w:szCs w:val="16"/>
      </w:rPr>
      <w:t xml:space="preserve">Feb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NIT-SCS V2 QA Analysis Report</w:t>
    </w:r>
    <w:r>
      <w:rPr>
        <w:color w:val="E5E7EB"/>
        <w:sz w:val="16"/>
        <w:szCs w:val="16"/>
      </w:rPr>
      <w:t xml:space="preserve">  |  </w:t>
    </w:r>
    <w:r>
      <w:rPr>
        <w:rFonts w:ascii="Arial" w:cs="Arial" w:eastAsia="Arial" w:hAnsi="Arial"/>
        <w:b/>
        <w:bCs/>
        <w:color w:val="EF4444"/>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3192"/>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2026-02-12T12:04:34.447Z</dcterms:created>
  <dcterms:modified xsi:type="dcterms:W3CDTF">2026-02-12T12:04:34.447Z</dcterms:modified>
</cp:coreProperties>
</file>

<file path=docProps/custom.xml><?xml version="1.0" encoding="utf-8"?>
<Properties xmlns="http://schemas.openxmlformats.org/officeDocument/2006/custom-properties" xmlns:vt="http://schemas.openxmlformats.org/officeDocument/2006/docPropsVTypes"/>
</file>