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/>
          <w:color w:val="23272C"/>
        </w:rPr>
        <w:t>台割 案③ v3　情報網羅チェック表</w:t>
      </w:r>
    </w:p>
    <w:p>
      <w:pPr>
        <w:spacing w:after="40"/>
      </w:pPr>
      <w:r>
        <w:t>PwC様ストーリーライン（9/8資料）の掲載項目、参考資料説明の要点、10/5議事録・10/6修正指示の要望を、案③ v3のページに照合しました。〇＝掲載、△＝一部掲載・要確認、—＝意図的に不掲載。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3175"/>
          </w:tcPr>
          <w:p>
            <w:r>
              <w:rPr>
                <w:b/>
                <w:sz w:val="14"/>
              </w:rPr>
              <w:t>章・掲載項目（出典）</w:t>
            </w:r>
          </w:p>
        </w:tc>
        <w:tc>
          <w:tcPr>
            <w:tcW w:type="dxa" w:w="4422"/>
          </w:tcPr>
          <w:p>
            <w:r>
              <w:rPr>
                <w:b/>
                <w:sz w:val="14"/>
              </w:rPr>
              <w:t>掲載内容</w:t>
            </w:r>
          </w:p>
        </w:tc>
        <w:tc>
          <w:tcPr>
            <w:tcW w:type="dxa" w:w="1247"/>
          </w:tcPr>
          <w:p>
            <w:r>
              <w:rPr>
                <w:b/>
                <w:sz w:val="14"/>
              </w:rPr>
              <w:t>ページ</w:t>
            </w:r>
          </w:p>
        </w:tc>
        <w:tc>
          <w:tcPr>
            <w:tcW w:type="dxa" w:w="1474"/>
          </w:tcPr>
          <w:p>
            <w:r>
              <w:rPr>
                <w:b/>
                <w:sz w:val="14"/>
              </w:rPr>
              <w:t>状況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導入｜コアメッセージ（PwC）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英文見出し＋和文全文（A-1ブラッシュアップ）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P.03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導入｜目次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6項目・ページ番号付き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P.03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第4章｜外部環境と社会課題（PwC）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需要拡大・供給制約・地政学の3点＋概念図（短期潮流は前面化しない）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P.02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〇（動画に合わせ冒頭へ）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第1章｜三菱商事とは：三綱領・3つの価値・総合商社（PwC）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本文＋三綱領3項目（和・英・意味）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P.04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第1章｜他グループの全体像（PwC）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7グループ名を本文で1行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P.04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〇（議事録「三菱グループとの違い」は不要のため不掲載）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第1章｜金属資源Gの位置付け・役割（PwC）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役割と「原料炭・銅は全社としてコミット」を本文で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P.04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△ 収益％（約20%）は議事録の懸念により数値なし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第1章｜グループミッション（参考資料）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和英で引用として大きく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P.04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第1章｜組織図・主要関係会社（PwC・個人名なし）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3本部＋MDP・MCI・MCIP・RtM・Triland Metals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P.04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第1章｜事業と機能の変遷（PwC・先見性の意向）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5時代の歩み（BMA組成・銅拡大・RtM集約）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P.04–05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第1章｜バリューチェーン全体像（PwC）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鉄鋼・非鉄×川上〜川下、投資／トレーディングの両輪、メタルワンは別グループと注記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P.10–11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〇（動画順のため後半へ）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第2章｜わが社資産の強み（PwC）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一級資産の地図＋数字（Top15・約50%・世界20位）＋市場構造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P.05・P.06–07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第2章｜原料炭事業（PwC★）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BMA 50:50、①〜④の文脈、出資構成、基本データ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P.06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第2章｜銅事業（PwC★）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ノンオペレーター世界最大、“声がかかる存在”、参画年、生産量ランキング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P.07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第2章｜トレーディング事業（PwC★15×50×1,000）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販売網地図・数字、ビジネスモデル4点、5つの機能、好循環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P.09・P.10–11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第2章｜トレーディング事例（銅）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銅の流れの中でRtMが2度介在（非鉄の行）、品位の変化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P.08・P.10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第2章｜事業・プロジェクト一覧（PwC★鉄鉱石を先頭）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地図＋商品別の案件一覧（鉄鉱石が先頭）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P.08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議事録｜拠点・駐在の表示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地図に紺のドット（名称なし）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P.08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〇（対象地域はMC様確認）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第2章｜CVC・新技術（PwC☆／議事録：銅だけにしない）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新技術の枠で、CiDRA・Jetti・Triland・DESCycle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P.08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△ 原料炭の事例はMC様確認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第3章｜Partner of Choice（PwC）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本文・4つの強み・JV実績（ロゴなし）・評価される理由3点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P.09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第4章｜ビジョン共感×協業への誘い（PwC）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約束（ミッション）と安定供給／効率的な供給、協業への呼びかけ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P.11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連絡先（議事録：保留）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住所・Web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P.11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10/6修正｜肥料資源の追加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事業一覧に掲載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P.08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10/6修正｜販売網（RtM 5社＋拠点）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RtM International・Japan・Bharat・Europe・Americas、10拠点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P.08–09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〇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4"/>
              </w:rPr>
              <w:t>議事録｜ハブ図（多数から買い多数に売る）</w:t>
            </w:r>
          </w:p>
        </w:tc>
        <w:tc>
          <w:tcPr>
            <w:tcW w:type="dxa" w:w="4422"/>
          </w:tcPr>
          <w:p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b w:val="0"/>
                <w:sz w:val="14"/>
              </w:rPr>
              <w:t>—（削除の指示どおり）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3272C"/>
        </w:rPr>
        <w:t>今回のデザイン変更点</w:t>
      </w:r>
    </w:p>
    <w:p>
      <w:pPr>
        <w:pStyle w:val="ListBullet"/>
      </w:pPr>
      <w:r>
        <w:t>表紙案①のヘアラインを、色付き（ブロンズ→ネイビーのグラデーション）で部分的に使用：P.02 写真から立ち上がる線、P.04–05 世界地図と歩みの帯、P.06–07 写真の下端、P.08 事業地図、P.09 販売網の地図、P.10 バリューチェーンの上端、P.11 締めのパネル</w:t>
      </w:r>
    </w:p>
    <w:p>
      <w:pPr>
        <w:pStyle w:val="ListBullet"/>
      </w:pPr>
      <w:r>
        <w:t>箱・枠を極力なくし、罫線と余白、文字サイズの差で情報を整理（パワポ的な“箱の並び”からの脱却）</w:t>
      </w:r>
    </w:p>
    <w:p>
      <w:pPr>
        <w:pStyle w:val="ListBullet"/>
      </w:pPr>
      <w:r>
        <w:t>大きな章番号、2段組の本文、引用（ミッション）、写真の裁ち落としで、ページごとにリズムを変える</w:t>
      </w:r>
    </w:p>
    <w:p>
      <w:pPr>
        <w:pStyle w:val="ListBullet"/>
      </w:pPr>
      <w:r>
        <w:t>色の役割を全ページで固定：ブロンズ＝投資・資産、ネイビー＝トレーディング・拠点、朱＝見出しのアクセント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