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666666"/>
          <w:sz w:val="18"/>
        </w:rPr>
        <w:t>金属資源グループ 会社案内（英語版）</w:t>
      </w:r>
    </w:p>
    <w:p>
      <w:r>
        <w:rPr>
          <w:b/>
          <w:sz w:val="34"/>
        </w:rPr>
        <w:t>台割（構成案）ご説明　トークスクリプト</w:t>
      </w:r>
    </w:p>
    <w:p>
      <w:r>
        <w:rPr>
          <w:color w:val="555555"/>
          <w:sz w:val="18"/>
        </w:rPr>
        <w:t>話し手：デザイナー／所要時間の目安：約12〜15分（全体説明 約3分＋各パート 約2分×5）</w:t>
        <w:br/>
        <w:t>「　」内は読み上げ用、灰色の（　）は動作・資料の指し示し、色付きの欄は各ページを入れた理由の要点です。</w:t>
      </w:r>
    </w:p>
    <w:p>
      <w:pPr>
        <w:pStyle w:val="Heading1"/>
      </w:pPr>
      <w:r>
        <w:t>0. はじめに</w:t>
      </w:r>
    </w:p>
    <w:p>
      <w:r>
        <w:rPr>
          <w:color w:val="777777"/>
          <w:sz w:val="18"/>
        </w:rPr>
        <w:t>（一礼のあと、全体一覧のページを表示）</w:t>
      </w:r>
    </w:p>
    <w:p>
      <w:pPr>
        <w:ind w:left="170"/>
      </w:pPr>
      <w:r>
        <w:t>「本日はお時間をいただき、ありがとうございます。デザインを担当しております〇〇です。本日は、会社案内の「台割」、つまり中身の構成案をご説明いたします。」</w:t>
      </w:r>
    </w:p>
    <w:p>
      <w:pPr>
        <w:ind w:left="170"/>
      </w:pPr>
      <w:r>
        <w:t>「最初にお伝えしたいのは、本日の資料は「どんな見た目にするか」ではなく、「何を、どの順番で、どれくらいの重さで伝えるか」をご確認いただくためのものだという点です。あえて色や装飾を抑え、表紙のデザイン案にも寄せない形にしています。中身が固まったところで、お選びいただいた表紙のトーンで全体をデザインしてまいります。」</w:t>
      </w:r>
    </w:p>
    <w:p>
      <w:pPr>
        <w:pStyle w:val="Heading1"/>
      </w:pPr>
      <w:r>
        <w:t>1. 資料全体の考え方</w:t>
      </w:r>
    </w:p>
    <w:p>
      <w:pPr>
        <w:ind w:left="170"/>
      </w:pPr>
      <w:r>
        <w:t>「この冊子は、海外の商談の場でお渡しする英語版の会社案内です。読み手は、各国の政府機関、既存・新規のパートナー、資源メジャー、ジュニア鉱山、販売先と幅広く、多くの方が三菱商事、そして金属資源グループについて、詳しくはご存じない前提で設計しています。」</w:t>
      </w:r>
    </w:p>
    <w:p>
      <w:pPr>
        <w:ind w:left="170"/>
      </w:pPr>
      <w:r>
        <w:t>「そこで、表紙を含めて全12ページを、読み手の気持ちが「興味」→「理解」→「納得」→「安心」→「期待」と一段ずつ高まっていく流れで組み立てました。導入で興味を持っていただき、第1章で「何者か」を理解していただき、第2章で独自の価値に納得していただき、第3章で長く付き合える相手だと安心していただき、最後の第4章で、共に未来を築きたいという期待につなげる構成です。」</w:t>
      </w:r>
    </w:p>
    <w:p>
      <w:pPr>
        <w:ind w:left="170"/>
      </w:pPr>
      <w:r>
        <w:t>「各ページの右上に「読み手の心理」を小さく記載していますので、ページをめくりながら、この流れに沿っているかをご確認いただければと思います。」</w:t>
      </w:r>
    </w:p>
    <w:p>
      <w:pPr>
        <w:ind w:left="170"/>
      </w:pPr>
      <w:r>
        <w:t>「もう一つ、冊子全体を貫く軸として「投資と販売の両輪」を置いています。これは金属資源グループならではの強みですので、第1章で全体像として示し、第2章で一つひとつの事業として具体的に示し、第3章・第4章でその強みが信頼と社会への貢献につながる、という形で繰り返し登場させています。」</w:t>
      </w:r>
    </w:p>
    <w:p>
      <w:r>
        <w:rPr>
          <w:color w:val="777777"/>
          <w:sz w:val="18"/>
        </w:rPr>
        <w:t>（表記ルールの補足）</w:t>
      </w:r>
    </w:p>
    <w:p>
      <w:pPr>
        <w:ind w:left="170"/>
      </w:pPr>
      <w:r>
        <w:t>「なお、見出しとサブタイトルは、社内でご確認いただきやすいよう日本語で記載しています。本文は「X」で文字数だけを示しており、英語に翻訳した際の語数の目安も併記しています。図は、いただいた資料の要点を抜き出して描き直したもので、各図の下に出典を記載しています。」</w:t>
      </w:r>
    </w:p>
    <w:p>
      <w:pPr>
        <w:pStyle w:val="Heading1"/>
      </w:pPr>
      <w:r>
        <w:t>2. 各パートのご説明</w:t>
      </w:r>
    </w:p>
    <w:p>
      <w:pPr>
        <w:pStyle w:val="Heading2"/>
      </w:pPr>
      <w:r>
        <w:t>導入｜コアメッセージと目次（P.02–03）　心理：興味</w:t>
      </w:r>
    </w:p>
    <w:p>
      <w:r>
        <w:rPr>
          <w:color w:val="777777"/>
          <w:sz w:val="18"/>
        </w:rPr>
        <w:t>（P.02–03を表示）</w:t>
      </w:r>
    </w:p>
    <w:p>
      <w:pPr>
        <w:ind w:left="170"/>
      </w:pPr>
      <w:r>
        <w:t>「冊子を開いて最初の見開きです。ここでは、コアメッセージ「Strength to Hold. Power to Connect.」を大きく置き、見開き全体のビジュアルと合わせて、まず印象に残していただくページにしています。」</w:t>
      </w:r>
    </w:p>
    <w:p>
      <w:pPr>
        <w:ind w:left="170"/>
      </w:pPr>
      <w:r>
        <w:t>「海外の読み手が最初に目にする言葉ですので、英文をそのまま主役にしています。右ページには目次を置き、冊子がどのような流れで構成されているかを一目でつかんでいただけるようにしました。」</w:t>
      </w:r>
    </w:p>
    <w:p>
      <w:pPr>
        <w:shd w:val="clear" w:color="auto" w:fill="EEF2F2"/>
        <w:ind w:left="170"/>
      </w:pPr>
      <w:r>
        <w:rPr>
          <w:b/>
          <w:color w:val="1F3A40"/>
          <w:sz w:val="19"/>
        </w:rPr>
        <w:t xml:space="preserve">入れた理由　</w:t>
      </w:r>
      <w:r>
        <w:rPr>
          <w:sz w:val="19"/>
        </w:rPr>
        <w:t>最初の見開きで「何の冊子か」「この会社の軸は何か」を伝えるため。ページ数が限られる中、メッセージ・ビジュアル・目次を1見開きにまとめ、中身のページを確保しています。ビジュアルは表紙案の決定後に、その表現で展開します。</w:t>
      </w:r>
    </w:p>
    <w:p>
      <w:pPr>
        <w:pStyle w:val="Heading2"/>
      </w:pPr>
      <w:r>
        <w:t>第1章 WHO｜我々は何者か（P.04–05）　心理：理解</w:t>
      </w:r>
    </w:p>
    <w:p>
      <w:r>
        <w:rPr>
          <w:color w:val="777777"/>
          <w:sz w:val="18"/>
        </w:rPr>
        <w:t>（P.04を表示）</w:t>
      </w:r>
    </w:p>
    <w:p>
      <w:pPr>
        <w:ind w:left="170"/>
      </w:pPr>
      <w:r>
        <w:t>「第1章は「我々は何者か」です。三菱商事を詳しく知らない方を想定し、まず母体である三菱商事から入ります。三綱領と、経済・環境・社会の3つの価値を同時に実現する総合商社であること、そして全社が7つのグループで構成されていることを示しています。」</w:t>
      </w:r>
    </w:p>
    <w:p>
      <w:pPr>
        <w:ind w:left="170"/>
      </w:pPr>
      <w:r>
        <w:t>「その中で、金属資源グループがどのような位置にあるかを、ポートフォリオの構成比という事実で示しました。続けて、グループミッションと組織図を置き、「どのような役割を、どのような体制で担っているか」を一つのまとまりで理解していただけるようにしています。」</w:t>
      </w:r>
    </w:p>
    <w:p>
      <w:pPr>
        <w:shd w:val="clear" w:color="auto" w:fill="EEF2F2"/>
        <w:ind w:left="170"/>
      </w:pPr>
      <w:r>
        <w:rPr>
          <w:b/>
          <w:color w:val="1F3A40"/>
          <w:sz w:val="19"/>
        </w:rPr>
        <w:t xml:space="preserve">入れた理由　</w:t>
      </w:r>
      <w:r>
        <w:rPr>
          <w:sz w:val="19"/>
        </w:rPr>
        <w:t>海外の読み手には三菱商事の予備知識がないことが多いため、母体から順に説明。位置付けは誇示せず、数値という事実で示しています。組織図は個人名を載せず、「投資2本部・トレーディング1本部」という役割の構造が伝わることを優先しました。</w:t>
      </w:r>
    </w:p>
    <w:p>
      <w:r>
        <w:rPr>
          <w:color w:val="777777"/>
          <w:sz w:val="18"/>
        </w:rPr>
        <w:t>（P.05を表示）</w:t>
      </w:r>
    </w:p>
    <w:p>
      <w:pPr>
        <w:ind w:left="170"/>
      </w:pPr>
      <w:r>
        <w:t>「右ページは、金属資源グループの歩みです。資源価格の推移と主な案件、そして時代ごとに事業モデルをどう変えてきたかを、一本の年表にまとめました。」</w:t>
      </w:r>
    </w:p>
    <w:p>
      <w:pPr>
        <w:ind w:left="170"/>
      </w:pPr>
      <w:r>
        <w:t>「ここでお伝えしたいのは、優良な資産を早い段階から保有できているのは偶然ではなく、時代の変化を先読みして手を打ってきた結果である、ということです。そのため、案件を並べるだけでなく、各時代の考え方を言葉で添えています。」</w:t>
      </w:r>
    </w:p>
    <w:p>
      <w:pPr>
        <w:ind w:left="170"/>
      </w:pPr>
      <w:r>
        <w:t>「ページの下半分は、バリューチェーンの全体像です。鉱山から最終製品までの流れの中で、どこを「資源投資」が担い、どこを「トレーディング」が担っているかを帯で示し、両者が「両輪」であることが一目で分かるようにしました。この図が、次の第2章を読むための地図の役割を果たします。」</w:t>
      </w:r>
    </w:p>
    <w:p>
      <w:pPr>
        <w:shd w:val="clear" w:color="auto" w:fill="EEF2F2"/>
        <w:ind w:left="170"/>
      </w:pPr>
      <w:r>
        <w:rPr>
          <w:b/>
          <w:color w:val="1F3A40"/>
          <w:sz w:val="19"/>
        </w:rPr>
        <w:t xml:space="preserve">入れた理由　</w:t>
      </w:r>
      <w:r>
        <w:rPr>
          <w:sz w:val="19"/>
        </w:rPr>
        <w:t>年表は「先見性」を伝える、グループとして最も打ち出したい内容の一つのため、ページの半分を使っています。バリューチェーンは、第2章の各事業を読み解く前提になるため、第1章の締めくくりに置いています。事業ごとの規模の大小には触れていません。</w:t>
      </w:r>
    </w:p>
    <w:p>
      <w:pPr>
        <w:pStyle w:val="Heading2"/>
      </w:pPr>
      <w:r>
        <w:t>第2章 HOW/WHAT｜独自価値（P.06–09）　心理：納得</w:t>
      </w:r>
    </w:p>
    <w:p>
      <w:r>
        <w:rPr>
          <w:color w:val="777777"/>
          <w:sz w:val="18"/>
        </w:rPr>
        <w:t>（P.06を表示）</w:t>
      </w:r>
    </w:p>
    <w:p>
      <w:pPr>
        <w:ind w:left="170"/>
      </w:pPr>
      <w:r>
        <w:t>「第2章では、第1章のバリューチェーンに沿って、川上の投資から川下の販売へと順に、具体的な強みをご紹介します。」</w:t>
      </w:r>
    </w:p>
    <w:p>
      <w:pPr>
        <w:ind w:left="170"/>
      </w:pPr>
      <w:r>
        <w:t>「最初は「わが社資産の強み」です。原料炭と銅のそれぞれについて、市場の特徴、規模、品質という3つの視点で要点を整理しました。バリューチェーンの起点で一級の資産を持っていることを、ここで端的に示します。」</w:t>
      </w:r>
    </w:p>
    <w:p>
      <w:pPr>
        <w:ind w:left="170"/>
      </w:pPr>
      <w:r>
        <w:t>「続いて原料炭事業です。BHP社との50対50の合弁であるBMAを通じて、世界最高品位の原料炭に参画していること。そして、原料炭は鉄の主原料、いわば「産業のコメ」であり、鉄はこれからも必要とされ続ける、だからこの事業は社会に欠かせない、という流れを4つのステップで示しています。」</w:t>
      </w:r>
    </w:p>
    <w:p>
      <w:pPr>
        <w:shd w:val="clear" w:color="auto" w:fill="EEF2F2"/>
        <w:ind w:left="170"/>
      </w:pPr>
      <w:r>
        <w:rPr>
          <w:b/>
          <w:color w:val="1F3A40"/>
          <w:sz w:val="19"/>
        </w:rPr>
        <w:t xml:space="preserve">入れた理由　</w:t>
      </w:r>
      <w:r>
        <w:rPr>
          <w:sz w:val="19"/>
        </w:rPr>
        <w:t>原料炭は川上の代表例として最初に配置。事業の大きさではなく「社会にとっての必要性」を軸に語ることで、読み手の共感を得る構成にしています。他社のロゴは使わず、社名はテキストで表記しています。</w:t>
      </w:r>
    </w:p>
    <w:p>
      <w:r>
        <w:rPr>
          <w:color w:val="777777"/>
          <w:sz w:val="18"/>
        </w:rPr>
        <w:t>（P.07を表示）</w:t>
      </w:r>
    </w:p>
    <w:p>
      <w:pPr>
        <w:ind w:left="170"/>
      </w:pPr>
      <w:r>
        <w:t>「右ページは銅事業です。ここでの最も大切なメッセージは、自社で操業を行わずに、世界最大級の銅のポジションを築いている、つまり「ノンオペレーターとして世界最大の銅生産者」であるという点です。」</w:t>
      </w:r>
    </w:p>
    <w:p>
      <w:pPr>
        <w:ind w:left="170"/>
      </w:pPr>
      <w:r>
        <w:t>「その根拠として、保有する主要鉱山の一覧と、会社別の世界銅生産量のランキングを2つの図に分けて示しました。あわせて、主要メジャー各社との協業、トレーディングを通じた関係、新技術への投資という4つの強みを置き、「業界で声がかかる存在」であることが伝わるようにしています。」</w:t>
      </w:r>
    </w:p>
    <w:p>
      <w:pPr>
        <w:shd w:val="clear" w:color="auto" w:fill="EEF2F2"/>
        <w:ind w:left="170"/>
      </w:pPr>
      <w:r>
        <w:rPr>
          <w:b/>
          <w:color w:val="1F3A40"/>
          <w:sz w:val="19"/>
        </w:rPr>
        <w:t xml:space="preserve">入れた理由　</w:t>
      </w:r>
      <w:r>
        <w:rPr>
          <w:sz w:val="19"/>
        </w:rPr>
        <w:t>「操業していない」が消極的に受け取られないよう、なぜ操業せずに世界最大になれるのか、その理由（パートナーシップ・販売力・実績）をセットで示しています。</w:t>
      </w:r>
    </w:p>
    <w:p>
      <w:r>
        <w:rPr>
          <w:color w:val="777777"/>
          <w:sz w:val="18"/>
        </w:rPr>
        <w:t>（P.08を表示）</w:t>
      </w:r>
    </w:p>
    <w:p>
      <w:pPr>
        <w:ind w:left="170"/>
      </w:pPr>
      <w:r>
        <w:t>「P.08はトレーディング事業です。まず、15業界×50カ国×約1,000社という販売網と、シンガポールのRtMを中心に、世界から調達し世界へ届ける関係を図で示しています。」</w:t>
      </w:r>
    </w:p>
    <w:p>
      <w:pPr>
        <w:ind w:left="170"/>
      </w:pPr>
      <w:r>
        <w:t>「ページの中心は「RtM事業のビジネスモデル」です。三菱商事の資産や第三者からの調達をRtMが担い、顧客へ届ける。そして顧客との接点から得た市場の生きた情報を、また投資の判断に還元する。この好循環こそが、投資と販売の両輪の具体的な姿です。左右には、お客様にとっての価値であるSustainability、Professionalism、Market Intelligence、Global Networkの4点を置きました。」</w:t>
      </w:r>
    </w:p>
    <w:p>
      <w:pPr>
        <w:ind w:left="170"/>
      </w:pPr>
      <w:r>
        <w:t>「下段は「RtMの多様な機能」です。リスクマネジメント、ロジスティクス、ファイナンス、マーケティングと調達、カーボンリダクションの5つの機能を並べ、本文では銅を例に、一つの商品の中でこれらの機能がどう働くかをご紹介する想定です。」</w:t>
      </w:r>
    </w:p>
    <w:p>
      <w:pPr>
        <w:shd w:val="clear" w:color="auto" w:fill="EEF2F2"/>
        <w:ind w:left="170"/>
      </w:pPr>
      <w:r>
        <w:rPr>
          <w:b/>
          <w:color w:val="1F3A40"/>
          <w:sz w:val="19"/>
        </w:rPr>
        <w:t xml:space="preserve">入れた理由　</w:t>
      </w:r>
      <w:r>
        <w:rPr>
          <w:sz w:val="19"/>
        </w:rPr>
        <w:t>販売先の方に「投資目的の会社」と誤解されないよう、顧客にとっての価値と機能を主役にしています。銅を代表例にすることで、事業ごとの説明を保ちながら、投資から販売までの一気通貫を具体的にイメージしていただけます。</w:t>
      </w:r>
    </w:p>
    <w:p>
      <w:r>
        <w:rPr>
          <w:color w:val="777777"/>
          <w:sz w:val="18"/>
        </w:rPr>
        <w:t>（P.09を表示）</w:t>
      </w:r>
    </w:p>
    <w:p>
      <w:pPr>
        <w:ind w:left="170"/>
      </w:pPr>
      <w:r>
        <w:t>「P.09は事業・プロジェクトの一覧です。世界地図の上に、主要なプロジェクトと拠点を商品ごとに示し、事業の広がりを一目でご覧いただけるようにしました。地図の下には、鉄鉱石を先頭に、電池資源、肥料、アルミ、二次資源と、事業領域を並べています。」</w:t>
      </w:r>
    </w:p>
    <w:p>
      <w:pPr>
        <w:ind w:left="170"/>
      </w:pPr>
      <w:r>
        <w:t>「下段は、新技術への投資です。銅の流れ、つまり採掘から最終用途までを横軸に、資源投資・トレーディング・新技術投資の3つの関わり方を縦に並べ、どの段階にどのような投資をしているかが分かるようにしました。山を持つだけではなく、川上から川下まで網を張っている、という三菱商事ならではの特徴を表す図です。」</w:t>
      </w:r>
    </w:p>
    <w:p>
      <w:pPr>
        <w:shd w:val="clear" w:color="auto" w:fill="EEF2F2"/>
        <w:ind w:left="170"/>
      </w:pPr>
      <w:r>
        <w:rPr>
          <w:b/>
          <w:color w:val="1F3A40"/>
          <w:sz w:val="19"/>
        </w:rPr>
        <w:t xml:space="preserve">入れた理由　</w:t>
      </w:r>
      <w:r>
        <w:rPr>
          <w:sz w:val="19"/>
        </w:rPr>
        <w:t>鉄鉱石は主力の一つですが、原料炭・銅と同格には扱わず一覧の先頭に配置。新技術への投資は、既存事業の高度化と将来の価値につながる点を伝えるため、第3章・第4章への橋渡しとして第2章の最後に置いています。</w:t>
      </w:r>
    </w:p>
    <w:p>
      <w:pPr>
        <w:pStyle w:val="Heading2"/>
      </w:pPr>
      <w:r>
        <w:t>第3章 PROOF／第4章 VISION（P.10–11）　心理：安心 → 期待</w:t>
      </w:r>
    </w:p>
    <w:p>
      <w:r>
        <w:rPr>
          <w:color w:val="777777"/>
          <w:sz w:val="18"/>
        </w:rPr>
        <w:t>（P.10を表示）</w:t>
      </w:r>
    </w:p>
    <w:p>
      <w:pPr>
        <w:ind w:left="170"/>
      </w:pPr>
      <w:r>
        <w:t>「第3章は「選ばれ続ける理由」です。キーワードは「Partner of Choice」。資源業界で良い案件があったときに、「三菱に声をかけてみよう」と思っていただける存在であることを示すページです。」</w:t>
      </w:r>
    </w:p>
    <w:p>
      <w:pPr>
        <w:ind w:left="170"/>
      </w:pPr>
      <w:r>
        <w:t>「その理由を、資源メジャーとの企業文化の近さ、長年の投資経験に裏打ちされたJV経営力、事業ポートフォリオを活かした健全な財務基盤、マクロ環境とバリューチェーンへの深い知見、という4つの機能で整理しました。さらに、業界最大手とのJVの実績と、単なる出資者にとどまらず、人材の派遣やガバナンスへの参画を通じて事業価値を高めていることを示しています。」</w:t>
      </w:r>
    </w:p>
    <w:p>
      <w:pPr>
        <w:shd w:val="clear" w:color="auto" w:fill="EEF2F2"/>
        <w:ind w:left="170"/>
      </w:pPr>
      <w:r>
        <w:rPr>
          <w:b/>
          <w:color w:val="1F3A40"/>
          <w:sz w:val="19"/>
        </w:rPr>
        <w:t xml:space="preserve">入れた理由　</w:t>
      </w:r>
      <w:r>
        <w:rPr>
          <w:sz w:val="19"/>
        </w:rPr>
        <w:t>資金の提供だけを強調すると「お金を出すだけの相手」と受け取られかねないため、経営への関与と総合力をあわせて示し、短期的な投資家との違いを明確にしています。第3章を1ページで独立させ、「安心」をしっかり伝える構成にしました。</w:t>
      </w:r>
    </w:p>
    <w:p>
      <w:r>
        <w:rPr>
          <w:color w:val="777777"/>
          <w:sz w:val="18"/>
        </w:rPr>
        <w:t>（P.11を表示）</w:t>
      </w:r>
    </w:p>
    <w:p>
      <w:pPr>
        <w:ind w:left="170"/>
      </w:pPr>
      <w:r>
        <w:t>「最後の第4章は「何を実現するか」です。人口の増加や電化による需要の拡大、供給の制約、地政学リスクといった、クリティカルミネラルを取り巻く外部環境を示し、それに対して「安定供給」と「効率的な供給」の両面で応えていく姿勢をお示ししています。」</w:t>
      </w:r>
    </w:p>
    <w:p>
      <w:pPr>
        <w:ind w:left="170"/>
      </w:pPr>
      <w:r>
        <w:t>「そして冊子の締めくくりとして、目指す未来像への共感から、「この相手と共に未来を築きたい」と感じていただく締めのページを置きました。言葉は冒頭のコアメッセージとグループミッションに帰結させ、冊子の最初と最後が呼応する形にしています。お問い合わせ先も、営業色を抑えた形で添えています。」</w:t>
      </w:r>
    </w:p>
    <w:p>
      <w:pPr>
        <w:shd w:val="clear" w:color="auto" w:fill="EEF2F2"/>
        <w:ind w:left="170"/>
      </w:pPr>
      <w:r>
        <w:rPr>
          <w:b/>
          <w:color w:val="1F3A40"/>
          <w:sz w:val="19"/>
        </w:rPr>
        <w:t xml:space="preserve">入れた理由　</w:t>
      </w:r>
      <w:r>
        <w:rPr>
          <w:sz w:val="19"/>
        </w:rPr>
        <w:t>社会課題は短期的な流行ではなく、「金属は経済活動を支える礎」という長い視点で語ります。営業的な締めではなく、関係を築くための締めにすることで、これまでの理解・納得・安心を「期待」へとつなげます。</w:t>
      </w:r>
    </w:p>
    <w:p>
      <w:pPr>
        <w:pStyle w:val="Heading1"/>
      </w:pPr>
      <w:r>
        <w:t>3. まとめ</w:t>
      </w:r>
    </w:p>
    <w:p>
      <w:r>
        <w:rPr>
          <w:color w:val="777777"/>
          <w:sz w:val="18"/>
        </w:rPr>
        <w:t>（全体一覧に戻る）</w:t>
      </w:r>
    </w:p>
    <w:p>
      <w:pPr>
        <w:ind w:left="170"/>
      </w:pPr>
      <w:r>
        <w:t>「以上が台割のご説明です。まとめますと、この冊子は、読み手の気持ちを「興味」から「期待」へと一段ずつ高めていく流れの中で、金属資源グループの「投資と販売の両輪」という独自の強みを、全体像、具体的な事業、信頼、そして未来へと、繰り返し、少しずつ深めながら伝える構成になっています。」</w:t>
      </w:r>
    </w:p>
    <w:p>
      <w:pPr>
        <w:ind w:left="170"/>
      </w:pPr>
      <w:r>
        <w:t>「本日は、この「何を、どの順番で、どれくらいの重さで伝えるか」について、ご意見をいただけますと幸いです。構成が固まりましたら、お選びいただく表紙のトーンで、写真や図版も含めて全体をデザインしてまいります。ありがとうございました。」</w:t>
      </w:r>
    </w:p>
    <w:p>
      <w:pPr>
        <w:pStyle w:val="Heading1"/>
      </w:pPr>
      <w:r>
        <w:t>想定される質問と答え方（参考）</w:t>
      </w:r>
    </w:p>
    <w:p>
      <w:r>
        <w:rPr>
          <w:b/>
        </w:rPr>
        <w:t>Q. なぜデザインが簡素なのか？</w:t>
      </w:r>
    </w:p>
    <w:p>
      <w:pPr>
        <w:ind w:left="227"/>
      </w:pPr>
      <w:r>
        <w:t>「本日は中身の構成を確認いただくための資料のため、あえて見た目を抑えています。デザインに目が行くと、内容のご判断がしにくくなるためです。構成が決まり次第、表紙案のトーンで仕上げます。」</w:t>
      </w:r>
    </w:p>
    <w:p>
      <w:r>
        <w:rPr>
          <w:b/>
        </w:rPr>
        <w:t>Q. 図の情報が元の資料より少ないのはなぜか？</w:t>
      </w:r>
    </w:p>
    <w:p>
      <w:pPr>
        <w:ind w:left="227"/>
      </w:pPr>
      <w:r>
        <w:t>「海外の初めての読み手が、一つの図から一つのことを読み取れる量に絞りました。省いた情報も、必要であれば本文や別ページで補うことができます。各図の下に出典を記載しています。」</w:t>
      </w:r>
    </w:p>
    <w:p>
      <w:r>
        <w:rPr>
          <w:b/>
        </w:rPr>
        <w:t>Q. ページ数を増やす・減らすことはできるか？</w:t>
      </w:r>
    </w:p>
    <w:p>
      <w:pPr>
        <w:ind w:left="227"/>
      </w:pPr>
      <w:r>
        <w:t>「可能です。現在は流れを優先して11ページに収めていますが、例えば年表やPartner of Choiceを見開きに広げることもできます。優先度に応じてご提案いたします。」</w:t>
      </w:r>
    </w:p>
    <w:p>
      <w:r>
        <w:rPr>
          <w:b/>
        </w:rPr>
        <w:t>Q. 英語版になったとき文字は収まるのか？</w:t>
      </w:r>
    </w:p>
    <w:p>
      <w:pPr>
        <w:ind w:left="227"/>
      </w:pPr>
      <w:r>
        <w:t>「英語は日本語より紙面を多く使うため、本文ごとに英語の語数の目安を記載し、その分の余白を見込んで設計しています。」</w:t>
      </w:r>
    </w:p>
    <w:sectPr w:rsidR="00FC693F" w:rsidRPr="0006063C" w:rsidSect="00034616">
      <w:pgSz w:w="11906" w:h="16838"/>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36" w:lineRule="auto"/>
    </w:pPr>
    <w:rPr>
      <w:rFonts w:ascii="Yu Gothic" w:hAnsi="Yu Gothic" w:eastAsia="Yu Gothic"/>
      <w:b w:val="0"/>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Yu Gothic" w:hAnsi="Yu Gothic" w:eastAsia="Yu Gothic"/>
      <w:b/>
      <w:bCs/>
      <w:color w:val="222222"/>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222222"/>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