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Yu Gothic" w:hAnsi="Yu Gothic" w:eastAsia="Yu Gothic"/>
          <w:color w:val="23272C"/>
        </w:rPr>
        <w:t>台割 案②・案③について　構成の考え方</w:t>
      </w:r>
    </w:p>
    <w:p>
      <w:pPr>
        <w:spacing w:after="120"/>
      </w:pPr>
      <w:r>
        <w:t>先日のお打合せでいただいた「①金属資源グループとして何を発信すべきかの取捨選択」「②それをどのボリュームで、どう配置するか」の2つの観点のうち、案①では②のレイアウトに重心を置いておりました。案②・案③では、①の取捨選択から考え直しています。いずれも現時点の私どもの提案であり、PwC様での整理の叩き台としてご覧いただければ幸いです。</w:t>
      </w:r>
    </w:p>
    <w:p>
      <w:pPr>
        <w:spacing w:after="120"/>
      </w:pPr>
      <w:r>
        <w:t>2案に共通する前提として、この冊子の読み手は三菱商事への予備知識が少ない海外の方々であり、営業担当の方が商談の場で開きながら説明する道具になる、と捉えました。そのため「営業の方が口頭で補える経緯や補足」よりも、「口頭では示しにくい根拠（数字・地図・比較）」を優先して残し、数年で変わる数字や社内の事情に属する情報は外す、という基準で取捨選択しています。</w:t>
      </w:r>
    </w:p>
    <w:p>
      <w:pPr>
        <w:pStyle w:val="Heading1"/>
      </w:pPr>
      <w:r>
        <w:rPr>
          <w:rFonts w:ascii="Yu Gothic" w:hAnsi="Yu Gothic" w:eastAsia="Yu Gothic"/>
          <w:color w:val="23272C"/>
        </w:rPr>
        <w:t>案②　ストーリーラインを骨格に、伝える量を絞り込んだ案</w:t>
      </w:r>
    </w:p>
    <w:p>
      <w:pPr>
        <w:spacing w:before="80" w:after="40"/>
      </w:pPr>
      <w:r>
        <w:rPr>
          <w:b/>
        </w:rPr>
        <w:t>何を発信するか（①の観点）</w:t>
      </w:r>
    </w:p>
    <w:p>
      <w:pPr>
        <w:spacing w:after="120"/>
      </w:pPr>
      <w:r>
        <w:t>案②は、PwC様と合意したストーリーラインの4章構成（WHO→HOW/WHAT→PROOF→VISION）と、読み手の心理の流れ（興味→理解→納得→安心→期待）を、そのまま骨格として守っています。章立ては動かさず、各章の中で「何を残し、何を外すか」を見直しました。</w:t>
      </w:r>
    </w:p>
    <w:p>
      <w:pPr>
        <w:spacing w:after="120"/>
      </w:pPr>
      <w:r>
        <w:t>第1章では、三菱商事という母体の説明は最小限にとどめ、金属資源グループが「投資とトレーディングの両輪で川上から川下までをつなぐ集団」であることを、この章で一番伝えたい一点に据えました。議事録で不要とされた三菱グループとの違いの説明、変動しやすいポートフォリオの比率は外し、組織図も単独では載せずに、両輪の図の中に本部名として織り込んでいます。事業と機能の変遷は、年表の詳細ではなく、時代ごとの判断が分かる5つの節目に要約しました。</w:t>
      </w:r>
    </w:p>
    <w:p>
      <w:pPr>
        <w:spacing w:after="120"/>
      </w:pPr>
      <w:r>
        <w:t>第2章は、議事録の「章の頭に全体像を置き、そのうえで主力の2つを見せる」というご意見を受けて、扉をグローバル・フットプリントにしています。ここには、アセットのない地域でも人を置いて事業機会を探っていることを伝えたいというご要望に沿って、拠点と駐在の位置を名称なしで加え、10/6のご指示どおり肥料資源とRtMの販売網も入れました。</w:t>
      </w:r>
    </w:p>
    <w:p>
      <w:pPr>
        <w:spacing w:after="120"/>
      </w:pPr>
      <w:r>
        <w:t>原料炭は、ストーリーラインで★とされた「BHPと50:50の合弁」が一目で分かるよう、出資構成の図を加えました。そのうえで、世界最高品位の原料炭を持つこと、それが鉄の主原料であり、鉄は今後も必要とされ、ゆえに社会に不可欠であるという、社会的な必要性の文脈で語っています。銅は、参考資料で「ノンオペレーターとして世界最大」という言い方が消極的に受け取られる懸念が示されていたことを踏まえ、数字よりも「パートナーが多く、規模が大きく、業界と幅広い関係を持つから、新しい案件で声がかかる存在である」という本文を主役にしました。</w:t>
      </w:r>
    </w:p>
    <w:p>
      <w:pPr>
        <w:spacing w:after="120"/>
      </w:pPr>
      <w:r>
        <w:t>トレーディングは、議事録で「多数から買って多数に売る」図には示唆がないとのご指摘があったため外し、営業の観点で「お客様に何ができるか」を5つの機能とビジネスモデルで示しています。ストーリーラインで想定されていた「銅を代表例に投資から販売までの一気通貫を示す」点は、銅の流れの中でトレーディングが2度介在する事例として加えました。新技術は、CVCを銅のバリューチェーンに閉じず、「新しい技術への取り組み」という枠で示しています。</w:t>
      </w:r>
    </w:p>
    <w:p>
      <w:pPr>
        <w:spacing w:after="120"/>
      </w:pPr>
      <w:r>
        <w:t>第3章のPartner of Choiceは1ページで完結させ、4つの強みに加えて、10/6のご指示どおり「パートナーに評価される理由（中長期的な視座・リスクシェアリング・総合力）」を戻しました。第4章は外部環境から私たちの約束へとつなぎ、要否が保留となっている連絡先は残しています。</w:t>
      </w:r>
    </w:p>
    <w:p>
      <w:pPr>
        <w:spacing w:before="80" w:after="40"/>
      </w:pPr>
      <w:r>
        <w:rPr>
          <w:b/>
        </w:rPr>
        <w:t>どのボリュームで、どう配置するか（②の観点）</w:t>
      </w:r>
    </w:p>
    <w:p>
      <w:pPr>
        <w:spacing w:after="120"/>
      </w:pPr>
      <w:r>
        <w:t>見開きごとに主役となる図を一つだけ決め、文字量はその図を補う程度に抑えています。数字は各ページ3つまでとし、写真と図で見開きを左右つなげることで、パワーポイントを並べたような印象を避けました。表紙B案の地球儀と金の軌道線を中面にも通しているため、表紙からの世界観の連続性が最も高い案です。</w:t>
      </w:r>
    </w:p>
    <w:p>
      <w:pPr>
        <w:spacing w:before="80" w:after="40"/>
      </w:pPr>
      <w:r>
        <w:rPr>
          <w:b/>
        </w:rPr>
        <w:t>この案が向いている場面</w:t>
      </w:r>
    </w:p>
    <w:p>
      <w:pPr>
        <w:spacing w:after="120"/>
      </w:pPr>
      <w:r>
        <w:t>ストーリーラインどおりに順を追って説明したい場面や、表紙B案と一体で印象を残したい場面に向いています。一方で、章立てが情報を整理する順番になっているため、初めての読み手には「なぜ三菱商事と組むべきか」という結論が後半まで見えにくい面があります。それを解消するために考えたのが案③です。</w:t>
      </w:r>
    </w:p>
    <w:p>
      <w:pPr>
        <w:pStyle w:val="Heading1"/>
      </w:pPr>
      <w:r>
        <w:rPr>
          <w:rFonts w:ascii="Yu Gothic" w:hAnsi="Yu Gothic" w:eastAsia="Yu Gothic"/>
          <w:color w:val="23272C"/>
        </w:rPr>
        <w:t>案③　「持つ力」と「つなぐ力」を順に証明する、営業ツールとしての案</w:t>
      </w:r>
    </w:p>
    <w:p>
      <w:pPr>
        <w:spacing w:before="80" w:after="40"/>
      </w:pPr>
      <w:r>
        <w:rPr>
          <w:b/>
        </w:rPr>
        <w:t>何を発信するか（①の観点）</w:t>
      </w:r>
    </w:p>
    <w:p>
      <w:pPr>
        <w:spacing w:after="120"/>
      </w:pPr>
      <w:r>
        <w:t>案③は、ストーリーラインの掲載項目はすべて残したうえで、順番と強弱を組み替えた提案です。骨格にしたのは、コアメッセージの「Strength to Hold. Power to Connect.」です。前半で「持つ力」、つまり一級資産を持っていることを証明し、後半で「つなぐ力」、つまりパートナーシップと販売網、そしてバリューチェーン全体をつなぐ力を証明して締める、という一本の筋にしました。順番は、同時に制作している動画の絵コンテとそろえ、営業の方が冊子と動画を同じ話の流れで使えるようにしています。</w:t>
      </w:r>
    </w:p>
    <w:p>
      <w:pPr>
        <w:spacing w:after="120"/>
      </w:pPr>
      <w:r>
        <w:t>最も大きな変更は、ストーリーラインでは第4章にあった外部環境と社会課題を冒頭に移したことです。ストーリーラインの留意点にある「金属は経済活動を支える礎であり、儲けるためではなく社会に必要な資源を支える責務として表現する」という考え方は、最後に置くよりも最初に示すほうが、冊子全体の姿勢として伝わると考えました。動画も社会貢献から入る構成になっており、読み手の関心を相手側の課題から始められます。</w:t>
      </w:r>
    </w:p>
    <w:p>
      <w:pPr>
        <w:spacing w:after="120"/>
      </w:pPr>
      <w:r>
        <w:t>第1章にあたる部分では、案②で削った三菱商事とは何か、三綱領、7つのグループ、金属資源グループの位置付け、グループミッション、組織と主要関係会社（個人名なし）を、1ページに収めて残しました。初めて三菱商事に触れる読み手にとっては、こうした情報が信用の裏付けになるためです。位置付けは比率の数字を使わず、「全社としてコミットする中核事業」と定性的に表現しています。</w:t>
      </w:r>
    </w:p>
    <w:p>
      <w:pPr>
        <w:spacing w:after="120"/>
      </w:pPr>
      <w:r>
        <w:t>強調箇所の一つ目は、資産の大きさです。一級資産の所在を示す地図と、主要5鉱山すべてが世界Top15であること、一級強粘炭の約50%のシェア、銅の持分生産量世界20位といった、変わりにくい数字を並べました。ここに事業と機能の変遷を「先見性」として組み合わせ、参考資料でご意向のあった「一級品を持っているのは幸運ではなく、早い段階で先手を打った結果である」という見せ方にしています。続く原料炭と銅のページには、参画年の年表、生産量のランキング、市場の寡占度の違いといった、営業の方が口頭では示しにくい根拠を集めました。ランキングには、上位に協業が難しい国有・政府系企業が含まれること、協業可能なパートナーとしては最大規模であることを注記し、「20位」が小さく見えないよう配慮しています。</w:t>
      </w:r>
    </w:p>
    <w:p>
      <w:pPr>
        <w:spacing w:after="120"/>
      </w:pPr>
      <w:r>
        <w:t>その後に、鉄鉱石を先頭にした事業領域（ストーリーラインの留意点どおり、銅・原料炭と同格には押し出していません）と拠点・駐在、新技術、Partner of Choiceと販売網を続けます。</w:t>
      </w:r>
    </w:p>
    <w:p>
      <w:pPr>
        <w:spacing w:after="120"/>
      </w:pPr>
      <w:r>
        <w:t>強調箇所の二つ目は、バリューチェーンです。ストーリーラインでは第1章の前提理解として置かれていましたが、案③では冊子の結論として最後の見開きに置いています。資産とパートナーを見た後に全体像を示すほうが、「だからこの会社と組む意味がある」と納得しやすいと考えたためです。鉄鋼と非鉄の流れを川上から川下まで並べ、メタルワンが別グループであることは注記にとどめました。あわせて、参考資料で「投資と販売の連携がアイデンティティ」とされていた、持分のオフテイクをRtMが販売し、顧客から得た情報を投資判断に還元する好循環も、ここで示しています。最後はグループミッションと、安定供給・効率的な供給という外部環境への答えで締めています。</w:t>
      </w:r>
    </w:p>
    <w:p>
      <w:pPr>
        <w:spacing w:before="80" w:after="40"/>
      </w:pPr>
      <w:r>
        <w:rPr>
          <w:b/>
        </w:rPr>
        <w:t>どのボリュームで、どう配置するか（②の観点）</w:t>
      </w:r>
    </w:p>
    <w:p>
      <w:pPr>
        <w:spacing w:after="120"/>
      </w:pPr>
      <w:r>
        <w:t>3案の中で最も情報量が多く、各ページを単独で開いても説明が成り立つ量にしています。そのぶん、強調する2か所（資産の大きさ、バリューチェーン）は大きな数字や見開き全幅の図で明確に目立たせ、それ以外のページは要点に絞って、強弱がはっきり分かるようにしました。デザインは地球儀に頼らず、罫線と余白、数字の大きさで整理し、投資を表すブロンズとトレーディングを表すネイビーの2色を全ページで同じ意味に使っています。表紙のどの案とも組み合わせられる作りです。</w:t>
      </w:r>
    </w:p>
    <w:p>
      <w:pPr>
        <w:spacing w:before="80" w:after="40"/>
      </w:pPr>
      <w:r>
        <w:rPr>
          <w:b/>
        </w:rPr>
        <w:t>この案が向いている場面</w:t>
      </w:r>
    </w:p>
    <w:p>
      <w:pPr>
        <w:spacing w:after="120"/>
      </w:pPr>
      <w:r>
        <w:t>具体的な協業や取引を検討する段階の相手に、動画を見せた後に冊子を開いて説明する、といった営業の現場に向いています。印象の強さでは案①②に一歩譲りますが、「なぜ三菱商事なのか」を根拠とともに伝える力は最も強い案です。</w:t>
      </w:r>
    </w:p>
    <w:p>
      <w:pPr>
        <w:pStyle w:val="Heading1"/>
      </w:pPr>
      <w:r>
        <w:rPr>
          <w:rFonts w:ascii="Yu Gothic" w:hAnsi="Yu Gothic" w:eastAsia="Yu Gothic"/>
          <w:color w:val="23272C"/>
        </w:rPr>
        <w:t>私どもの考えと、ご相談したい点</w:t>
      </w:r>
    </w:p>
    <w:p>
      <w:pPr>
        <w:spacing w:after="120"/>
      </w:pPr>
      <w:r>
        <w:t>私どもとしては、内容の骨格は案③の「持つ力からつなぐ力へ」という流れを推奨いたします。そのうえで、見た目の世界観は表紙の決定に合わせて、案②または案③のデザインを選んでいただく組み合わせが良いと考えております。</w:t>
      </w:r>
    </w:p>
    <w:p>
      <w:pPr>
        <w:spacing w:after="120"/>
      </w:pPr>
      <w:r>
        <w:t>PwC様に特にご判断をいただきたいのは、バリューチェーン全体像を冒頭（ストーリーラインどおり）と結論（案③）のどちらに置くか、外部環境を冒頭に移すことの可否、そして三菱商事とは・三綱領・組織図をどこまで載せるか、の3点です。また、原料炭側の新技術の事例、拠点・駐在として示す地域、ポートフォリオの位置付けの表現については、三菱商事様へのご確認が必要と考えております。</w:t>
      </w:r>
    </w:p>
    <w:p>
      <w:pPr>
        <w:spacing w:after="120"/>
      </w:pPr>
      <w:r>
        <w:t>案③については、ストーリーラインの掲載項目、10/5の議事録、10/6の修正指示と照らし合わせた確認表も作成しておりますので、①の整理の際にあわせてご活用ください。</w:t>
      </w:r>
    </w:p>
    <w:sectPr w:rsidR="00FC693F" w:rsidRPr="0006063C" w:rsidSect="00034616">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pPr>
    <w:rPr>
      <w:rFonts w:ascii="Yu Gothic" w:hAnsi="Yu Gothic" w:eastAsia="Yu Gothi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