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960" w:type="dxa"/>
        <w:tblLayout w:type="fixed"/>
        <w:tblLook w:val="04A0" w:firstRow="1" w:lastRow="0" w:firstColumn="1" w:lastColumn="0" w:noHBand="0" w:noVBand="1"/>
      </w:tblPr>
      <w:tblGrid>
        <w:gridCol w:w="2160"/>
        <w:gridCol w:w="2160"/>
        <w:gridCol w:w="2160"/>
        <w:gridCol w:w="2160"/>
        <w:gridCol w:w="2160"/>
        <w:gridCol w:w="2160"/>
      </w:tblGrid>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bookmarkStart w:id="0" w:name="_GoBack" w:colFirst="2" w:colLast="3"/>
            <w:proofErr w:type="spellStart"/>
            <w:r w:rsidRPr="00563EB7">
              <w:rPr>
                <w:rFonts w:ascii="Arial" w:hAnsi="Arial" w:cs="Arial"/>
                <w:sz w:val="20"/>
                <w:szCs w:val="20"/>
              </w:rPr>
              <w:t>record_id</w:t>
            </w:r>
            <w:proofErr w:type="spellEnd"/>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pub_apa</w:t>
            </w:r>
            <w:proofErr w:type="spellEnd"/>
          </w:p>
        </w:tc>
        <w:tc>
          <w:tcPr>
            <w:tcW w:w="2160" w:type="dxa"/>
            <w:vAlign w:val="bottom"/>
          </w:tcPr>
          <w:p w:rsidR="00F537B6" w:rsidRDefault="00F537B6" w:rsidP="00F537B6">
            <w:pPr>
              <w:rPr>
                <w:rFonts w:ascii="Calibri" w:hAnsi="Calibri" w:cs="Calibri"/>
                <w:color w:val="000000"/>
              </w:rPr>
            </w:pPr>
            <w:proofErr w:type="spellStart"/>
            <w:r>
              <w:rPr>
                <w:rFonts w:ascii="Calibri" w:hAnsi="Calibri" w:cs="Calibri"/>
                <w:color w:val="000000"/>
              </w:rPr>
              <w:t>pub_year</w:t>
            </w:r>
            <w:proofErr w:type="spellEnd"/>
          </w:p>
        </w:tc>
        <w:tc>
          <w:tcPr>
            <w:tcW w:w="2160" w:type="dxa"/>
            <w:vAlign w:val="bottom"/>
          </w:tcPr>
          <w:p w:rsidR="00F537B6" w:rsidRDefault="00F537B6" w:rsidP="00F537B6">
            <w:pPr>
              <w:rPr>
                <w:rFonts w:ascii="Calibri" w:hAnsi="Calibri" w:cs="Calibri"/>
                <w:color w:val="000000"/>
              </w:rPr>
            </w:pPr>
            <w:proofErr w:type="spellStart"/>
            <w:r>
              <w:rPr>
                <w:rFonts w:ascii="Calibri" w:hAnsi="Calibri" w:cs="Calibri"/>
                <w:color w:val="000000"/>
              </w:rPr>
              <w:t>pop_country</w:t>
            </w:r>
            <w:proofErr w:type="spellEnd"/>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total_n</w:t>
            </w:r>
            <w:proofErr w:type="spellEnd"/>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Origin</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Allen &amp; </w:t>
            </w:r>
            <w:proofErr w:type="spellStart"/>
            <w:r w:rsidRPr="00563EB7">
              <w:rPr>
                <w:rFonts w:ascii="Arial" w:hAnsi="Arial" w:cs="Arial"/>
                <w:sz w:val="20"/>
                <w:szCs w:val="20"/>
              </w:rPr>
              <w:t>Gfeller</w:t>
            </w:r>
            <w:proofErr w:type="spellEnd"/>
            <w:r w:rsidRPr="00563EB7">
              <w:rPr>
                <w:rFonts w:ascii="Arial" w:hAnsi="Arial" w:cs="Arial"/>
                <w:sz w:val="20"/>
                <w:szCs w:val="20"/>
              </w:rPr>
              <w:t>, 2011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ec1e5k976","properties":{"formattedCitation":"[1]","plainCitation":"[1]"},"citationItems":[{"id":4585,"uris":["http://zotero.org/users/1562642/items/D9ZEFWVP"],"uri":["http://zotero.org/users/1562642/items/D9ZEFWVP"],"itemData":{"id":4585,"type":"article-journal","title":"The Immediate Post-Concussion Assessment and Cognitive Testing battery and traditional neuropsychological measures: A construct and concurrent validity study","container-title":"Brain Injury","page":"179-191","volume":"25","issue":"2","source":"EBSCOhost","archive_location":"2011-00528-005","abstract":"Primary objective: This study examined the construct and concurrent validity of ImPACT, a computerized neuropsychological test battery used for evaluating sports-related concussion. Research design: Approximately 100 neurologically intact undergraduates completed ImPACT and a battery of traditional neuropsychological tests utilized by the National Football League (NFL). Methods and procedures: Participants completed the two batteries in a counterbalanced order. Factor analyses examined the component structure of ImPACT and the NFL battery's factor structure. Correlational analyses assessed relationships among variables within and across the two batteries. Main results: A four-factor solution explaining 70% of variance was found with the NFL battery, including general memory, mental processing speed, verbal memory and processing speed and auditory and verbal working memory. A five-factor solution explaining 69% of variance was found with the ImPACT battery, with components assessing forced choice efficiency, verbal and visual memory, inhibitory cognitive abilities, visual processing abilities with a memory component and a factor with a single loading from Colour Match Total Commissions. Correlations revealed a range of significant and non-significant correlations between the two batteries. Conclusions: While both batteries overlap regarding their assessed constructs (e.g. memory, inhibitory cognitive abilities) notable differences in their factor structures were present as well. (PsycINFO Database Record (c) 2015 APA, all rights reserved). (journal abstract)","DOI":"10.3109/02699052.2010.541897","ISSN":"0269-9052","shortTitle":"The Immediate Post-Concussion Assessment and Cognitive Testing battery and traditional neuropsychological measures","journalAbbreviation":"Brain Injury","author":[{"family":"Allen","given":"Brittany J."},{"family":"Gfeller","given":"Jeffrey D."}],"issued":{"date-parts":[["2011",2]]}}}],"schema":"https://github.com/citation-style-language/schema/raw/master/csl-citation.json"}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76</w:t>
            </w:r>
          </w:p>
          <w:p w:rsidR="00F537B6" w:rsidRPr="00563EB7" w:rsidRDefault="00F537B6" w:rsidP="00F537B6">
            <w:pPr>
              <w:rPr>
                <w:rFonts w:ascii="Arial" w:hAnsi="Arial" w:cs="Arial"/>
                <w:sz w:val="20"/>
                <w:szCs w:val="20"/>
              </w:rPr>
            </w:pPr>
            <w:r w:rsidRPr="00563EB7">
              <w:rPr>
                <w:rFonts w:ascii="Arial" w:hAnsi="Arial" w:cs="Arial"/>
                <w:sz w:val="20"/>
                <w:szCs w:val="20"/>
              </w:rPr>
              <w:t>Asian, 9</w:t>
            </w:r>
          </w:p>
          <w:p w:rsidR="00F537B6" w:rsidRPr="00563EB7" w:rsidRDefault="00F537B6" w:rsidP="00F537B6">
            <w:pPr>
              <w:rPr>
                <w:rFonts w:ascii="Arial" w:hAnsi="Arial" w:cs="Arial"/>
                <w:sz w:val="20"/>
                <w:szCs w:val="20"/>
              </w:rPr>
            </w:pPr>
            <w:r w:rsidRPr="00563EB7">
              <w:rPr>
                <w:rFonts w:ascii="Arial" w:hAnsi="Arial" w:cs="Arial"/>
                <w:sz w:val="20"/>
                <w:szCs w:val="20"/>
              </w:rPr>
              <w:t>Asian Indian, 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4</w:t>
            </w:r>
          </w:p>
          <w:p w:rsidR="00F537B6" w:rsidRPr="00563EB7" w:rsidRDefault="00F537B6" w:rsidP="00F537B6">
            <w:pPr>
              <w:rPr>
                <w:rFonts w:ascii="Arial" w:hAnsi="Arial" w:cs="Arial"/>
                <w:sz w:val="20"/>
                <w:szCs w:val="20"/>
              </w:rPr>
            </w:pPr>
            <w:r w:rsidRPr="00563EB7">
              <w:rPr>
                <w:rFonts w:ascii="Arial" w:hAnsi="Arial" w:cs="Arial"/>
                <w:sz w:val="20"/>
                <w:szCs w:val="20"/>
              </w:rPr>
              <w:t>Other, 2</w:t>
            </w:r>
          </w:p>
          <w:p w:rsidR="00F537B6" w:rsidRPr="00563EB7" w:rsidRDefault="00F537B6" w:rsidP="00F537B6">
            <w:pPr>
              <w:rPr>
                <w:rFonts w:ascii="Arial" w:hAnsi="Arial" w:cs="Arial"/>
                <w:sz w:val="20"/>
                <w:szCs w:val="20"/>
              </w:rPr>
            </w:pPr>
            <w:r w:rsidRPr="00563EB7">
              <w:rPr>
                <w:rFonts w:ascii="Arial" w:hAnsi="Arial" w:cs="Arial"/>
                <w:sz w:val="20"/>
                <w:szCs w:val="20"/>
              </w:rPr>
              <w:t>Pacific Islander, 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153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Amick</w:t>
            </w:r>
            <w:proofErr w:type="spellEnd"/>
            <w:r w:rsidRPr="00563EB7">
              <w:rPr>
                <w:rFonts w:ascii="Arial" w:hAnsi="Arial" w:cs="Arial"/>
                <w:sz w:val="20"/>
                <w:szCs w:val="20"/>
              </w:rPr>
              <w:t xml:space="preserve">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bg9rc5ho","properties":{"formattedCitation":"[2]","plainCitation":"[2]"},"citationItems":[{"id":5042,"uris":["http://zotero.org/users/1562642/items/BZN6U6ZS"],"uri":["http://zotero.org/users/1562642/items/BZN6U6ZS"],"itemData":{"id":5042,"type":"article-journal","title":"PTSD modifies performance on a task of affective executive control among deployed OEF/OIF veterans with mild traumatic brain injury","container-title":"Journal of the International Neuropsychological Society","page":"792-801","volume":"19","issue":"7","source":"EBSCOhost","abstract":"Individuals with post-traumatic stress disorder (PTSD) show a cognitive bias for threatening information, reflecting dysregulated executive control for affective stimuli. This study examined whether comorbid mild Traumatic Brain Injury (mTBI) with PTSD exacerbates this bias. A computer-administered Affective Go/No-Go task measured reaction times (RTs) and errors of omission and commission to words with a non–combat-related positive or negative valence in 72 deployed United States service members from the wars in Iraq and Afghanistan. Incidents of military-related mTBI were measured with the Boston Assessment of Traumatic Brain Injury-Lifetime. PTSD symptoms were measured with the Clinician-Administered PTSD Scale. Participants were divided into those with (mTBI+, n = 34) and without a history of military-related mTBI (mTBI−, n = 38). Valence of the target stimuli differentially impacted errors of commission and decision bias (criterion) in the mTBI+ and mTBI− groups. Specifically, within the mTBI+ group, increasing severity of PTSD symptoms was associated with an increasingly liberal response pattern (defined as more commission errors to negative distractors and greater hit rate for positive stimuli) in the positive compared to the negative blocks. This association was not observed in the mTBI− group. This study underscores the importance of considering the impact of a military-related mTBI and PTSD severity upon affective executive control. (JINS, 2013, 19, 1–10)","DOI":"10.1017/S1355617713000544","ISSN":"13556177","journalAbbreviation":"Journal of the International Neuropsychological Society","author":[{"family":"Amick","given":"Melissa M."},{"family":"Clark","given":"Alexandra"},{"family":"Fortier","given":"Catherine B."},{"family":"Esterman","given":"Michael"},{"family":"Rasmusson","given":"Ann M."},{"family":"Kenna","given":"Alexandra"},{"family":"Milberg","given":"William P."},{"family":"McGlinchey","given":"Regina"}],"issued":{"date-parts":[["2013",8]]}}}],"schema":"https://github.com/citation-style-language/schema/raw/master/csl-citation.json"}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73.61</w:t>
            </w:r>
          </w:p>
          <w:p w:rsidR="00F537B6" w:rsidRPr="00563EB7" w:rsidRDefault="00F537B6" w:rsidP="00F537B6">
            <w:pPr>
              <w:rPr>
                <w:rFonts w:ascii="Arial" w:hAnsi="Arial" w:cs="Arial"/>
                <w:sz w:val="20"/>
                <w:szCs w:val="20"/>
              </w:rPr>
            </w:pPr>
            <w:r w:rsidRPr="00563EB7">
              <w:rPr>
                <w:rFonts w:ascii="Arial" w:hAnsi="Arial" w:cs="Arial"/>
                <w:sz w:val="20"/>
                <w:szCs w:val="20"/>
              </w:rPr>
              <w:t>Hispanic, 19.44</w:t>
            </w:r>
          </w:p>
          <w:p w:rsidR="00F537B6" w:rsidRPr="00563EB7" w:rsidRDefault="00F537B6" w:rsidP="00F537B6">
            <w:pPr>
              <w:rPr>
                <w:rFonts w:ascii="Arial" w:hAnsi="Arial" w:cs="Arial"/>
                <w:sz w:val="20"/>
                <w:szCs w:val="20"/>
              </w:rPr>
            </w:pPr>
            <w:r w:rsidRPr="00563EB7">
              <w:rPr>
                <w:rFonts w:ascii="Arial" w:hAnsi="Arial" w:cs="Arial"/>
                <w:sz w:val="20"/>
                <w:szCs w:val="20"/>
              </w:rPr>
              <w:t>African-American, 5.56</w:t>
            </w:r>
          </w:p>
          <w:p w:rsidR="00F537B6" w:rsidRPr="00563EB7" w:rsidRDefault="00F537B6" w:rsidP="00F537B6">
            <w:pPr>
              <w:rPr>
                <w:rFonts w:ascii="Arial" w:hAnsi="Arial" w:cs="Arial"/>
                <w:sz w:val="20"/>
                <w:szCs w:val="20"/>
              </w:rPr>
            </w:pPr>
            <w:r w:rsidRPr="00563EB7">
              <w:rPr>
                <w:rFonts w:ascii="Arial" w:hAnsi="Arial" w:cs="Arial"/>
                <w:sz w:val="20"/>
                <w:szCs w:val="20"/>
              </w:rPr>
              <w:t>Unknown, 1.39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181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Araujo et al., 2014</w:t>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Caucasian/White, 83.15</w:t>
            </w:r>
          </w:p>
          <w:p w:rsidR="00F537B6" w:rsidRPr="00563EB7" w:rsidRDefault="00F537B6" w:rsidP="00F537B6">
            <w:pPr>
              <w:rPr>
                <w:rFonts w:ascii="Arial" w:hAnsi="Arial" w:cs="Arial"/>
                <w:sz w:val="20"/>
                <w:szCs w:val="20"/>
              </w:rPr>
            </w:pPr>
            <w:r w:rsidRPr="00563EB7">
              <w:rPr>
                <w:rFonts w:ascii="Arial" w:hAnsi="Arial" w:cs="Arial"/>
                <w:sz w:val="20"/>
                <w:szCs w:val="20"/>
              </w:rPr>
              <w:t>Black or African American, 10.77</w:t>
            </w:r>
          </w:p>
          <w:p w:rsidR="00F537B6" w:rsidRPr="00563EB7" w:rsidRDefault="00F537B6" w:rsidP="00F537B6">
            <w:pPr>
              <w:rPr>
                <w:rFonts w:ascii="Arial" w:hAnsi="Arial" w:cs="Arial"/>
                <w:sz w:val="20"/>
                <w:szCs w:val="20"/>
              </w:rPr>
            </w:pPr>
            <w:r w:rsidRPr="00563EB7">
              <w:rPr>
                <w:rFonts w:ascii="Arial" w:hAnsi="Arial" w:cs="Arial"/>
                <w:sz w:val="20"/>
                <w:szCs w:val="20"/>
              </w:rPr>
              <w:t>Other/Unknown, 5.8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944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Armistead-</w:t>
            </w:r>
            <w:proofErr w:type="spellStart"/>
            <w:r w:rsidRPr="00563EB7">
              <w:rPr>
                <w:rFonts w:ascii="Arial" w:hAnsi="Arial" w:cs="Arial"/>
                <w:sz w:val="20"/>
                <w:szCs w:val="20"/>
              </w:rPr>
              <w:t>Jehle</w:t>
            </w:r>
            <w:proofErr w:type="spellEnd"/>
            <w:r w:rsidRPr="00563EB7">
              <w:rPr>
                <w:rFonts w:ascii="Arial" w:hAnsi="Arial" w:cs="Arial"/>
                <w:sz w:val="20"/>
                <w:szCs w:val="20"/>
              </w:rPr>
              <w:t xml:space="preserve">, Cooper, &amp; </w:t>
            </w:r>
            <w:proofErr w:type="spellStart"/>
            <w:r w:rsidRPr="00563EB7">
              <w:rPr>
                <w:rFonts w:ascii="Arial" w:hAnsi="Arial" w:cs="Arial"/>
                <w:sz w:val="20"/>
                <w:szCs w:val="20"/>
              </w:rPr>
              <w:t>Vanderploeg</w:t>
            </w:r>
            <w:proofErr w:type="spellEnd"/>
            <w:r w:rsidRPr="00563EB7">
              <w:rPr>
                <w:rFonts w:ascii="Arial" w:hAnsi="Arial" w:cs="Arial"/>
                <w:sz w:val="20"/>
                <w:szCs w:val="20"/>
              </w:rPr>
              <w:t>,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227e7lg26d","properties":{"formattedCitation":"[3]","plainCitation":"[3]"},"citationItems":[{"id":5298,"uris":["http://zotero.org/users/1562642/items/F544NKRK"],"uri":["http://zotero.org/users/1562642/items/F544NKRK"],"itemData":{"id":5298,"type":"article-journal","title":"The role of performance validity tests in the assessment of cognitive functioning after military concussion: A replication and extension","container-title":"Applied Neuropsychology. Adult","page":"1-10","source":"EBSCOhost","archive_location":"26569384","abstract":"The current investigation is a replication and extension of a previously published study by Cooper, Vanderploeg, Armistead-Jehle, Lewis, and Bowles (2014) demonstrating that performance validity test scores accounted for more variance in cognitive testing among service members with a history of concussion than did demographic variables, etiology of and time since injury, and symptom severity. The present study included a sample of 142 active-duty service members evaluated following a suspected or confirmed history of mild traumatic brain injury. Participants completed a battery of neuropsychological measures that included scales of performance and symptom validity (specifically the Medical Symptom Validity Test, Nonverbal Medical Symptom Validity Test, and Personality Assessment Inventory). Among the factors considered in the current study, performance validity test results accounted for the most variance in cognitive test scores, above demographic, concussion history, symptom validity, and psychological distress variables. Performance validity test results were modestly related to symptom validity as measured by the Personality Assessment Inventory Negative Impression Management scale. In sum, the current results replicated the original Cooper et al. study and highlight the importance of including performance validity tests as part of neurocognitive evaluation, even in clinical contexts, within this population.;","ISSN":"2327-9109","shortTitle":"The role of performance validity tests in the assessment of cognitive functioning after military concussion","journalAbbreviation":"Applied Neuropsychology. Adult","author":[{"family":"Armistead-Jehle","given":"Patrick"},{"family":"Cooper","given":"Douglas B"},{"family":"Vanderploeg","given":"Rodney D"}],"issued":{"date-parts":[["2015",11,16]]}}}],"schema":"https://github.com/citation-style-language/schema/raw/master/csl-citation.json"}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80.62</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11.63</w:t>
            </w:r>
          </w:p>
          <w:p w:rsidR="00F537B6" w:rsidRPr="00563EB7" w:rsidRDefault="00F537B6" w:rsidP="00F537B6">
            <w:pPr>
              <w:rPr>
                <w:rFonts w:ascii="Arial" w:hAnsi="Arial" w:cs="Arial"/>
                <w:sz w:val="20"/>
                <w:szCs w:val="20"/>
              </w:rPr>
            </w:pPr>
            <w:r w:rsidRPr="00563EB7">
              <w:rPr>
                <w:rFonts w:ascii="Arial" w:hAnsi="Arial" w:cs="Arial"/>
                <w:sz w:val="20"/>
                <w:szCs w:val="20"/>
              </w:rPr>
              <w:t>Hispanic, 5.43</w:t>
            </w:r>
          </w:p>
          <w:p w:rsidR="00F537B6" w:rsidRPr="00563EB7" w:rsidRDefault="00F537B6" w:rsidP="00F537B6">
            <w:pPr>
              <w:rPr>
                <w:rFonts w:ascii="Arial" w:hAnsi="Arial" w:cs="Arial"/>
                <w:sz w:val="20"/>
                <w:szCs w:val="20"/>
              </w:rPr>
            </w:pPr>
            <w:r w:rsidRPr="00563EB7">
              <w:rPr>
                <w:rFonts w:ascii="Arial" w:hAnsi="Arial" w:cs="Arial"/>
                <w:sz w:val="20"/>
                <w:szCs w:val="20"/>
              </w:rPr>
              <w:t>Native American, 1.55</w:t>
            </w:r>
          </w:p>
          <w:p w:rsidR="00F537B6" w:rsidRPr="00563EB7" w:rsidRDefault="00F537B6" w:rsidP="00F537B6">
            <w:pPr>
              <w:rPr>
                <w:rFonts w:ascii="Arial" w:hAnsi="Arial" w:cs="Arial"/>
                <w:sz w:val="20"/>
                <w:szCs w:val="20"/>
              </w:rPr>
            </w:pPr>
            <w:r w:rsidRPr="00563EB7">
              <w:rPr>
                <w:rFonts w:ascii="Arial" w:hAnsi="Arial" w:cs="Arial"/>
                <w:sz w:val="20"/>
                <w:szCs w:val="20"/>
              </w:rPr>
              <w:t>Asian, 0.78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117</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Babikian</w:t>
            </w:r>
            <w:proofErr w:type="spellEnd"/>
            <w:r w:rsidRPr="00563EB7">
              <w:rPr>
                <w:rFonts w:ascii="Arial" w:hAnsi="Arial" w:cs="Arial"/>
                <w:sz w:val="20"/>
                <w:szCs w:val="20"/>
              </w:rPr>
              <w:t xml:space="preserve"> et al., 2011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qa4liijml","properties":{"formattedCitation":"[4]","plainCitation":"[4]"},"citationItems":[{"id":295,"uris":["http://zotero.org/users/1562642/items/4WTZAVV3"],"uri":["http://zotero.org/users/1562642/items/4WTZAVV3"],"itemData":{"id":295,"type":"article-journal","title":"The UCLA Longitudinal Study of Neurocognitive Outcomes Following Mild Pediatric Traumatic Brain Injury","container-title":"Journal of the International Neuropsychological Society","page":"886-895","volume":"17","issue":"5","source":"EBSCOhost","abstract":"Comprehensive reviews of neurocognitive outcomes following mild, uncomplicated traumatic brain injury (TBI) in children have shown minimal effects on neurocognition, especially in methodologically rigorous studies. In this study, we report longitudinal (1, 6, and 12 months post injury) results in four domains of neurocognitive functioning in a large sample of children with mild TBI (n = 124, ages 8–17 at injury) relative to two demographically matched control groups (other injury: n = 94 and non-injury: n = 106). After accounting for age and parental education, significant main effects of group were observed on 7 of the 10 neurocognitive tests. However, these differences were not unique to the TBI sample but were found between both the TBI and other injury groups relative to the non-injured group, suggesting a general injury effect. Effects were primarily within the domains measuring memory, psychomotor processing speed, and language. This is the largest longitudinal study to date of neurocognitive outcomes at discrete time points in pediatric mild TBI. When controlling for pre-injury factors, there is no evidence of long-term neurocognitive impairment in this group relative to another injury control group. The importance of longitudinal analyses and use of appropriate control groups are discussed in the context of evaluating the effects of mild TBI on cognition. (JINS, 2011, 17, 886–895)","DOI":"10.1017/S1355617711000907","ISSN":"13556177","call-number":"65147876","note":"00024","journalAbbreviation":"Journal of the International Neuropsychological Society","author":[{"family":"Babikian","given":"Talin"},{"family":"Satz","given":"Paul"},{"family":"Zaucha","given":"Ken"},{"family":"Light","given":"Roger"},{"family":"Lewis","given":"Richard S."},{"family":"Asarnow","given":"Robert F."}],"issued":{"date-parts":[["2011",9]]}}}],"schema":"https://github.com/citation-style-language/schema/raw/master/csl-citation.json"}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44.01</w:t>
            </w:r>
          </w:p>
          <w:p w:rsidR="00F537B6" w:rsidRPr="00563EB7" w:rsidRDefault="00F537B6" w:rsidP="00F537B6">
            <w:pPr>
              <w:rPr>
                <w:rFonts w:ascii="Arial" w:hAnsi="Arial" w:cs="Arial"/>
                <w:sz w:val="20"/>
                <w:szCs w:val="20"/>
              </w:rPr>
            </w:pPr>
            <w:r w:rsidRPr="00563EB7">
              <w:rPr>
                <w:rFonts w:ascii="Arial" w:hAnsi="Arial" w:cs="Arial"/>
                <w:sz w:val="20"/>
                <w:szCs w:val="20"/>
              </w:rPr>
              <w:t>Hispanic, 21.35</w:t>
            </w:r>
          </w:p>
          <w:p w:rsidR="00F537B6" w:rsidRPr="00563EB7" w:rsidRDefault="00F537B6" w:rsidP="00F537B6">
            <w:pPr>
              <w:rPr>
                <w:rFonts w:ascii="Arial" w:hAnsi="Arial" w:cs="Arial"/>
                <w:sz w:val="20"/>
                <w:szCs w:val="20"/>
              </w:rPr>
            </w:pPr>
            <w:r w:rsidRPr="00563EB7">
              <w:rPr>
                <w:rFonts w:ascii="Arial" w:hAnsi="Arial" w:cs="Arial"/>
                <w:sz w:val="20"/>
                <w:szCs w:val="20"/>
              </w:rPr>
              <w:t>Unknown, 12.76</w:t>
            </w:r>
          </w:p>
          <w:p w:rsidR="00F537B6" w:rsidRPr="00563EB7" w:rsidRDefault="00F537B6" w:rsidP="00F537B6">
            <w:pPr>
              <w:rPr>
                <w:rFonts w:ascii="Arial" w:hAnsi="Arial" w:cs="Arial"/>
                <w:sz w:val="20"/>
                <w:szCs w:val="20"/>
              </w:rPr>
            </w:pPr>
            <w:r w:rsidRPr="00563EB7">
              <w:rPr>
                <w:rFonts w:ascii="Arial" w:hAnsi="Arial" w:cs="Arial"/>
                <w:sz w:val="20"/>
                <w:szCs w:val="20"/>
              </w:rPr>
              <w:t>Hispanic American, 9.9</w:t>
            </w:r>
          </w:p>
          <w:p w:rsidR="00F537B6" w:rsidRPr="00563EB7" w:rsidRDefault="00F537B6" w:rsidP="00F537B6">
            <w:pPr>
              <w:rPr>
                <w:rFonts w:ascii="Arial" w:hAnsi="Arial" w:cs="Arial"/>
                <w:sz w:val="20"/>
                <w:szCs w:val="20"/>
              </w:rPr>
            </w:pPr>
            <w:r w:rsidRPr="00563EB7">
              <w:rPr>
                <w:rFonts w:ascii="Arial" w:hAnsi="Arial" w:cs="Arial"/>
                <w:sz w:val="20"/>
                <w:szCs w:val="20"/>
              </w:rPr>
              <w:t>Other, 6.77</w:t>
            </w:r>
          </w:p>
          <w:p w:rsidR="00F537B6" w:rsidRPr="00563EB7" w:rsidRDefault="00F537B6" w:rsidP="00F537B6">
            <w:pPr>
              <w:rPr>
                <w:rFonts w:ascii="Arial" w:hAnsi="Arial" w:cs="Arial"/>
                <w:sz w:val="20"/>
                <w:szCs w:val="20"/>
              </w:rPr>
            </w:pPr>
            <w:r w:rsidRPr="00563EB7">
              <w:rPr>
                <w:rFonts w:ascii="Arial" w:hAnsi="Arial" w:cs="Arial"/>
                <w:sz w:val="20"/>
                <w:szCs w:val="20"/>
              </w:rPr>
              <w:t>Black, 5.47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1067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Barker-</w:t>
            </w:r>
            <w:proofErr w:type="spellStart"/>
            <w:r w:rsidRPr="00563EB7">
              <w:rPr>
                <w:rFonts w:ascii="Arial" w:hAnsi="Arial" w:cs="Arial"/>
                <w:sz w:val="20"/>
                <w:szCs w:val="20"/>
              </w:rPr>
              <w:t>Collo</w:t>
            </w:r>
            <w:proofErr w:type="spellEnd"/>
            <w:r w:rsidRPr="00563EB7">
              <w:rPr>
                <w:rFonts w:ascii="Arial" w:hAnsi="Arial" w:cs="Arial"/>
                <w:sz w:val="20"/>
                <w:szCs w:val="20"/>
              </w:rPr>
              <w:t xml:space="preserve">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mp2rk7qp","properties":{"formattedCitation":"[5]","plainCitation":"[5]"},"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New Zealand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246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New Zealand European, 63.82</w:t>
            </w:r>
          </w:p>
          <w:p w:rsidR="00F537B6" w:rsidRPr="00563EB7" w:rsidRDefault="00F537B6" w:rsidP="00F537B6">
            <w:pPr>
              <w:rPr>
                <w:rFonts w:ascii="Arial" w:hAnsi="Arial" w:cs="Arial"/>
                <w:sz w:val="20"/>
                <w:szCs w:val="20"/>
              </w:rPr>
            </w:pPr>
            <w:r w:rsidRPr="00563EB7">
              <w:rPr>
                <w:rFonts w:ascii="Arial" w:hAnsi="Arial" w:cs="Arial"/>
                <w:sz w:val="20"/>
                <w:szCs w:val="20"/>
              </w:rPr>
              <w:t>Maori, 29.27</w:t>
            </w:r>
          </w:p>
          <w:p w:rsidR="00F537B6" w:rsidRPr="00563EB7" w:rsidRDefault="00F537B6" w:rsidP="00F537B6">
            <w:pPr>
              <w:rPr>
                <w:rFonts w:ascii="Arial" w:hAnsi="Arial" w:cs="Arial"/>
                <w:sz w:val="20"/>
                <w:szCs w:val="20"/>
              </w:rPr>
            </w:pPr>
            <w:r w:rsidRPr="00563EB7">
              <w:rPr>
                <w:rFonts w:ascii="Arial" w:hAnsi="Arial" w:cs="Arial"/>
                <w:sz w:val="20"/>
                <w:szCs w:val="20"/>
              </w:rPr>
              <w:t>Other, 6.1</w:t>
            </w:r>
          </w:p>
          <w:p w:rsidR="00F537B6" w:rsidRPr="00563EB7" w:rsidRDefault="00F537B6" w:rsidP="00F537B6">
            <w:pPr>
              <w:rPr>
                <w:rFonts w:ascii="Arial" w:hAnsi="Arial" w:cs="Arial"/>
                <w:sz w:val="20"/>
                <w:szCs w:val="20"/>
              </w:rPr>
            </w:pPr>
            <w:r w:rsidRPr="00563EB7">
              <w:rPr>
                <w:rFonts w:ascii="Arial" w:hAnsi="Arial" w:cs="Arial"/>
                <w:sz w:val="20"/>
                <w:szCs w:val="20"/>
              </w:rPr>
              <w:t>Pacific Islander, 0.81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1156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Barrow et al., 2003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il8lqk8p6","properties":{"formattedCitation":"[6]","plainCitation":"[6]"},"citationItems":[{"id":3320,"uris":["http://zotero.org/users/1562642/items/9ZFCE3BK"],"uri":["http://zotero.org/users/1562642/items/9ZFCE3BK"],"itemData":{"id":3320,"type":"article-journal","title":"Can within-category naming identify subtle cognitive deficits in the mild traumatic brain-injured patient?","container-title":"Journal of Trauma and Acute Care Surgery","page":"888–897","volume":"54","issue":"5","source":"Google Scholar","abstract":"Background: This investigation examined the effect of a speeded, computer-controlled task on detecting differences in latency and accuracy of within-category name generation in adults having sustained a mild traumatic brain injury (MTBI).; Methods: Twenty-four adults in acute recovery and 24 age-matched controls were instructed to view 72 pictures on a computer monitor, and then name another item belonging to the same category as the visual stimulus as quickly as possible.; Results: The MTBI group demonstrated significantly longer latencies (p &lt; 0.001) and lower accuracy (p &lt; 0.001) than the control group. Both groups displayed similar patterns of response, although the MTBI group produced significantly more perseverative errors (p &lt; 0.001). No significant correlations were found between performance on the Scales of Cognitive Ability for Traumatic Brain Injury and response latency or accuracy.; Conclusion: The MTBI group performed the task significantly slower and less accurately than controls. Reaction time measures may prove more sensitive than traditional assessment measures in detecting subtle difficulties.;","journalAbbreviation":"The Journal Of Trauma","author":[{"family":"Barrow","given":"Irene M."},{"family":"Hough","given":"Monica"},{"family":"Rastatter","given":"Michael P."},{"family":"Walker","given":"Marianna"},{"family":"Holbert","given":"Donald"},{"family":"Rotondo","given":"Michael F."}],"issued":{"date-parts":[["2003"]]}}}],"schema":"https://github.com/citation-style-language/schema/raw/master/csl-citation.json"}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54.17</w:t>
            </w:r>
          </w:p>
          <w:p w:rsidR="00F537B6" w:rsidRPr="00563EB7" w:rsidRDefault="00F537B6" w:rsidP="00F537B6">
            <w:pPr>
              <w:rPr>
                <w:rFonts w:ascii="Arial" w:hAnsi="Arial" w:cs="Arial"/>
                <w:sz w:val="20"/>
                <w:szCs w:val="20"/>
              </w:rPr>
            </w:pPr>
            <w:r w:rsidRPr="00563EB7">
              <w:rPr>
                <w:rFonts w:ascii="Arial" w:hAnsi="Arial" w:cs="Arial"/>
                <w:sz w:val="20"/>
                <w:szCs w:val="20"/>
              </w:rPr>
              <w:t>African-American, 41.67</w:t>
            </w:r>
          </w:p>
          <w:p w:rsidR="00F537B6" w:rsidRPr="00563EB7" w:rsidRDefault="00F537B6" w:rsidP="00F537B6">
            <w:pPr>
              <w:rPr>
                <w:rFonts w:ascii="Arial" w:hAnsi="Arial" w:cs="Arial"/>
                <w:sz w:val="20"/>
                <w:szCs w:val="20"/>
              </w:rPr>
            </w:pPr>
            <w:r w:rsidRPr="00563EB7">
              <w:rPr>
                <w:rFonts w:ascii="Arial" w:hAnsi="Arial" w:cs="Arial"/>
                <w:sz w:val="20"/>
                <w:szCs w:val="20"/>
              </w:rPr>
              <w:t>Hispanic, 2.08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540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Barwick, Arnett, &amp; </w:t>
            </w:r>
            <w:proofErr w:type="spellStart"/>
            <w:r w:rsidRPr="00563EB7">
              <w:rPr>
                <w:rFonts w:ascii="Arial" w:hAnsi="Arial" w:cs="Arial"/>
                <w:sz w:val="20"/>
                <w:szCs w:val="20"/>
              </w:rPr>
              <w:t>Slobounov</w:t>
            </w:r>
            <w:proofErr w:type="spellEnd"/>
            <w:r w:rsidRPr="00563EB7">
              <w:rPr>
                <w:rFonts w:ascii="Arial" w:hAnsi="Arial" w:cs="Arial"/>
                <w:sz w:val="20"/>
                <w:szCs w:val="20"/>
              </w:rPr>
              <w:t>,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hto0km3io","properties":{"formattedCitation":"[7]","plainCitation":"[7]"},"citationItems":[{"id":4603,"uris":["http://zotero.org/users/1562642/items/XS2VZPXV"],"uri":["http://zotero.org/users/1562642/items/XS2VZPXV"],"itemData":{"id":4603,"type":"article-journal","title":"EEG correlates of fatigue during administration of a neuropsychological test battery","container-title":"Clinical Neurophysiology","page":"278-284","volume":"123","issue":"2","source":"EBSCOhost","archive_location":"2012-01602-034","abstract":"Objective: Mental fatigue, a poorly understood symptom of sports-related concussion, ideally requires assessment across multiple modalities. Our study aimed to examine mental fatigue effects among 10 neurologically normal, athletically active students undergoing typical concussion testing. It is our intention to ultimately address the question whether fatigue effects due to mild traumatic brain injury (mTBI) may become confounded with fatigue effects due to testing effort. Methods: Fourteen athletically active and neurologically normal volunteers were initially recruited from Penn State University. Self-reported fatigue, neuropsychological performance, and electroencephalographic (EEG) activity were measured throughout the whole testing duration. EEG measures in frequency domain (e.g., relative power of theta, alpha, and beta bands) were examined over the course of neuropsychological (NP) test administration. Results: Predicted fatigue effects over the course of testing included: (a) increased self-reported fatigue; (b) increased errors on the Stroop Interference Test; (c) significantly increased relative power of theta activity during the Stroop Interference Test in frontal–central and parietal regions; and (d) migration of alpha activation from the occipital to anterior (left parietal and pre-central) regions during the Stroop Interference task administered at the beginning compared with the end of testing. Conclusions: Results supported predictions related to subjective fatigue and cognitive performance and offered partial support for predictions related to EEG activation patterns over the course of administering the NP testing. Significance: Neurologically intact and athletically active college students demonstrate effects related to fatigue after undergoing a typical sports concussion assessment battery, including an increase in subjectively experienced fatigue, a decrease in cognitive task performance accuracy and associated modulations in EEG activity. This finding should be considered by clinical practitioners while evaluating the symptoms of concussion and making a decision regarding the return-to-sport participation. (PsycINFO Database Record (c) 2015 APA, all rights reserved). (journal abstract)","DOI":"10.1016/j.clinph.2011.06.027","ISSN":"1388-2457","journalAbbreviation":"Clinical Neurophysiology","author":[{"family":"Barwick","given":"Fiona"},{"family":"Arnett","given":"Peter"},{"family":"Slobounov","given":"Semyon"}],"issued":{"date-parts":[["2012",2]]}}}],"schema":"https://github.com/citation-style-language/schema/raw/master/csl-citation.json"}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71.43</w:t>
            </w:r>
          </w:p>
          <w:p w:rsidR="00F537B6" w:rsidRPr="00563EB7" w:rsidRDefault="00F537B6" w:rsidP="00F537B6">
            <w:pPr>
              <w:rPr>
                <w:rFonts w:ascii="Arial" w:hAnsi="Arial" w:cs="Arial"/>
                <w:sz w:val="20"/>
                <w:szCs w:val="20"/>
              </w:rPr>
            </w:pPr>
            <w:r w:rsidRPr="00563EB7">
              <w:rPr>
                <w:rFonts w:ascii="Arial" w:hAnsi="Arial" w:cs="Arial"/>
                <w:sz w:val="20"/>
                <w:szCs w:val="20"/>
              </w:rPr>
              <w:t>African-American, 7.14</w:t>
            </w:r>
          </w:p>
          <w:p w:rsidR="00F537B6" w:rsidRPr="00563EB7" w:rsidRDefault="00F537B6" w:rsidP="00F537B6">
            <w:pPr>
              <w:rPr>
                <w:rFonts w:ascii="Arial" w:hAnsi="Arial" w:cs="Arial"/>
                <w:sz w:val="20"/>
                <w:szCs w:val="20"/>
              </w:rPr>
            </w:pPr>
            <w:r w:rsidRPr="00563EB7">
              <w:rPr>
                <w:rFonts w:ascii="Arial" w:hAnsi="Arial" w:cs="Arial"/>
                <w:sz w:val="20"/>
                <w:szCs w:val="20"/>
              </w:rPr>
              <w:t>Asian American, 7.14</w:t>
            </w:r>
          </w:p>
          <w:p w:rsidR="00F537B6" w:rsidRPr="00563EB7" w:rsidRDefault="00F537B6" w:rsidP="00F537B6">
            <w:pPr>
              <w:rPr>
                <w:rFonts w:ascii="Arial" w:hAnsi="Arial" w:cs="Arial"/>
                <w:sz w:val="20"/>
                <w:szCs w:val="20"/>
              </w:rPr>
            </w:pPr>
            <w:r w:rsidRPr="00563EB7">
              <w:rPr>
                <w:rFonts w:ascii="Arial" w:hAnsi="Arial" w:cs="Arial"/>
                <w:sz w:val="20"/>
                <w:szCs w:val="20"/>
              </w:rPr>
              <w:t>Mixed ethnicities, 7.14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155</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Barwood</w:t>
            </w:r>
            <w:proofErr w:type="spellEnd"/>
            <w:r w:rsidRPr="00563EB7">
              <w:rPr>
                <w:rFonts w:ascii="Arial" w:hAnsi="Arial" w:cs="Arial"/>
                <w:sz w:val="20"/>
                <w:szCs w:val="20"/>
              </w:rPr>
              <w:t xml:space="preserve"> &amp; Murdoch,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nm1rddioc","properties":{"formattedCitation":"[8]","plainCitation":"[8]"},"citationItems":[{"id":5044,"uris":["http://zotero.org/users/1562642/items/9UUJZ7G4"],"uri":["http://zotero.org/users/1562642/items/9UUJZ7G4"],"itemData":{"id":5044,"type":"article-journal","title":"Unravelling the influence of mild traumatic brain injury (MTBI) on cognitive-linguistic processing: A comparative group analysis","container-title":"Brain Injury","page":"671-676","volume":"27","issue":"6","source":"EBSCOhost","archive_location":"2013-17202-005","abstract":"Background: Cognitive-linguistic deficits often accompany traumatic brain injury (TBI) and can negatively impact communicative competency. The linguistic sequelae underpinning mild TBI (MTBI) remain largely unexplored in contemporary literature. Objectives: The present research methods aim to provide group evidence pertaining to the influence of MTBI on linguistic and higher-level language processing. Extrapolating on the findings of recent case reports, it is hypothesized that performance of the MTBI patients will be significantly reduced compared to normal controls performance on the employed high-level linguistic tasks. Methods: Sixteen patients with MTBI and 16 age- and education-matched normal control participants were assessed using a comprehensive battery of cognitive-linguistic assessments. Results: The results demonstrated statistically significant differences between MTBI and normal control group performance across a number of higher-level linguistic, general cognitive and general language tasks. MTBI group performance was significantly lower than the normal control group on tasks requiring complex lexical semantic operations and memory demands, including: Recall, organization, making inferences, naming and perception/discrimination. Conclusions: These outcomes confer that post-MTBI, cognitive, high-level language and isolated general language performance (e.g. naming) is significantly reduced in MTBI patients, compared to normal controls. Furthermore, the detailed cognitive-linguistic profile offered provides a necessary direction for the identification of areas of linguistic decline in MTBI and targets for therapeutic intervention of impaired cognitive-linguistic processes to ultimately improve communicative outcomes in MTBI. (PsycINFO Database Record (c) 2015 APA, all rights reserved). (journal abstract)","DOI":"10.3109/02699052.2013.775500","ISSN":"0269-9052","shortTitle":"Unravelling the influence of mild traumatic brain injury (MTBI) on cognitive-linguistic processing","journalAbbreviation":"Brain Injury","author":[{"family":"Barwood","given":"Caroline H. S."},{"family":"Murdoch","given":"Bruce E."}],"issued":{"date-parts":[["2013",6]]}}}],"schema":"https://github.com/citation-style-language/schema/raw/master/csl-citation.json"}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Australia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Australian,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Beers, Goldstein, &amp; Katz, 1994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g1e49ae4o","properties":{"formattedCitation":"[9]","plainCitation":"[9]"},"citationItems":[{"id":4505,"uris":["http://zotero.org/users/1562642/items/HK7MHRIM"],"uri":["http://zotero.org/users/1562642/items/HK7MHRIM"],"itemData":{"id":4505,"type":"article-journal","title":"Neuropsychological differences between college students with learning disabilities and those with mild head injury","container-title":"Journal Of Learning Disabilities","page":"315-324","volume":"27","issue":"5","source":"EBSCOhost","archive_location":"8006509","abstract":"College students with learning disabilities (LD) and those with a history of mild head injury (MHI) are two groups whose learning problems are not adequately addressed. We administered a comprehensive battery of neuropsychological, psychological, and academic achievement tests to college students with learning problems (LD, n = 35; MHI, n = 25) and a control group (n = 22), and completed a series of discriminant function analyses. A combination of six neuropsychological and psychoeducational test variables produced statistically significant differences among the three groups. The instruments were sensitive to LD, MHI, and the differences between them. The students with LD performed poorly on linguistically oriented psychoeducational tests, whereas the students with MHI showed cognitive deficits in visual-spatial skills and in the areas of attention, memory, and novel problem solving. Differential interventions addressing these deficits appear to be indicated.;","ISSN":"0022-2194","journalAbbreviation":"Journal Of Learning Disabilities","author":[{"family":"Beers","given":"S R"},{"family":"Goldstein","given":"G"},{"family":"Katz","given":"L J"}],"issued":{"date-parts":[["1994",5]]}}}],"schema":"https://github.com/citation-style-language/schema/raw/master/csl-citation.json"}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1994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African-American, 10.98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490</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Bernick</w:t>
            </w:r>
            <w:proofErr w:type="spellEnd"/>
            <w:r w:rsidRPr="00563EB7">
              <w:rPr>
                <w:rFonts w:ascii="Arial" w:hAnsi="Arial" w:cs="Arial"/>
                <w:sz w:val="20"/>
                <w:szCs w:val="20"/>
              </w:rPr>
              <w:t xml:space="preserve">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216lk9o00q","properties":{"formattedCitation":"[10]","plainCitation":"[10]"},"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246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36.18</w:t>
            </w:r>
          </w:p>
          <w:p w:rsidR="00F537B6" w:rsidRPr="00563EB7" w:rsidRDefault="00F537B6" w:rsidP="00F537B6">
            <w:pPr>
              <w:rPr>
                <w:rFonts w:ascii="Arial" w:hAnsi="Arial" w:cs="Arial"/>
                <w:sz w:val="20"/>
                <w:szCs w:val="20"/>
              </w:rPr>
            </w:pPr>
            <w:r w:rsidRPr="00563EB7">
              <w:rPr>
                <w:rFonts w:ascii="Arial" w:hAnsi="Arial" w:cs="Arial"/>
                <w:sz w:val="20"/>
                <w:szCs w:val="20"/>
              </w:rPr>
              <w:t>Other, 30.89</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23.98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1068</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Biederman</w:t>
            </w:r>
            <w:proofErr w:type="spellEnd"/>
            <w:r w:rsidRPr="00563EB7">
              <w:rPr>
                <w:rFonts w:ascii="Arial" w:hAnsi="Arial" w:cs="Arial"/>
                <w:sz w:val="20"/>
                <w:szCs w:val="20"/>
              </w:rPr>
              <w:t xml:space="preserve">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g23vrdn6s","properties":{"formattedCitation":"[11]","plainCitation":"[11]"},"citationItems":[{"id":5417,"uris":["http://zotero.org/users/1562642/items/8G8GAZHD"],"uri":["http://zotero.org/users/1562642/items/8G8GAZHD"],"itemData":{"id":5417,"type":"article-journal","title":"Mild traumatic brain injury and attention-deficit hyperactivity disorder in young student athletes","container-title":"Journal of Nervous and Mental Disease","page":"813-819","volume":"203","issue":"11","source":"EBSCOhost","archive_location":"2015-50801-001","abstract":"A recent meta-analysis documented a significant statistical association between mild traumatic brain injury (mTBI) and attention deficit hyperactivity disorder (ADHD) (Adeyemo et al., 2014), but the direction of this effect was unclear. In this study, we hypothesized that ADHD would be an antecedent risk factor for mTBI. Participants were student athletes ages 12 to 25 who had sustained a mTBI and Controls of similar age and sex selected from studies of youth with and without ADHD. Subjects were assessed for symptoms of ADHD, concussion severity, and cognitive function. mTBI subjects had a significantly higher rate of ADHD than Controls, and in all cases the age of onset of ADHD was before mTBI onset. mTBI + ADHD subjects also hadmore severe concussion symptoms (fatigue and poor concentration) than mTBI-ADHD subjects. These results support ADHD as an antecedent risk factor for mTBI in student athletes and that its presence complicates the course of mTBI. (PsycINFO Database Record (c) 2015 APA, all rights reserved). (journal abstract)","DOI":"10.1097/NMD.0000000000000375","ISSN":"0022-3018","journalAbbreviation":"Journal of Nervous and Mental Disease","author":[{"family":"Biederman","given":"Joseph"},{"family":"Feinberg","given":"Leah"},{"family":"Chan","given":"James"},{"family":"Adeyemo","given":"Bamidele O."},{"family":"Woodworth","given":"K. Yvonne"},{"family":"Panis","given":"Walter"},{"family":"McGrath","given":"Neal"},{"family":"Bhatnagar","given":"Saurabha"},{"family":"Spencer","given":"Thomas J."},{"family":"Uchida","given":"Mai"},{"family":"Kenworthy","given":"Tara"},{"family":"Grossman","given":"Rebecca"},{"family":"Zafonte","given":"Ross"},{"family":"Faraone","given":"Stephen V."}],"issued":{"date-parts":[["2015",11]]}}}],"schema":"https://github.com/citation-style-language/schema/raw/master/csl-citation.json"}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86.21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206</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Bigler</w:t>
            </w:r>
            <w:proofErr w:type="spellEnd"/>
            <w:r w:rsidRPr="00563EB7">
              <w:rPr>
                <w:rFonts w:ascii="Arial" w:hAnsi="Arial" w:cs="Arial"/>
                <w:sz w:val="20"/>
                <w:szCs w:val="20"/>
              </w:rPr>
              <w:t xml:space="preserve">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du7cn1jic","properties":{"formattedCitation":"[12]","plainCitation":"[12]"},"citationItems":[{"id":1816,"uris":["http://zotero.org/users/1562642/items/CQGPDQFD"],"uri":["http://zotero.org/users/1562642/items/CQGPDQFD"],"itemData":{"id":1816,"type":"article-journal","title":"Day of injury CT and late MRI findings: Cognitive outcome in a paediatric sample with complicated mild traumatic brain injury","container-title":"Brain Injury","page":"1062-1070","volume":"29","issue":"9","source":"EBSCOhost","abstract":"Objectives: Complicated mild traumatic brain injury (mTBI) or cmTBI is based on the presence of visibly identifiable brain pathology on the day-of-injury computed tomography (CT) scan. In a paediatric sample the relation of DOI CT to late MRI findings and neuropsychological outcome was examined. Methods: MRI (&gt;12 months) was obtained in paediatric cmTBI patients and a sample of orthopaedically injured (OI) children. Those children with positive imaging findings (MRI+) were quantitatively compared to those without (MRI−) or with the OI sample. Groups were also compared in neurocognitive outcome from WASI sub-tests and the WISC-IV Processing Speed Index (PSI), along with the Test of Everyday Attention for Children (TEA-Ch) and a parent-rated behavioural functioning measure (ABAS-II). Results: Despite the MRI+ group having significantly more DOI CT findings than the MRI− group, no quantitative differences were found. WASI Vocabulary and Matrix Reasoning scores were significantly lower, but not PSI, TEA-Ch or ABAS-II scores. MRI+ and MRI− groups did not differ on these measures. Conclusions: Heterogeneity in the occurrence of MRI-identified focal pathology was not associated with uniform changes in quantitative analyses of brain structure in cmTBI. Increased number of DOI CT abnormalities was associated with lowered neuropsychological performance.","DOI":"10.3109/02699052.2015.1011234","ISSN":"02699052","shortTitle":"Day of injury CT and late MRI findings","journalAbbreviation":"Brain Injury","author":[{"family":"Bigler","given":"Erin D."},{"family":"Jantz","given":"Paul B."},{"family":"Farrer","given":"Thomas J."},{"family":"Abildskov","given":"Tracy J."},{"family":"Dennis","given":"Maureen"},{"family":"Gerhardt","given":"Cynthia A."},{"family":"Rubin","given":"Kenneth H."},{"family":"Stancin","given":"Terry"},{"family":"Taylor","given":"H. Gerry"},{"family":"Vannatta","given":"Kathryn"},{"family":"Yeates","given":"Keith Owen"}],"issued":{"date-parts":[["2015",8]]}}}],"schema":"https://github.com/citation-style-language/schema/raw/master/csl-citation.json"}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Multiple countries</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84.52</w:t>
            </w:r>
          </w:p>
          <w:p w:rsidR="00F537B6" w:rsidRPr="00563EB7" w:rsidRDefault="00F537B6" w:rsidP="00F537B6">
            <w:pPr>
              <w:rPr>
                <w:rFonts w:ascii="Arial" w:hAnsi="Arial" w:cs="Arial"/>
                <w:sz w:val="20"/>
                <w:szCs w:val="20"/>
              </w:rPr>
            </w:pPr>
            <w:r w:rsidRPr="00563EB7">
              <w:rPr>
                <w:rFonts w:ascii="Arial" w:hAnsi="Arial" w:cs="Arial"/>
                <w:sz w:val="20"/>
                <w:szCs w:val="20"/>
              </w:rPr>
              <w:t>Multicultural, 8.33</w:t>
            </w:r>
          </w:p>
          <w:p w:rsidR="00F537B6" w:rsidRPr="00563EB7" w:rsidRDefault="00F537B6" w:rsidP="00F537B6">
            <w:pPr>
              <w:rPr>
                <w:rFonts w:ascii="Arial" w:hAnsi="Arial" w:cs="Arial"/>
                <w:sz w:val="20"/>
                <w:szCs w:val="20"/>
              </w:rPr>
            </w:pPr>
            <w:r w:rsidRPr="00563EB7">
              <w:rPr>
                <w:rFonts w:ascii="Arial" w:hAnsi="Arial" w:cs="Arial"/>
                <w:sz w:val="20"/>
                <w:szCs w:val="20"/>
              </w:rPr>
              <w:t>African or Caribbean, 4.76</w:t>
            </w:r>
          </w:p>
          <w:p w:rsidR="00F537B6" w:rsidRPr="00563EB7" w:rsidRDefault="00F537B6" w:rsidP="00F537B6">
            <w:pPr>
              <w:rPr>
                <w:rFonts w:ascii="Arial" w:hAnsi="Arial" w:cs="Arial"/>
                <w:sz w:val="20"/>
                <w:szCs w:val="20"/>
              </w:rPr>
            </w:pPr>
            <w:r w:rsidRPr="00563EB7">
              <w:rPr>
                <w:rFonts w:ascii="Arial" w:hAnsi="Arial" w:cs="Arial"/>
                <w:sz w:val="20"/>
                <w:szCs w:val="20"/>
              </w:rPr>
              <w:t>Unspecified, 2.38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207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Blake, </w:t>
            </w:r>
            <w:proofErr w:type="spellStart"/>
            <w:r w:rsidRPr="00563EB7">
              <w:rPr>
                <w:rFonts w:ascii="Arial" w:hAnsi="Arial" w:cs="Arial"/>
                <w:sz w:val="20"/>
                <w:szCs w:val="20"/>
              </w:rPr>
              <w:t>Ott</w:t>
            </w:r>
            <w:proofErr w:type="spellEnd"/>
            <w:r w:rsidRPr="00563EB7">
              <w:rPr>
                <w:rFonts w:ascii="Arial" w:hAnsi="Arial" w:cs="Arial"/>
                <w:sz w:val="20"/>
                <w:szCs w:val="20"/>
              </w:rPr>
              <w:t xml:space="preserve">, </w:t>
            </w:r>
            <w:proofErr w:type="spellStart"/>
            <w:r w:rsidRPr="00563EB7">
              <w:rPr>
                <w:rFonts w:ascii="Arial" w:hAnsi="Arial" w:cs="Arial"/>
                <w:sz w:val="20"/>
                <w:szCs w:val="20"/>
              </w:rPr>
              <w:t>Villanyi</w:t>
            </w:r>
            <w:proofErr w:type="spellEnd"/>
            <w:r w:rsidRPr="00563EB7">
              <w:rPr>
                <w:rFonts w:ascii="Arial" w:hAnsi="Arial" w:cs="Arial"/>
                <w:sz w:val="20"/>
                <w:szCs w:val="20"/>
              </w:rPr>
              <w:t xml:space="preserve">, </w:t>
            </w:r>
            <w:proofErr w:type="spellStart"/>
            <w:r w:rsidRPr="00563EB7">
              <w:rPr>
                <w:rFonts w:ascii="Arial" w:hAnsi="Arial" w:cs="Arial"/>
                <w:sz w:val="20"/>
                <w:szCs w:val="20"/>
              </w:rPr>
              <w:t>Kazhuro</w:t>
            </w:r>
            <w:proofErr w:type="spellEnd"/>
            <w:r w:rsidRPr="00563EB7">
              <w:rPr>
                <w:rFonts w:ascii="Arial" w:hAnsi="Arial" w:cs="Arial"/>
                <w:sz w:val="20"/>
                <w:szCs w:val="20"/>
              </w:rPr>
              <w:t>, &amp; Schatz,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mvt9nfjvv","properties":{"formattedCitation":"[13]","plainCitation":"[13]"},"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US or Canada, 68.33</w:t>
            </w:r>
          </w:p>
          <w:p w:rsidR="00F537B6" w:rsidRPr="00563EB7" w:rsidRDefault="00F537B6" w:rsidP="00F537B6">
            <w:pPr>
              <w:rPr>
                <w:rFonts w:ascii="Arial" w:hAnsi="Arial" w:cs="Arial"/>
                <w:sz w:val="20"/>
                <w:szCs w:val="20"/>
              </w:rPr>
            </w:pPr>
            <w:r w:rsidRPr="00563EB7">
              <w:rPr>
                <w:rFonts w:ascii="Arial" w:hAnsi="Arial" w:cs="Arial"/>
                <w:sz w:val="20"/>
                <w:szCs w:val="20"/>
              </w:rPr>
              <w:t>Mexico, 25</w:t>
            </w:r>
          </w:p>
          <w:p w:rsidR="00F537B6" w:rsidRPr="00563EB7" w:rsidRDefault="00F537B6" w:rsidP="00F537B6">
            <w:pPr>
              <w:rPr>
                <w:rFonts w:ascii="Arial" w:hAnsi="Arial" w:cs="Arial"/>
                <w:sz w:val="20"/>
                <w:szCs w:val="20"/>
              </w:rPr>
            </w:pPr>
            <w:r w:rsidRPr="00563EB7">
              <w:rPr>
                <w:rFonts w:ascii="Arial" w:hAnsi="Arial" w:cs="Arial"/>
                <w:sz w:val="20"/>
                <w:szCs w:val="20"/>
              </w:rPr>
              <w:t>South America, 8.33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503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Boake</w:t>
            </w:r>
            <w:proofErr w:type="spellEnd"/>
            <w:r w:rsidRPr="00563EB7">
              <w:rPr>
                <w:rFonts w:ascii="Arial" w:hAnsi="Arial" w:cs="Arial"/>
                <w:sz w:val="20"/>
                <w:szCs w:val="20"/>
              </w:rPr>
              <w:t xml:space="preserve"> et al., 2004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27sabu4qu0","properties":{"formattedCitation":"[14]","plainCitation":"[14]"},"citationItems":[{"id":4610,"uris":["http://zotero.org/users/1562642/items/2DFPGPBR"],"uri":["http://zotero.org/users/1562642/items/2DFPGPBR"],"itemData":{"id":4610,"type":"article-journal","title":"Limited agreement between criteria-based diagnoses of postconcussional syndrome","container-title":"The Journal of Neuropsychiatry and Clinical Neurosciences","page":"493-499","volume":"16","issue":"4","source":"EBSCOhost","archive_location":"2004-22315-013","abstract":"The objectives of this study were to compare diagnoses of postconcussional syndrome between the International Classification of Diseases, 10th revision (ICD-10) and Diagnostic and Statistical Manual of Mental Disorders, 4th ed. (DSM-IV). The patient sample was comprised of 178 adults with mild-moderate traumatic brain injury (TBI). The study design was inception cohort, and the main outcome measure was a structured interview 3 months after injury. The results were that, despite concordance of DSM-IV and ICD-10 symptom criteria (kappa - 0.73), agreement between overall DSM-IV and ICD-10 diagnoses was slight (kappa = 0.13) because fewer patients met the DSM-IV cognitive deficit and clinical significance criteria. Agreement between DSM-IV postconcussional disorder and ICD-10 postconcussional syndrome appears limited by different prevalences and thresholds. (PsycINFO Database Record (c) 2015 APA, all rights reserved). (journal abstract)","DOI":"10.1176/appi.neuropsych.16.4.493","ISSN":"0895-0172","journalAbbreviation":"The Journal of Neuropsychiatry and Clinical Neurosciences","author":[{"family":"Boake","given":"Corwin"},{"family":"McCauley","given":"Stephen R."},{"family":"Levin","given":"Harvey S."},{"family":"Contant","given":"Charles F."},{"family":"Song","given":"James X."},{"family":"Brown","given":"Sharon A."},{"family":"Goodman","given":"Heather S."},{"family":"Brundage","given":"Susan I."},{"family":"Diaz-Marchan","given":"Pedro J."},{"family":"Merritt","given":"Shirley G."}],"issued":{"date-parts":[["2004"]],"season":"Fal"}}}],"schema":"https://github.com/citation-style-language/schema/raw/master/csl-citation.json"}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448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Hispanic, 57.59</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26.12</w:t>
            </w:r>
          </w:p>
          <w:p w:rsidR="00F537B6" w:rsidRPr="00563EB7" w:rsidRDefault="00F537B6" w:rsidP="00F537B6">
            <w:pPr>
              <w:rPr>
                <w:rFonts w:ascii="Arial" w:hAnsi="Arial" w:cs="Arial"/>
                <w:sz w:val="20"/>
                <w:szCs w:val="20"/>
              </w:rPr>
            </w:pPr>
            <w:r w:rsidRPr="00563EB7">
              <w:rPr>
                <w:rFonts w:ascii="Arial" w:hAnsi="Arial" w:cs="Arial"/>
                <w:sz w:val="20"/>
                <w:szCs w:val="20"/>
              </w:rPr>
              <w:t>Caucasian, 13.62</w:t>
            </w:r>
          </w:p>
          <w:p w:rsidR="00F537B6" w:rsidRPr="00563EB7" w:rsidRDefault="00F537B6" w:rsidP="00F537B6">
            <w:pPr>
              <w:rPr>
                <w:rFonts w:ascii="Arial" w:hAnsi="Arial" w:cs="Arial"/>
                <w:sz w:val="20"/>
                <w:szCs w:val="20"/>
              </w:rPr>
            </w:pPr>
            <w:r w:rsidRPr="00563EB7">
              <w:rPr>
                <w:rFonts w:ascii="Arial" w:hAnsi="Arial" w:cs="Arial"/>
                <w:sz w:val="20"/>
                <w:szCs w:val="20"/>
              </w:rPr>
              <w:t>Other, 2.68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209</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Bolzenius</w:t>
            </w:r>
            <w:proofErr w:type="spellEnd"/>
            <w:r w:rsidRPr="00563EB7">
              <w:rPr>
                <w:rFonts w:ascii="Arial" w:hAnsi="Arial" w:cs="Arial"/>
                <w:sz w:val="20"/>
                <w:szCs w:val="20"/>
              </w:rPr>
              <w:t xml:space="preserve">, </w:t>
            </w:r>
            <w:proofErr w:type="spellStart"/>
            <w:r w:rsidRPr="00563EB7">
              <w:rPr>
                <w:rFonts w:ascii="Arial" w:hAnsi="Arial" w:cs="Arial"/>
                <w:sz w:val="20"/>
                <w:szCs w:val="20"/>
              </w:rPr>
              <w:t>Roskos</w:t>
            </w:r>
            <w:proofErr w:type="spellEnd"/>
            <w:r w:rsidRPr="00563EB7">
              <w:rPr>
                <w:rFonts w:ascii="Arial" w:hAnsi="Arial" w:cs="Arial"/>
                <w:sz w:val="20"/>
                <w:szCs w:val="20"/>
              </w:rPr>
              <w:t xml:space="preserve">, </w:t>
            </w:r>
            <w:proofErr w:type="spellStart"/>
            <w:r w:rsidRPr="00563EB7">
              <w:rPr>
                <w:rFonts w:ascii="Arial" w:hAnsi="Arial" w:cs="Arial"/>
                <w:sz w:val="20"/>
                <w:szCs w:val="20"/>
              </w:rPr>
              <w:t>Salminen</w:t>
            </w:r>
            <w:proofErr w:type="spellEnd"/>
            <w:r w:rsidRPr="00563EB7">
              <w:rPr>
                <w:rFonts w:ascii="Arial" w:hAnsi="Arial" w:cs="Arial"/>
                <w:sz w:val="20"/>
                <w:szCs w:val="20"/>
              </w:rPr>
              <w:t xml:space="preserve">, Paul, &amp; </w:t>
            </w:r>
            <w:proofErr w:type="spellStart"/>
            <w:r w:rsidRPr="00563EB7">
              <w:rPr>
                <w:rFonts w:ascii="Arial" w:hAnsi="Arial" w:cs="Arial"/>
                <w:sz w:val="20"/>
                <w:szCs w:val="20"/>
              </w:rPr>
              <w:t>Bucholz</w:t>
            </w:r>
            <w:proofErr w:type="spellEnd"/>
            <w:r w:rsidRPr="00563EB7">
              <w:rPr>
                <w:rFonts w:ascii="Arial" w:hAnsi="Arial" w:cs="Arial"/>
                <w:sz w:val="20"/>
                <w:szCs w:val="20"/>
              </w:rPr>
              <w:t>,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26ej3f49be","properties":{"formattedCitation":"[15]","plainCitation":"[15]"},"citationItems":[{"id":5050,"uris":["http://zotero.org/users/1562642/items/QDFTHF7F"],"uri":["http://zotero.org/users/1562642/items/QDFTHF7F"],"itemData":{"id":5050,"type":"article-journal","title":"Cognitive and self-reported psychological outcomes of blast-induced mild traumatic brain injury in veterans: a preliminary study","container-title":"Applied Neuropsychology: Adult","page":"79-87","volume":"22","issue":"2","source":"EBSCOhost","abstract":"The increased use of explosives in combat has resulted in a large number of returning veterans suffering from blast-related mild traumatic brain injury (mTBI) and self-reported complications. It remains unclear whether this increase in self-reported difficulties is unique to the blast mechanism or stressful preinjury environment and whether cognitive-functioning deficits correspond with these difficulties in the postacute phase. This study examined the relationship between cognitive performance and self-reported psychological and somatic symptoms of blast-related mTBI compared with civilian mTBI, independent of comorbid posttraumatic stress disorder (PTSD) symptoms. Twelve veterans with blast-related mTBI were compared to 18 individuals with civilian mTBI on cognitive tests and self-report questionnaires. Univariate analyses failed to reveal differences on any individual cognitive test. Further, veterans reported more psychological and somatic complaints. These self-reported difficulties were not significantly correlated with neuropsychological performance. Overall, preliminary results suggest that in the postacute phase, subjective complaints related to blast-related mTBI do not covary with objective cognitive performance. Additionally, cognitive outcomes from blast-related mTBI were similar to those of civilian forms of mTBI. Future studies should identify the cognitive and self-reported sequelae of blast-related mTBI independent of comorbid PTSD in a larger sample of veterans.","DOI":"10.1080/23279095.2013.845823","ISSN":"09084282","shortTitle":"Cognitive and Self-Reported Psychological Outcomes of Blast-Induced Mild Traumatic Brain Injury in Veterans","journalAbbreviation":"Applied Neuropsychology: Adult","author":[{"family":"Bolzenius","given":"Jacob D."},{"family":"Roskos","given":"P. Tyler"},{"family":"Salminen","given":"Lauren E."},{"family":"Paul","given":"Robert H."},{"family":"Bucholz","given":"Richard D."}],"issued":{"date-parts":[["2015",4,3]]}}}],"schema":"https://github.com/citation-style-language/schema/raw/master/csl-citation.json"}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93.33</w:t>
            </w:r>
          </w:p>
          <w:p w:rsidR="00F537B6" w:rsidRPr="00563EB7" w:rsidRDefault="00F537B6" w:rsidP="00F537B6">
            <w:pPr>
              <w:rPr>
                <w:rFonts w:ascii="Arial" w:hAnsi="Arial" w:cs="Arial"/>
                <w:sz w:val="20"/>
                <w:szCs w:val="20"/>
              </w:rPr>
            </w:pPr>
            <w:r w:rsidRPr="00563EB7">
              <w:rPr>
                <w:rFonts w:ascii="Arial" w:hAnsi="Arial" w:cs="Arial"/>
                <w:sz w:val="20"/>
                <w:szCs w:val="20"/>
              </w:rPr>
              <w:t>African-American, 6.67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1008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Brooks, </w:t>
            </w:r>
            <w:proofErr w:type="spellStart"/>
            <w:r w:rsidRPr="00563EB7">
              <w:rPr>
                <w:rFonts w:ascii="Arial" w:hAnsi="Arial" w:cs="Arial"/>
                <w:sz w:val="20"/>
                <w:szCs w:val="20"/>
              </w:rPr>
              <w:t>Daya</w:t>
            </w:r>
            <w:proofErr w:type="spellEnd"/>
            <w:r w:rsidRPr="00563EB7">
              <w:rPr>
                <w:rFonts w:ascii="Arial" w:hAnsi="Arial" w:cs="Arial"/>
                <w:sz w:val="20"/>
                <w:szCs w:val="20"/>
              </w:rPr>
              <w:t>, et al.,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p64gv04t4","properties":{"formattedCitation":"[16]","plainCitation":"[16]"},"citationItems":[{"id":5361,"uris":["http://zotero.org/users/1562642/items/KMFFBKRW"],"uri":["http://zotero.org/users/1562642/items/KMFFBKRW"],"itemData":{"id":5361,"type":"article-journal","title":"Cognition in the emergency department as a predictor of recovery after pediatric mild traumatic brain injury","container-title":"Journal of the International Neuropsychological Society","page":"379-387","volume":"22","issue":"4","source":"EBSCOhost","archive_location":"2016-03688-001","abstract":"Abstract Cognitive abilities can be acutely disrupted in children and adolescents who sustain a mild traumatic brain injury (mTBI), with the potential that these disruptions may be predictive of recovery. The objective of this study was to determine if cognitive abilities in the emergency department (ED) can differentiate and predict poor symptom recovery following a pediatric mTBI. Participants included 77 male and female youth with a mTBI (mean age=13.6; SD=2.6). All participants completed computerized cognitive testing (four subtests from the CNS Vital Signs) when they presented to the ED. Symptom measurement occurred in the ED (for pre-injury), at 7–10 days, 1 month, 2 months, and 3 months post-mTBI using the post-concussion symptom inventory (PCSI). Recovery was determined using reliable change scores for symptom ratings from 28 orthopedic injury controls (mean age=13.9 years; SD=2.1). Significantly worse Reaction Time scores (i.e., rapid information processing) in the ED were found in those who remained symptomatic at 1 month. Performances on the Reaction Time and Cognitive Flexibility domain scores were predictive of symptom outcome at 1 month for youth (above and beyond sex and baseline symptom burden). Youth with low scores on Reaction Time and/or Cognitive Flexibility were nearly 15 times (95%CI=1.8–323.5) more likely to remain symptomatic at 1 month post-mTBI. No significant group differences were found at 7–10 days, 2 months, or 3 months post-injury. Rapid computerized cognitive testing in the ED following a mTBI may help clinicians predict which youth may or may not remain symptomatic at follow-up. (JINS, 2016, 21, 1–9) (PsycINFO Database Record (c) 2016 APA, all rights reserved). (journal abstract)","DOI":"10.1017/S1355617715001368","ISSN":"1355-6177","journalAbbreviation":"Journal of the International Neuropsychological Society","author":[{"family":"Brooks","given":"Brian L."},{"family":"Daya","given":"Hussain"},{"family":"Khan","given":"Samna"},{"family":"Carlson","given":"Helen L."},{"family":"Mikrogianakis","given":"Angelo"},{"family":"Barlow","given":"Karen M."}],"issued":{"date-parts":[["2016"]]}}}],"schema":"https://github.com/citation-style-language/schema/raw/master/csl-citation.json"}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Canada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87.62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1160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Brooks, Khan, </w:t>
            </w:r>
            <w:proofErr w:type="spellStart"/>
            <w:r w:rsidRPr="00563EB7">
              <w:rPr>
                <w:rFonts w:ascii="Arial" w:hAnsi="Arial" w:cs="Arial"/>
                <w:sz w:val="20"/>
                <w:szCs w:val="20"/>
              </w:rPr>
              <w:t>Daya</w:t>
            </w:r>
            <w:proofErr w:type="spellEnd"/>
            <w:r w:rsidRPr="00563EB7">
              <w:rPr>
                <w:rFonts w:ascii="Arial" w:hAnsi="Arial" w:cs="Arial"/>
                <w:sz w:val="20"/>
                <w:szCs w:val="20"/>
              </w:rPr>
              <w:t xml:space="preserve">, </w:t>
            </w:r>
            <w:proofErr w:type="spellStart"/>
            <w:r w:rsidRPr="00563EB7">
              <w:rPr>
                <w:rFonts w:ascii="Arial" w:hAnsi="Arial" w:cs="Arial"/>
                <w:sz w:val="20"/>
                <w:szCs w:val="20"/>
              </w:rPr>
              <w:t>Mikrogianakis</w:t>
            </w:r>
            <w:proofErr w:type="spellEnd"/>
            <w:r w:rsidRPr="00563EB7">
              <w:rPr>
                <w:rFonts w:ascii="Arial" w:hAnsi="Arial" w:cs="Arial"/>
                <w:sz w:val="20"/>
                <w:szCs w:val="20"/>
              </w:rPr>
              <w:t>, &amp; Barlow,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sh9s113tu","properties":{"formattedCitation":"[17]","plainCitation":"[17]"},"citationItems":[{"id":5508,"uris":["http://zotero.org/users/1562642/items/CHWZNBNI"],"uri":["http://zotero.org/users/1562642/items/CHWZNBNI"],"itemData":{"id":5508,"type":"article-journal","title":"Neurocognition in the emergency department after a mild traumatic brain injury in youth","container-title":"Journal of Neurotrauma","page":"1744-1749","volume":"31","issue":"20","source":"EBSCOhost","archive_location":"2014-42466-008","abstract":"The early cognitive effects from a mild traumatic brain injury (mTBI) are poorly understood in youth. The aim of this study was to examine acute neurocognitive functioning in children and adolescents who presented to the emergency department (ED) after an mTBI. Youth 8–17 years of age with an mTBI (n = 77; mean age, 13.6 years; 95% confidence interval [CI], 13.0–14.2) and an orthopedic injury control (OIC) group (n = 28; mean age, 13.9 years; 95% CI, 13.1–14.7) underwent a very brief computerized neurocognitive assessment (four subtests from CNS Vital Signs) in a pediatric trauma hospital ED. The mTBI and OIC groups were not significantly different on age, gender, handedness, computer familiarity, race, median family income, pain rating scales, or time from injury to assessment. There were no significant differences between the mTBI and OIC groups for accuracy on immediate memory, delayed memory, and measures of attention and executive functioning. However, the mTBI group performed significantly worse than the OIC on nearly all measures of psychomotor speed and reaction time. Further, cognitive functioning appears to worsen as more time passes since the mTBI. Neurocognitive deficits are detectable in youth with an mTBI who present to the ED, despite having a Glasgow Coma Scale score of 15/15 and normal neuroimaging (or their presentation does not warrant neuroimaging). Their profile appears to include preserved accuracy on cognitive measures, but at the expense of slower psychomotor speed and longer reaction time. (PsycINFO Database Record (c) 2015 APA, all rights reserved). (journal abstract)","DOI":"10.1089/neu.2014.3356","ISSN":"0897-7151","journalAbbreviation":"Journal of Neurotrauma","author":[{"family":"Brooks","given":"Brian L."},{"family":"Khan","given":"Samna"},{"family":"Daya","given":"Hussain"},{"family":"Mikrogianakis","given":"Angelo"},{"family":"Barlow","given":"Karen M."}],"issued":{"date-parts":[["2014",10,15]]}}}],"schema":"https://github.com/citation-style-language/schema/raw/master/csl-citation.json"}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Canada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87.62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49</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Broshek</w:t>
            </w:r>
            <w:proofErr w:type="spellEnd"/>
            <w:r w:rsidRPr="00563EB7">
              <w:rPr>
                <w:rFonts w:ascii="Arial" w:hAnsi="Arial" w:cs="Arial"/>
                <w:sz w:val="20"/>
                <w:szCs w:val="20"/>
              </w:rPr>
              <w:t xml:space="preserve"> et al., 2005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vp2e908t1","properties":{"formattedCitation":"[18]","plainCitation":"[18]"},"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131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68.7</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22.9</w:t>
            </w:r>
          </w:p>
          <w:p w:rsidR="00F537B6" w:rsidRPr="00563EB7" w:rsidRDefault="00F537B6" w:rsidP="00F537B6">
            <w:pPr>
              <w:rPr>
                <w:rFonts w:ascii="Arial" w:hAnsi="Arial" w:cs="Arial"/>
                <w:sz w:val="20"/>
                <w:szCs w:val="20"/>
              </w:rPr>
            </w:pPr>
            <w:r w:rsidRPr="00563EB7">
              <w:rPr>
                <w:rFonts w:ascii="Arial" w:hAnsi="Arial" w:cs="Arial"/>
                <w:sz w:val="20"/>
                <w:szCs w:val="20"/>
              </w:rPr>
              <w:t>Other, 7.63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955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Clark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k8vjm25lj","properties":{"formattedCitation":"[19]","plainCitation":"[19]"},"citationItems":[{"id":5303,"uris":["http://zotero.org/users/1562642/items/7MQDSZ6K"],"uri":["http://zotero.org/users/1562642/items/7MQDSZ6K"],"itemData":{"id":5303,"type":"article-journal","title":"White Matter Associations With Performance Validity Testing in Veterans With Mild Traumatic Brain Injury: The Utility of Biomarkers in Complicated Assessment","container-title":"The Journal Of Head Trauma Rehabilitation","source":"EBSCOhost","archive_location":"26360002","abstract":"Objective: Failure on performance validity tests (PVTs) is common in Veterans with histories of mild traumatic brain injury (mTBI), leading to questionable validity of clinical presentations.; Participants: Using diffusion tensor imaging, we investigated white matter (WM) integrity and cognition in 79 Veterans with history of mTBI who passed PVTs (n = 43; traumatic brain injury [TBI]-passed), history of mTBI who failed at least 1 PVT (n = 13; TBI-failed), and military controls (n = 23; MCs) with no history of TBI.; Results: The TBI-failed group demonstrated significantly lower cognitive scores relative to MCs and the TBI-passed group; however, no such differences were observed between MCs and the TBI-passed group. On a global measure of WM integrity (ie, WM burden), the TBI-failed group showed more overall WM abnormalities than the other groups. However, no differences were observed between the MCs and TBI-passed group on WM burden. Interestingly, regional WM analyses revealed abnormalities in the anterior internal capsule and cingulum of both TBI subgroups relative to MCs. Moreover, compared with the TBI-passed group, the TBI-failed group demonstrated significantly decreased WM integrity in the corpus callosum.; Conclusions: Findings revealed that, within our sample, WM abnormalities are evident in those who fail PVTs. This study adds to the burgeoning PVT literature by suggesting that poor PVT performance does not negate the possibility of underlying WM abnormalities in military personnel with history of mTBI.;","ISSN":"1550-509X","shortTitle":"White Matter Associations With Performance Validity Testing in Veterans With Mild Traumatic Brain Injury","journalAbbreviation":"The Journal Of Head Trauma Rehabilitation","author":[{"family":"Clark","given":"Alexandra L"},{"family":"Sorg","given":"Scott F"},{"family":"Schiehser","given":"Dawn M"},{"family":"Bigler","given":"Erin D"},{"family":"Bondi","given":"Mark W"},{"family":"Jacobson","given":"Mark W"},{"family":"Jak","given":"Amy J"},{"family":"Delano-Wood","given":"Lisa"}],"issued":{"date-parts":[["2015",9,10]]}}}],"schema":"https://github.com/citation-style-language/schema/raw/master/csl-citation.json"}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[19]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56.96</w:t>
            </w:r>
          </w:p>
          <w:p w:rsidR="00F537B6" w:rsidRPr="00563EB7" w:rsidRDefault="00F537B6" w:rsidP="00F537B6">
            <w:pPr>
              <w:rPr>
                <w:rFonts w:ascii="Arial" w:hAnsi="Arial" w:cs="Arial"/>
                <w:sz w:val="20"/>
                <w:szCs w:val="20"/>
              </w:rPr>
            </w:pPr>
            <w:r w:rsidRPr="00563EB7">
              <w:rPr>
                <w:rFonts w:ascii="Arial" w:hAnsi="Arial" w:cs="Arial"/>
                <w:sz w:val="20"/>
                <w:szCs w:val="20"/>
              </w:rPr>
              <w:t>Hispanic, 21.52</w:t>
            </w:r>
          </w:p>
          <w:p w:rsidR="00F537B6" w:rsidRPr="00563EB7" w:rsidRDefault="00F537B6" w:rsidP="00F537B6">
            <w:pPr>
              <w:rPr>
                <w:rFonts w:ascii="Arial" w:hAnsi="Arial" w:cs="Arial"/>
                <w:sz w:val="20"/>
                <w:szCs w:val="20"/>
              </w:rPr>
            </w:pPr>
            <w:r w:rsidRPr="00563EB7">
              <w:rPr>
                <w:rFonts w:ascii="Arial" w:hAnsi="Arial" w:cs="Arial"/>
                <w:sz w:val="20"/>
                <w:szCs w:val="20"/>
              </w:rPr>
              <w:t>African-American, 7.59</w:t>
            </w:r>
          </w:p>
          <w:p w:rsidR="00F537B6" w:rsidRPr="00563EB7" w:rsidRDefault="00F537B6" w:rsidP="00F537B6">
            <w:pPr>
              <w:rPr>
                <w:rFonts w:ascii="Arial" w:hAnsi="Arial" w:cs="Arial"/>
                <w:sz w:val="20"/>
                <w:szCs w:val="20"/>
              </w:rPr>
            </w:pPr>
            <w:r w:rsidRPr="00563EB7">
              <w:rPr>
                <w:rFonts w:ascii="Arial" w:hAnsi="Arial" w:cs="Arial"/>
                <w:sz w:val="20"/>
                <w:szCs w:val="20"/>
              </w:rPr>
              <w:t>Other, 7.59</w:t>
            </w:r>
          </w:p>
          <w:p w:rsidR="00F537B6" w:rsidRPr="00563EB7" w:rsidRDefault="00F537B6" w:rsidP="00F537B6">
            <w:pPr>
              <w:rPr>
                <w:rFonts w:ascii="Arial" w:hAnsi="Arial" w:cs="Arial"/>
                <w:sz w:val="20"/>
                <w:szCs w:val="20"/>
              </w:rPr>
            </w:pPr>
            <w:r w:rsidRPr="00563EB7">
              <w:rPr>
                <w:rFonts w:ascii="Arial" w:hAnsi="Arial" w:cs="Arial"/>
                <w:sz w:val="20"/>
                <w:szCs w:val="20"/>
              </w:rPr>
              <w:t>Asian, 6.33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119</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Classen</w:t>
            </w:r>
            <w:proofErr w:type="spellEnd"/>
            <w:r w:rsidRPr="00563EB7">
              <w:rPr>
                <w:rFonts w:ascii="Arial" w:hAnsi="Arial" w:cs="Arial"/>
                <w:sz w:val="20"/>
                <w:szCs w:val="20"/>
              </w:rPr>
              <w:t xml:space="preserve"> et al., 2011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27t9s9puhk","properties":{"formattedCitation":"[20]","plainCitation":"[20]"},"citationItems":[{"id":5065,"uris":["http://zotero.org/users/1562642/items/P6W94589"],"uri":["http://zotero.org/users/1562642/items/P6W94589"],"itemData":{"id":5065,"type":"article-journal","title":"Simulated driving performance of combat veterans with mild traumatic brain injury and posttraumatic stress disorder: A pilot study","container-title":"American Journal of Occupational Therapy","page":"41-427","volume":"65","issue":"4","source":"EBSCOhost","archive_location":"2011-14628-008","abstract":"Objective: We determined differences in driving errors between combat veterans with mild traumatic brain injury and posttraumatic stress disorder and healthy control participants. Method: We compared 18 post deployed combat veterans with 20 control participants on driving errors in a driving simulator. Results: Combat veterans were more likely to be male; were younger; and had more racial diversity, less formal education, and lower cognitive scores than control participants. Control participants made more signaling errors (t [19] = −2.138, p = .046, SE = 0.395), but combat veterans made more over speeding (t [17.3] = 4.095, p = .001, SE = 0.708) and adjustment-to-stimuli (t [17] = 2.380, p = .029, SE = 0.140) errors. Young age was related to over speeding. Conclusion: Combat veterans made more critical driving errors than did control participants. Such errors made on the road may lead to crashes or injuries. Although limited in generalizability, these findings provide early support for developing safe driving interventions for combat veterans. (PsycINFO Database Record (c) 2012 APA, all rights reserved). (journal abstract)","DOI":"10.5014/ajot.2011.000893","ISSN":"0272-9490","shortTitle":"Simulated driving performance of combat veterans with mild traumatic brain injury and posttraumatic stress disorder","journalAbbreviation":"American Journal of Occupational Therapy","author":[{"family":"Classen","given":"Sherrilene"},{"family":"Levy","given":"Charles"},{"family":"Meyer","given":"Dustin L."},{"family":"Bewernitz","given":"Megan"},{"family":"Lanford","given":"Desiree N."},{"family":"Mann","given":"William C."}],"issued":{"date-parts":[["2011",7]]}}}],"schema":"https://github.com/citation-style-language/schema/raw/master/csl-citation.json"}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68.42</w:t>
            </w:r>
          </w:p>
          <w:p w:rsidR="00F537B6" w:rsidRPr="00563EB7" w:rsidRDefault="00F537B6" w:rsidP="00F537B6">
            <w:pPr>
              <w:rPr>
                <w:rFonts w:ascii="Arial" w:hAnsi="Arial" w:cs="Arial"/>
                <w:sz w:val="20"/>
                <w:szCs w:val="20"/>
              </w:rPr>
            </w:pPr>
            <w:r w:rsidRPr="00563EB7">
              <w:rPr>
                <w:rFonts w:ascii="Arial" w:hAnsi="Arial" w:cs="Arial"/>
                <w:sz w:val="20"/>
                <w:szCs w:val="20"/>
              </w:rPr>
              <w:t>Other, 28.95</w:t>
            </w:r>
          </w:p>
          <w:p w:rsidR="00F537B6" w:rsidRPr="00563EB7" w:rsidRDefault="00F537B6" w:rsidP="00F537B6">
            <w:pPr>
              <w:rPr>
                <w:rFonts w:ascii="Arial" w:hAnsi="Arial" w:cs="Arial"/>
                <w:sz w:val="20"/>
                <w:szCs w:val="20"/>
              </w:rPr>
            </w:pPr>
            <w:r w:rsidRPr="00563EB7">
              <w:rPr>
                <w:rFonts w:ascii="Arial" w:hAnsi="Arial" w:cs="Arial"/>
                <w:sz w:val="20"/>
                <w:szCs w:val="20"/>
              </w:rPr>
              <w:t>Missing, 2.63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1166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Cole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136u7dtdfm","properties":{"formattedCitation":"[21]","plainCitation":"[21]"},"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419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60.14</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17.42</w:t>
            </w:r>
          </w:p>
          <w:p w:rsidR="00F537B6" w:rsidRPr="00563EB7" w:rsidRDefault="00F537B6" w:rsidP="00F537B6">
            <w:pPr>
              <w:rPr>
                <w:rFonts w:ascii="Arial" w:hAnsi="Arial" w:cs="Arial"/>
                <w:sz w:val="20"/>
                <w:szCs w:val="20"/>
              </w:rPr>
            </w:pPr>
            <w:r w:rsidRPr="00563EB7">
              <w:rPr>
                <w:rFonts w:ascii="Arial" w:hAnsi="Arial" w:cs="Arial"/>
                <w:sz w:val="20"/>
                <w:szCs w:val="20"/>
              </w:rPr>
              <w:t>Latino, 12.89</w:t>
            </w:r>
          </w:p>
          <w:p w:rsidR="00F537B6" w:rsidRPr="00563EB7" w:rsidRDefault="00F537B6" w:rsidP="00F537B6">
            <w:pPr>
              <w:rPr>
                <w:rFonts w:ascii="Arial" w:hAnsi="Arial" w:cs="Arial"/>
                <w:sz w:val="20"/>
                <w:szCs w:val="20"/>
              </w:rPr>
            </w:pPr>
            <w:r w:rsidRPr="00563EB7">
              <w:rPr>
                <w:rFonts w:ascii="Arial" w:hAnsi="Arial" w:cs="Arial"/>
                <w:sz w:val="20"/>
                <w:szCs w:val="20"/>
              </w:rPr>
              <w:t>Other, 6.44</w:t>
            </w:r>
          </w:p>
          <w:p w:rsidR="00F537B6" w:rsidRPr="00563EB7" w:rsidRDefault="00F537B6" w:rsidP="00F537B6">
            <w:pPr>
              <w:rPr>
                <w:rFonts w:ascii="Arial" w:hAnsi="Arial" w:cs="Arial"/>
                <w:sz w:val="20"/>
                <w:szCs w:val="20"/>
              </w:rPr>
            </w:pPr>
            <w:r w:rsidRPr="00563EB7">
              <w:rPr>
                <w:rFonts w:ascii="Arial" w:hAnsi="Arial" w:cs="Arial"/>
                <w:sz w:val="20"/>
                <w:szCs w:val="20"/>
              </w:rPr>
              <w:t>Asian, 2.15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211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Cole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10p9bdc7ro","properties":{"formattedCitation":"[22]","plainCitation":"[22]"},"citationItems":[{"id":4630,"uris":["http://zotero.org/users/1562642/items/KGNSSCNI"],"uri":["http://zotero.org/users/1562642/items/KGNSSCNI"],"itemData":{"id":4630,"type":"article-journal","title":"Simultaneous treatment of neurocognitive and psychiatric symptoms in veterans with post-traumatic stress disorder and history of mild traumatic brain injury: A pilot study of mindfulness-based stress reduction","container-title":"Military Medicine","page":"956-963","volume":"180","issue":"9","source":"EBSCOhost","archive_location":"2015-57181-002","abstract":"Treating patient populations with significant psychiatric and neurocognitive symptomatology can present a unique clinical dilemma: progress in psychotherapy can be significantly fettered by cognitive deficits, whereas neurocognitive rehabilitation efforts can be ineffective because of psychiatric overlay. Application of mindfulness-based interventions to address either cognitive or psychiatric symptoms in isolation appears efficacious in many contexts; however, it remains unclear whether this type of intervention might help address simultaneous neurocognitive and psychiatric symptomatology. In a pre-post mixed methods design pilot study, nine Veterans with post-traumatic stress disorder (PTSD) and a history of mild traumatic brain injury with chronic cognitive complaints participated in Mindfulness- Based Stress Reduction (MBSR). Clinical interview, questionnaires, and attention and PTSD measures were administered immediately before, immediately after, and 3 months after MBSR completion. Qualitative and quantitative findings suggest high levels of safety, feasibility, and acceptability. Measurement of attention revealed significant improvement immediately following MBSR (p &lt; 0.05, d = 0.57) and largely sustained improvement 3 months after completion of MBSR (p &lt; 0.10, d = 0.48). Significant reduction in PTSD symptoms was found immediately after MBSR (p &lt; 0.05, d = −1.56), and was sustained 3 months following MBSR completion (p &lt; 0.05, d = −0.93). These results warrant a randomized controlled trial follow-up. Potential mechanisms for the broad effects observed will be explored. (PsycINFO Database Record (c) 2016 APA, all rights reserved). (journal abstract)","DOI":"10.7205/MILMED-D-14-00581","ISSN":"0026-4075","shortTitle":"Simultaneous treatment of neurocognitive and psychiatric symptoms in veterans with post-traumatic stress disorder and history of mild traumatic brain injury","journalAbbreviation":"Military Medicine","author":[{"family":"Cole","given":"Michael A."},{"family":"Muir","given":"James J."},{"family":"Gans","given":"Jennifer J."},{"family":"Shin","given":"Lisa M."},{"family":"D’Esposito","given":"Mark"},{"family":"Harel","given":"Brian T."},{"family":"Schembri","given":"Adrian"}],"issued":{"date-parts":[["2015",9]]}}}],"schema":"https://github.com/citation-style-language/schema/raw/master/csl-citation.json"}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African-American, 44.44</w:t>
            </w:r>
          </w:p>
          <w:p w:rsidR="00F537B6" w:rsidRPr="00563EB7" w:rsidRDefault="00F537B6" w:rsidP="00F537B6">
            <w:pPr>
              <w:rPr>
                <w:rFonts w:ascii="Arial" w:hAnsi="Arial" w:cs="Arial"/>
                <w:sz w:val="20"/>
                <w:szCs w:val="20"/>
              </w:rPr>
            </w:pPr>
            <w:r w:rsidRPr="00563EB7">
              <w:rPr>
                <w:rFonts w:ascii="Arial" w:hAnsi="Arial" w:cs="Arial"/>
                <w:sz w:val="20"/>
                <w:szCs w:val="20"/>
              </w:rPr>
              <w:t>White (non-</w:t>
            </w:r>
            <w:proofErr w:type="spellStart"/>
            <w:r w:rsidRPr="00563EB7">
              <w:rPr>
                <w:rFonts w:ascii="Arial" w:hAnsi="Arial" w:cs="Arial"/>
                <w:sz w:val="20"/>
                <w:szCs w:val="20"/>
              </w:rPr>
              <w:t>hispanic</w:t>
            </w:r>
            <w:proofErr w:type="spellEnd"/>
            <w:r w:rsidRPr="00563EB7">
              <w:rPr>
                <w:rFonts w:ascii="Arial" w:hAnsi="Arial" w:cs="Arial"/>
                <w:sz w:val="20"/>
                <w:szCs w:val="20"/>
              </w:rPr>
              <w:t>), 33.33</w:t>
            </w:r>
          </w:p>
          <w:p w:rsidR="00F537B6" w:rsidRPr="00563EB7" w:rsidRDefault="00F537B6" w:rsidP="00F537B6">
            <w:pPr>
              <w:rPr>
                <w:rFonts w:ascii="Arial" w:hAnsi="Arial" w:cs="Arial"/>
                <w:sz w:val="20"/>
                <w:szCs w:val="20"/>
              </w:rPr>
            </w:pPr>
            <w:r w:rsidRPr="00563EB7">
              <w:rPr>
                <w:rFonts w:ascii="Arial" w:hAnsi="Arial" w:cs="Arial"/>
                <w:sz w:val="20"/>
                <w:szCs w:val="20"/>
              </w:rPr>
              <w:t>Hispanic or Latino, 22.22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Collins et al., 1999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k8jqov22b","properties":{"formattedCitation":"[23]","plainCitation":"[23]"},"citationItems":[{"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1999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393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European American, 48.09</w:t>
            </w:r>
          </w:p>
          <w:p w:rsidR="00F537B6" w:rsidRPr="00563EB7" w:rsidRDefault="00F537B6" w:rsidP="00F537B6">
            <w:pPr>
              <w:rPr>
                <w:rFonts w:ascii="Arial" w:hAnsi="Arial" w:cs="Arial"/>
                <w:sz w:val="20"/>
                <w:szCs w:val="20"/>
              </w:rPr>
            </w:pPr>
            <w:r w:rsidRPr="00563EB7">
              <w:rPr>
                <w:rFonts w:ascii="Arial" w:hAnsi="Arial" w:cs="Arial"/>
                <w:sz w:val="20"/>
                <w:szCs w:val="20"/>
              </w:rPr>
              <w:t>African-American, 46.06</w:t>
            </w:r>
          </w:p>
          <w:p w:rsidR="00F537B6" w:rsidRPr="00563EB7" w:rsidRDefault="00F537B6" w:rsidP="00F537B6">
            <w:pPr>
              <w:rPr>
                <w:rFonts w:ascii="Arial" w:hAnsi="Arial" w:cs="Arial"/>
                <w:sz w:val="20"/>
                <w:szCs w:val="20"/>
              </w:rPr>
            </w:pPr>
            <w:r w:rsidRPr="00563EB7">
              <w:rPr>
                <w:rFonts w:ascii="Arial" w:hAnsi="Arial" w:cs="Arial"/>
                <w:sz w:val="20"/>
                <w:szCs w:val="20"/>
              </w:rPr>
              <w:t>Polynesian American, 4.07</w:t>
            </w:r>
          </w:p>
          <w:p w:rsidR="00F537B6" w:rsidRPr="00563EB7" w:rsidRDefault="00F537B6" w:rsidP="00F537B6">
            <w:pPr>
              <w:rPr>
                <w:rFonts w:ascii="Arial" w:hAnsi="Arial" w:cs="Arial"/>
                <w:sz w:val="20"/>
                <w:szCs w:val="20"/>
              </w:rPr>
            </w:pPr>
            <w:r w:rsidRPr="00563EB7">
              <w:rPr>
                <w:rFonts w:ascii="Arial" w:hAnsi="Arial" w:cs="Arial"/>
                <w:sz w:val="20"/>
                <w:szCs w:val="20"/>
              </w:rPr>
              <w:t>Asian American, 1.02</w:t>
            </w:r>
          </w:p>
          <w:p w:rsidR="00F537B6" w:rsidRPr="00563EB7" w:rsidRDefault="00F537B6" w:rsidP="00F537B6">
            <w:pPr>
              <w:rPr>
                <w:rFonts w:ascii="Arial" w:hAnsi="Arial" w:cs="Arial"/>
                <w:sz w:val="20"/>
                <w:szCs w:val="20"/>
              </w:rPr>
            </w:pPr>
            <w:r w:rsidRPr="00563EB7">
              <w:rPr>
                <w:rFonts w:ascii="Arial" w:hAnsi="Arial" w:cs="Arial"/>
                <w:sz w:val="20"/>
                <w:szCs w:val="20"/>
              </w:rPr>
              <w:lastRenderedPageBreak/>
              <w:t>Hispanic American, 1.02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1076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Combs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pq1qsmvrn","properties":{"formattedCitation":"[24]","plainCitation":"[24]"},"citationItems":[{"id":5426,"uris":["http://zotero.org/users/1562642/items/HVBCD3XG"],"uri":["http://zotero.org/users/1562642/items/HVBCD3XG"],"itemData":{"id":5426,"type":"article-journal","title":"The effects of mild traumatic brain injury, post-traumatic stress disorder, and combined mild traumatic brain injury/post-traumatic stress disorder on returning veterans","container-title":"Journal of Neurotrauma","page":"956-966","volume":"32","issue":"13","source":"EBSCOhost","archive_location":"2015-28584-004","abstract":"United States veterans of the Iraqi (Operation Iraqi Freedom [OIF]) and Afghanistan (Operation Enduring Freedom [OEF]) conflicts have frequently returned from deployment after sustaining mild traumatic brain injury (mTBI) and enduring stressful events resulting in post-traumatic stress disorder (PTSD). A large number of returning service members have been diagnosed with both a history of mTBI and current PTSD. Substantial literature exists on the neuropsychological factors associated with mTBI and PTSD occurring separately; far less research has explored the combined effects of PTSD and mTBI. The current study employed neuropsychological and psychological measures in a sample of 251 OIF/ OEF veterans to determine whether participants with a history of mTBI and current PTSD (mTBI + PTSD) have poorer cognitive and psychological outcomes than participants with mTBI only (mTBI-o), PTSD only (PTSD-o), or veteran controls (VC), when groups are comparable on intelligence quotient, education, and age. The mTBI + PTSD group performed more poorly than VC, mTBI-o, and PTSD-o groups on several neuropsychological measures. Effect size comparisons suggest small deleterious effects for mTBI-o on measures of processing speed and visual attention and small effects for PTSD-o on measures of verbal memory, with moderate effects for mTBI + PTSD on the same variables. Additionally, the mTBI + PTSD group was significantly more psychologically distressed than the PTSD-o group, and PTSD-o group was more distressed than VC and mTBI-o groups. These findings suggest that veterans with mTBI + PTSD perform significantly lower on neuropsychological and psychiatric measures than veterans with mTBI-o or PTSD-o. The results also raise the possibility of mild but persisting cognitive changes following mTBI sustained during deployment. (PsycINFO Database Record (c) 2015 APA, all rights reserved). (journal abstract)","DOI":"10.1089/neu.2014.3585","ISSN":"0897-7151","journalAbbreviation":"Journal of Neurotrauma","author":[{"family":"Combs","given":"Hannah L."},{"family":"Berry","given":"David T. R."},{"family":"Pape","given":"Theresa"},{"family":"Babcock-Parziale","given":"Judith"},{"family":"Smith","given":"Bridget"},{"family":"Schleenbaker","given":"Randal"},{"family":"Shandera-Ochsner","given":"Anne"},{"family":"Harp","given":"Jordan P."},{"family":"High","given":"Walter M. Jr."}],"issued":{"date-parts":[["2015",7,1]]}}}],"schema":"https://github.com/citation-style-language/schema/raw/master/csl-citation.json"}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251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Non-Hispanic, 75.7</w:t>
            </w:r>
          </w:p>
          <w:p w:rsidR="00F537B6" w:rsidRPr="00563EB7" w:rsidRDefault="00F537B6" w:rsidP="00F537B6">
            <w:pPr>
              <w:rPr>
                <w:rFonts w:ascii="Arial" w:hAnsi="Arial" w:cs="Arial"/>
                <w:sz w:val="20"/>
                <w:szCs w:val="20"/>
              </w:rPr>
            </w:pPr>
            <w:r w:rsidRPr="00563EB7">
              <w:rPr>
                <w:rFonts w:ascii="Arial" w:hAnsi="Arial" w:cs="Arial"/>
                <w:sz w:val="20"/>
                <w:szCs w:val="20"/>
              </w:rPr>
              <w:t>Hispanic, 17.13</w:t>
            </w:r>
          </w:p>
          <w:p w:rsidR="00F537B6" w:rsidRPr="00563EB7" w:rsidRDefault="00F537B6" w:rsidP="00F537B6">
            <w:pPr>
              <w:rPr>
                <w:rFonts w:ascii="Arial" w:hAnsi="Arial" w:cs="Arial"/>
                <w:sz w:val="20"/>
                <w:szCs w:val="20"/>
              </w:rPr>
            </w:pPr>
          </w:p>
          <w:p w:rsidR="00F537B6" w:rsidRPr="00563EB7" w:rsidRDefault="00F537B6" w:rsidP="00F537B6">
            <w:pPr>
              <w:rPr>
                <w:rFonts w:ascii="Arial" w:hAnsi="Arial" w:cs="Arial"/>
                <w:sz w:val="20"/>
                <w:szCs w:val="20"/>
              </w:rPr>
            </w:pPr>
            <w:r w:rsidRPr="00563EB7">
              <w:rPr>
                <w:rFonts w:ascii="Arial" w:hAnsi="Arial" w:cs="Arial"/>
                <w:sz w:val="20"/>
                <w:szCs w:val="20"/>
              </w:rPr>
              <w:t>Caucasian, 43.83</w:t>
            </w:r>
          </w:p>
          <w:p w:rsidR="00F537B6" w:rsidRPr="00563EB7" w:rsidRDefault="00F537B6" w:rsidP="00F537B6">
            <w:pPr>
              <w:rPr>
                <w:rFonts w:ascii="Arial" w:hAnsi="Arial" w:cs="Arial"/>
                <w:sz w:val="20"/>
                <w:szCs w:val="20"/>
              </w:rPr>
            </w:pPr>
            <w:r w:rsidRPr="00563EB7">
              <w:rPr>
                <w:rFonts w:ascii="Arial" w:hAnsi="Arial" w:cs="Arial"/>
                <w:sz w:val="20"/>
                <w:szCs w:val="20"/>
              </w:rPr>
              <w:t>Other, 14.34</w:t>
            </w:r>
          </w:p>
          <w:p w:rsidR="00F537B6" w:rsidRPr="00563EB7" w:rsidRDefault="00F537B6" w:rsidP="00F537B6">
            <w:pPr>
              <w:rPr>
                <w:rFonts w:ascii="Arial" w:hAnsi="Arial" w:cs="Arial"/>
                <w:sz w:val="20"/>
                <w:szCs w:val="20"/>
              </w:rPr>
            </w:pPr>
            <w:r w:rsidRPr="00563EB7">
              <w:rPr>
                <w:rFonts w:ascii="Arial" w:hAnsi="Arial" w:cs="Arial"/>
                <w:sz w:val="20"/>
                <w:szCs w:val="20"/>
              </w:rPr>
              <w:t>African-American, 9.56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212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Coughlin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ndaINhTR","properties":{"formattedCitation":"[25]","plainCitation":"[25]"},"citationItems":[{"id":5068,"uris":["http://zotero.org/users/1562642/items/3E4HB8NZ"],"uri":["http://zotero.org/users/1562642/items/3E4HB8NZ"],"itemData":{"id":5068,"type":"article-journal","title":"Neuroinflammation and brain atrophy in former NFL players: An in vivo multimodal imaging pilot study","container-title":"Neurobiology of Disease","page":"58-65","volume":"74","source":"EBSCOhost","abstract":"There are growing concerns about potential delayed, neuropsychiatric consequences (e.g, cognitive decline, mood or anxiety disorders) of sports-related traumatic brain injury (TBI). Autopsy studies of brains from a limited number of former athletes have described characteristic, pathologic changes of chronic traumatic encephalopathy (CTE) leading to questions about the relationship between these pathologic and the neuropsychiatric disturbances seen in former athletes. Research in this area will depend on in vivo methods that characterize molecular changes in the brain, linking CTE and other sports-related pathologies with delayed emergence of neuropsychiatric symptoms. In this pilot project we studied former National Football League (NFL) players using new neuroimaging techniques and clinical measures of cognitive functioning. We hypothesized that former NFL players would show molecular and structural changes in medial temporal and parietal lobe structures as well as specific cognitive deficits, namely those of verbal learning and memory. We observed a significant increase in binding of [ 11 C]DPA-713 to the translocator protein (TSPO), a marker of brain injury and repair, in several brain regions, such as the supramarginal gyrus and right amygdala, in 9 former NFL players compared to 9 age-matched, healthy controls. We also observed significant atrophy of the right hippocampus. Finally, we report that these same former players had varied performance on a test of verbal learning and memory, suggesting that these molecular and pathologic changes may play a role in cognitive decline. These results suggest that localized brain injury and repair, indicated by increased [ 11 C]DPA-713 binding to TSPO, may be linked to history of NFL play. [ 11 C]DPA-713 PET is a promising new tool that can be used in future study design to examine further the relationship between TSPO expression in brain injury and repair, selective regional brain atrophy, and the potential link to deficits in verbal learning and memory after NFL play.","DOI":"10.1016/j.nbd.2014.10.019","ISSN":"09699961","shortTitle":"Neuroinflammation and brain atrophy in former NFL players","journalAbbreviation":"Neurobiology of Disease","author":[{"family":"Coughlin","given":"Jennifer M."},{"family":"Wang","given":"Yuchuan"},{"family":"Munro","given":"Cynthia A."},{"family":"Ma","given":"Shuangchao"},{"family":"Yue","given":"Chen"},{"family":"Chen","given":"Shaojie"},{"family":"Airan","given":"Raag"},{"family":"Kim","given":"Pearl K."},{"family":"Adams","given":"Ashley V."},{"family":"Garcia","given":"Cinthya"},{"family":"Higgs","given":"Cecilia"},{"family":"Sair","given":"Haris I."},{"family":"Sawa","given":"Akira"},{"family":"Smith","given":"Gwenn"},{"family":"Lyketsos","given":"Constantine G."},{"family":"Caffo","given":"Brian"},{"family":"Kassiou","given":"Michael"},{"family":"Guilarte","given":"Tomas R."},{"family":"Pomper","given":"Martin G."}],"issued":{"date-parts":[["2015",2]]}}}],"schema":"https://github.com/citation-style-language/schema/raw/master/csl-citation.json"}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65</w:t>
            </w:r>
          </w:p>
          <w:p w:rsidR="00F537B6" w:rsidRPr="00563EB7" w:rsidRDefault="00F537B6" w:rsidP="00F537B6">
            <w:pPr>
              <w:rPr>
                <w:rFonts w:ascii="Arial" w:hAnsi="Arial" w:cs="Arial"/>
                <w:sz w:val="20"/>
                <w:szCs w:val="20"/>
              </w:rPr>
            </w:pPr>
            <w:r w:rsidRPr="00563EB7">
              <w:rPr>
                <w:rFonts w:ascii="Arial" w:hAnsi="Arial" w:cs="Arial"/>
                <w:sz w:val="20"/>
                <w:szCs w:val="20"/>
              </w:rPr>
              <w:t>African-American, 35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1170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Daniel et al., 1999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25a8b9st3n","properties":{"formattedCitation":"[26]","plainCitation":"[26]"},"citationItems":[{"id":5522,"uris":["http://zotero.org/users/1562642/items/AXP6GU2Q"],"uri":["http://zotero.org/users/1562642/items/AXP6GU2Q"],"itemData":{"id":5522,"type":"article-journal","title":"Repeated measures of cognitive processing efficiency in adolescent athletes: Implications for monitoring recovery from concussion","container-title":"Neuropsychiatry, Neuropsychology, And Behavioral Neurology","page":"167-169","volume":"12","issue":"3","source":"EBSCOhost","archive_location":"1999-03886-005","abstract":"Determined whether an adolescent athlete, in the absence of concussion, would be expected to show an improvement in cognitive function during the course of a high school football season. 34 healthy male athletes, aged 13–18 yrs, were administered a computerized neuropsychologic test battery before and after the 1997 high school football season. Improvements in processing efficiency were noted for visual scanning and sustained attention (CDS), immediate recall (CDI), and short-term memory (CDD). Older Ss generally performed better on each of these tests, though the difference was significant in only 1 case (postseason CDI, 17–18 yr olds vs 13–14 yr olds). The findings suggest that Automated Neuropsychological Assessment Metrics is sensitive to differences and improvements in cognitive function during a 4-mo interval in adolescence. They also suggest that using \"return to baseline\" cognitive function as the criterion for evidence of recovery from concussion may be insufficient, especially when the baseline measurement was obtained 4 or more months prior to the date of \"full recovery.\" (PsycINFO Database Record (c) 2012 APA, all rights reserved)","ISSN":"0894-878X","shortTitle":"Repeated measures of cognitive processing efficiency in adolescent athletes","journalAbbreviation":"Neuropsychiatry, Neuropsychology, &amp; Behavioral Neurology","author":[{"family":"Daniel","given":"J. Christopher"},{"family":"Olesniewicz","given":"Monique H."},{"family":"Reeves","given":"Dennis L."},{"family":"Tam","given":"David"},{"family":"Bleiberg","given":"Joseph"},{"family":"Thatcher","given":"Robert"},{"family":"Salazar","given":"Andres"}],"issued":{"date-parts":[["1999",7]]}}}],"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1999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38.23</w:t>
            </w:r>
          </w:p>
          <w:p w:rsidR="00F537B6" w:rsidRPr="00563EB7" w:rsidRDefault="00F537B6" w:rsidP="00F537B6">
            <w:pPr>
              <w:rPr>
                <w:rFonts w:ascii="Arial" w:hAnsi="Arial" w:cs="Arial"/>
                <w:sz w:val="20"/>
                <w:szCs w:val="20"/>
              </w:rPr>
            </w:pPr>
            <w:r w:rsidRPr="00563EB7">
              <w:rPr>
                <w:rFonts w:ascii="Arial" w:hAnsi="Arial" w:cs="Arial"/>
                <w:sz w:val="20"/>
                <w:szCs w:val="20"/>
              </w:rPr>
              <w:t>Black, 23.53</w:t>
            </w:r>
          </w:p>
          <w:p w:rsidR="00F537B6" w:rsidRPr="00563EB7" w:rsidRDefault="00F537B6" w:rsidP="00F537B6">
            <w:pPr>
              <w:rPr>
                <w:rFonts w:ascii="Arial" w:hAnsi="Arial" w:cs="Arial"/>
                <w:sz w:val="20"/>
                <w:szCs w:val="20"/>
              </w:rPr>
            </w:pPr>
            <w:r w:rsidRPr="00563EB7">
              <w:rPr>
                <w:rFonts w:ascii="Arial" w:hAnsi="Arial" w:cs="Arial"/>
                <w:sz w:val="20"/>
                <w:szCs w:val="20"/>
              </w:rPr>
              <w:t>Filipino, 23.53</w:t>
            </w:r>
          </w:p>
          <w:p w:rsidR="00F537B6" w:rsidRPr="00563EB7" w:rsidRDefault="00F537B6" w:rsidP="00F537B6">
            <w:pPr>
              <w:rPr>
                <w:rFonts w:ascii="Arial" w:hAnsi="Arial" w:cs="Arial"/>
                <w:sz w:val="20"/>
                <w:szCs w:val="20"/>
              </w:rPr>
            </w:pPr>
            <w:r w:rsidRPr="00563EB7">
              <w:rPr>
                <w:rFonts w:ascii="Arial" w:hAnsi="Arial" w:cs="Arial"/>
                <w:sz w:val="20"/>
                <w:szCs w:val="20"/>
              </w:rPr>
              <w:t>Hispanic, 14.71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165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De Beaumont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251avp7om4","properties":{"formattedCitation":"[27]","plainCitation":"[27]"},"citationItems":[{"id":4655,"uris":["http://zotero.org/users/1562642/items/6VNRDSXW"],"uri":["http://zotero.org/users/1562642/items/6VNRDSXW"],"itemData":{"id":4655,"type":"article-journal","title":"Motor system alterations in retired former athletes: The role of aging and concussion history","container-title":"BMC Neurology","page":"1-10","volume":"13","issue":"1","source":"EBSCOhost","abstract":"Background: Retired athletes with a history of sports concussions experience cognitive and motor declines with aging, and the risk of severe neurodegenerative conditions is magnified in this population. The present study investigated the effects of aging on motor system metabolism and function in former university-level athletes who sustained their last concussion several decades prior to testing. Methods: To test the hypothesis that age and remote concussions induce functional as well as metabolic alterations of the motor system, we used proton magnetic resonance spectroscopy to detect metabolic abnormalities in the primary motor cortex and the serial reaction time task (SRTT) to evaluate motor learning. Results: Our results indicate that motor learning is significantly reduced in former concussed athletes relative to controls. In addition, glutamate/H2O ratio in M1 was disproportionately reduced in concussed athletes with advancing age and was found to strongly correlate with motor learning impairments. Conclusion: Findings from this study provide evidence that the acquisition of a repeated motor sequence is compromised in the aging concussed brain and that its physiological underpinnings could implicate disproportionate reductions of M1 glutamate concentrations with advancing age.","DOI":"10.1186/1471-2377-13-109","ISSN":"14712377","shortTitle":"Motor system alterations in retired former athletes","journalAbbreviation":"BMC Neurology","author":[{"family":"De Beaumont","given":"Louis"},{"family":"Tremblay","given":"Sébastien"},{"family":"Henry","given":"Luke C."},{"family":"Poirier","given":"Judes"},{"family":"Lassonde","given":"Maryse"},{"family":"Théoret","given":"Hugo"}],"issued":{"date-parts":[["2013",9]]}}}],"schema":"https://github.com/citation-style-language/schema/raw/master/csl-citation.json"}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Canada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553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Didehbani</w:t>
            </w:r>
            <w:proofErr w:type="spellEnd"/>
            <w:r w:rsidRPr="00563EB7">
              <w:rPr>
                <w:rFonts w:ascii="Arial" w:hAnsi="Arial" w:cs="Arial"/>
                <w:sz w:val="20"/>
                <w:szCs w:val="20"/>
              </w:rPr>
              <w:t xml:space="preserve">, Cullum, </w:t>
            </w:r>
            <w:proofErr w:type="spellStart"/>
            <w:r w:rsidRPr="00563EB7">
              <w:rPr>
                <w:rFonts w:ascii="Arial" w:hAnsi="Arial" w:cs="Arial"/>
                <w:sz w:val="20"/>
                <w:szCs w:val="20"/>
              </w:rPr>
              <w:t>Mansinghani</w:t>
            </w:r>
            <w:proofErr w:type="spellEnd"/>
            <w:r w:rsidRPr="00563EB7">
              <w:rPr>
                <w:rFonts w:ascii="Arial" w:hAnsi="Arial" w:cs="Arial"/>
                <w:sz w:val="20"/>
                <w:szCs w:val="20"/>
              </w:rPr>
              <w:t>, Conover, &amp; Hart,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148t41qvfn","properties":{"formattedCitation":"[28]","plainCitation":"[28]"},"citationItems":[{"id":4662,"uris":["http://zotero.org/users/1562642/items/DRSZF5ZW"],"uri":["http://zotero.org/users/1562642/items/DRSZF5ZW"],"itemData":{"id":4662,"type":"article-journal","title":"Depressive symptoms and concussions in aging retired NFL players","container-title":"Archives of Clinical Neuropsychology","page":"418-424","volume":"28","issue":"5","source":"EBSCOhost","archive_location":"2013-25779-004","abstract":"We examined the relationship between a remote history of concussions with current symptoms of depression in retired professional athletes. Thirty retired National Football League (NFL) athletes with a history of concussion and 29 age- and IQ-matched controls without a history of concussion were recruited. We found a significant correlation between the number of lifetime concussions and depressive symptom severity using the Beck Depression Inventory II. Upon investigating a three-factor model of depressive symptoms (affective, cognitive, and somatic; Buckley et al., 2001) from the BDI-II, the cognitive factor was the only factor that was significantly related to concussions. In general, NFL players endorsed more symptoms of depression on all three Buckley factors compared with matched controls. Findings suggest that the number of self-reported concussions may be related to later depressive symptomology (particularly cognitive symptoms of depression). (PsycINFO Database Record (c) 2013 APA, all rights reserved). (journal abstract)","DOI":"10.1093/arclin/act028","ISSN":"0887-6177","journalAbbreviation":"Archives of Clinical Neuropsychology","author":[{"family":"Didehbani","given":"Nyaz"},{"family":"Cullum","given":"C. Munro"},{"family":"Mansinghani","given":"Sethesh"},{"family":"Conover","given":"Heather"},{"family":"Hart","given":"John Jr."}],"issued":{"date-parts":[["2013",8]]}}}],"schema":"https://github.com/citation-style-language/schema/raw/master/csl-citation.json"}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83.05</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18.64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1078</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Dretsch</w:t>
            </w:r>
            <w:proofErr w:type="spellEnd"/>
            <w:r w:rsidRPr="00563EB7">
              <w:rPr>
                <w:rFonts w:ascii="Arial" w:hAnsi="Arial" w:cs="Arial"/>
                <w:sz w:val="20"/>
                <w:szCs w:val="20"/>
              </w:rPr>
              <w:t xml:space="preserve">, Kelly, </w:t>
            </w:r>
            <w:proofErr w:type="spellStart"/>
            <w:r w:rsidRPr="00563EB7">
              <w:rPr>
                <w:rFonts w:ascii="Arial" w:hAnsi="Arial" w:cs="Arial"/>
                <w:sz w:val="20"/>
                <w:szCs w:val="20"/>
              </w:rPr>
              <w:t>Coldren</w:t>
            </w:r>
            <w:proofErr w:type="spellEnd"/>
            <w:r w:rsidRPr="00563EB7">
              <w:rPr>
                <w:rFonts w:ascii="Arial" w:hAnsi="Arial" w:cs="Arial"/>
                <w:sz w:val="20"/>
                <w:szCs w:val="20"/>
              </w:rPr>
              <w:t>, Parish, &amp; Russell,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kp6g1fj6b","properties":{"formattedCitation":"[29]","plainCitation":"[29]"},"citationItems":[{"id":5424,"uris":["http://zotero.org/users/1562642/items/Q4CPSUNB"],"uri":["http://zotero.org/users/1562642/items/Q4CPSUNB"],"itemData":{"id":5424,"type":"article-journal","title":"No significant acute and subacute differences between blast and blunt concussions across multiple neurocognitive measures and symptoms in deployed soldiers","container-title":"Journal of Neurotrauma","page":"1217-1222","volume":"32","issue":"16","source":"EBSCOhost","archive_location":"2015-35564-005","abstract":"Seventy-one deployed U.S. Army soldiers who presented for concussion care due to either blast or blunt mechanisms within 72 h of injury were assessed using the Military Acute Concussion Evaluation, the Automated Neuropsychological Assessment Metrics (ANAM), traditional neuropsychological tests, and health status questionnaires. Follow-up ANAM testing was performed 10 d after initial testing (± 5 d). Twenty-one soldiers were excluded: two for poor effort and 19 who had combined blast/blunt injuries. Of the remaining 50 male participants, 34 had blast injuries and 16 had blunt injuries. There were no statistically significant differences between blast injury and blunt injury participants in demographic, physical, or psychological health factors, concussive symptoms, or automated and traditional neurocognitive testing scores within 72 h post-injury. In addition, follow-up ANAM scores up to 15 d post-injury were not significantly different (available on 21 blast-injured and 13 blunt-injured subjects). Pre-injury baseline ANAM scores were compared where available, and revealed no statistically significant differences between 22 blast injury and eight blunt injury participants. These findings suggest there are no significant differences between mechanisms of injury during both the acute and subacute periods in neurobehavioral concussion sequelae while deployed in a combat environment. The current study supports the use of sports/mechanical concussion models for early concussion management in the deployed setting and exploration of variability in potential long-term outcomes. (PsycINFO Database Record (c) 2015 APA, all rights reserved). (journal abstract)","DOI":"10.1089/neu.2014.3637","ISSN":"0897-7151","journalAbbreviation":"Journal of Neurotrauma","author":[{"family":"Dretsch","given":"Michael N."},{"family":"Kelly","given":"Mark P."},{"family":"Coldren","given":"Rodney L."},{"family":"Parish","given":"Robert V."},{"family":"Russell","given":"Michael L."}],"issued":{"date-parts":[["2015",8,15]]}}}],"schema":"https://github.com/citation-style-language/schema/raw/master/csl-citation.json"}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[29]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78</w:t>
            </w:r>
          </w:p>
          <w:p w:rsidR="00F537B6" w:rsidRPr="00563EB7" w:rsidRDefault="00F537B6" w:rsidP="00F537B6">
            <w:pPr>
              <w:rPr>
                <w:rFonts w:ascii="Arial" w:hAnsi="Arial" w:cs="Arial"/>
                <w:sz w:val="20"/>
                <w:szCs w:val="20"/>
              </w:rPr>
            </w:pPr>
            <w:r w:rsidRPr="00563EB7">
              <w:rPr>
                <w:rFonts w:ascii="Arial" w:hAnsi="Arial" w:cs="Arial"/>
                <w:sz w:val="20"/>
                <w:szCs w:val="20"/>
              </w:rPr>
              <w:t>Hispanic, 14</w:t>
            </w:r>
          </w:p>
          <w:p w:rsidR="00F537B6" w:rsidRPr="00563EB7" w:rsidRDefault="00F537B6" w:rsidP="00F537B6">
            <w:pPr>
              <w:rPr>
                <w:rFonts w:ascii="Arial" w:hAnsi="Arial" w:cs="Arial"/>
                <w:sz w:val="20"/>
                <w:szCs w:val="20"/>
              </w:rPr>
            </w:pPr>
            <w:r w:rsidRPr="00563EB7">
              <w:rPr>
                <w:rFonts w:ascii="Arial" w:hAnsi="Arial" w:cs="Arial"/>
                <w:sz w:val="20"/>
                <w:szCs w:val="20"/>
              </w:rPr>
              <w:t>Black, 6</w:t>
            </w:r>
          </w:p>
          <w:p w:rsidR="00F537B6" w:rsidRPr="00563EB7" w:rsidRDefault="00F537B6" w:rsidP="00F537B6">
            <w:pPr>
              <w:rPr>
                <w:rFonts w:ascii="Arial" w:hAnsi="Arial" w:cs="Arial"/>
                <w:sz w:val="20"/>
                <w:szCs w:val="20"/>
              </w:rPr>
            </w:pPr>
            <w:r w:rsidRPr="00563EB7">
              <w:rPr>
                <w:rFonts w:ascii="Arial" w:hAnsi="Arial" w:cs="Arial"/>
                <w:sz w:val="20"/>
                <w:szCs w:val="20"/>
              </w:rPr>
              <w:t>Other, 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1077</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Dretsch</w:t>
            </w:r>
            <w:proofErr w:type="spellEnd"/>
            <w:r w:rsidRPr="00563EB7">
              <w:rPr>
                <w:rFonts w:ascii="Arial" w:hAnsi="Arial" w:cs="Arial"/>
                <w:sz w:val="20"/>
                <w:szCs w:val="20"/>
              </w:rPr>
              <w:t xml:space="preserve">, Parish, Kelly, </w:t>
            </w:r>
            <w:proofErr w:type="spellStart"/>
            <w:r w:rsidRPr="00563EB7">
              <w:rPr>
                <w:rFonts w:ascii="Arial" w:hAnsi="Arial" w:cs="Arial"/>
                <w:sz w:val="20"/>
                <w:szCs w:val="20"/>
              </w:rPr>
              <w:t>Coldren</w:t>
            </w:r>
            <w:proofErr w:type="spellEnd"/>
            <w:r w:rsidRPr="00563EB7">
              <w:rPr>
                <w:rFonts w:ascii="Arial" w:hAnsi="Arial" w:cs="Arial"/>
                <w:sz w:val="20"/>
                <w:szCs w:val="20"/>
              </w:rPr>
              <w:t>, &amp; Russell,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15c77ke01f","properties":{"formattedCitation":"[30]","plainCitation":"[30]"},"citationItems":[{"id":5427,"uris":["http://zotero.org/users/1562642/items/WHD3XAS6"],"uri":["http://zotero.org/users/1562642/items/WHD3XAS6"],"itemData":{"id":5427,"type":"article-journal","title":"Eight-Day Temporal Stability of the Automated Neuropsychological Assessment Metric (ANAM) in a Deployment Environment","container-title":"Applied Neuropsychology. Adult","page":"304-310","volume":"22","issue":"4","source":"EBSCOhost","archive_location":"25531697","abstract":"Automated neurocognitive tests are commonly used by military providers for making clinical decisions about the recovery of postconcussive cognitive sequelae. This practice often utilizes baseline assessments that precede the concussive injury. As such, investigating and establishing the psychometrics of an instrument is necessary to minimize confounds for interpreting assessment scores. Test-retest reliability (TRR) values for an 8.3 ± 2-day retest window for the Automated Neuropsychological Assessment Metrics-Version 4 (ANAM) were calculated in 86 healthy U.S. Army soldiers deployed to Iraq. After removal of outliers, all but 1 subtest, Simple Reaction Time, had adequate or greater TRR values (intraclass correlation coefficient = 0.72-0.86). The findings suggest that overall, the ANAM has good temporal stability when the retesting intertrial interval is less than 11 days while in a deployed environment.;","DOI":"10.1080/23279095.2014.926454","ISSN":"2327-9109","journalAbbreviation":"Applied Neuropsychology. Adult","author":[{"family":"Dretsch","given":"Michael N."},{"family":"Parish","given":"Robert"},{"family":"Kelly","given":"Mark"},{"family":"Coldren","given":"Rodney"},{"family":"Russell","given":"Michael"}],"issued":{"date-parts":[["2015"]]}}}],"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[30]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58.82</w:t>
            </w:r>
          </w:p>
          <w:p w:rsidR="00F537B6" w:rsidRPr="00563EB7" w:rsidRDefault="00F537B6" w:rsidP="00F537B6">
            <w:pPr>
              <w:rPr>
                <w:rFonts w:ascii="Arial" w:hAnsi="Arial" w:cs="Arial"/>
                <w:sz w:val="20"/>
                <w:szCs w:val="20"/>
              </w:rPr>
            </w:pPr>
            <w:r w:rsidRPr="00563EB7">
              <w:rPr>
                <w:rFonts w:ascii="Arial" w:hAnsi="Arial" w:cs="Arial"/>
                <w:sz w:val="20"/>
                <w:szCs w:val="20"/>
              </w:rPr>
              <w:t>Other, 18.82</w:t>
            </w:r>
          </w:p>
          <w:p w:rsidR="00F537B6" w:rsidRPr="00563EB7" w:rsidRDefault="00F537B6" w:rsidP="00F537B6">
            <w:pPr>
              <w:rPr>
                <w:rFonts w:ascii="Arial" w:hAnsi="Arial" w:cs="Arial"/>
                <w:sz w:val="20"/>
                <w:szCs w:val="20"/>
              </w:rPr>
            </w:pPr>
            <w:r w:rsidRPr="00563EB7">
              <w:rPr>
                <w:rFonts w:ascii="Arial" w:hAnsi="Arial" w:cs="Arial"/>
                <w:sz w:val="20"/>
                <w:szCs w:val="20"/>
              </w:rPr>
              <w:t>Black, 10.59</w:t>
            </w:r>
          </w:p>
          <w:p w:rsidR="00F537B6" w:rsidRPr="00563EB7" w:rsidRDefault="00F537B6" w:rsidP="00F537B6">
            <w:pPr>
              <w:rPr>
                <w:rFonts w:ascii="Arial" w:hAnsi="Arial" w:cs="Arial"/>
                <w:sz w:val="20"/>
                <w:szCs w:val="20"/>
              </w:rPr>
            </w:pPr>
            <w:r w:rsidRPr="00563EB7">
              <w:rPr>
                <w:rFonts w:ascii="Arial" w:hAnsi="Arial" w:cs="Arial"/>
                <w:sz w:val="20"/>
                <w:szCs w:val="20"/>
              </w:rPr>
              <w:t>Hispanic, 5.88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1079</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Dretsch</w:t>
            </w:r>
            <w:proofErr w:type="spellEnd"/>
            <w:r w:rsidRPr="00563EB7">
              <w:rPr>
                <w:rFonts w:ascii="Arial" w:hAnsi="Arial" w:cs="Arial"/>
                <w:sz w:val="20"/>
                <w:szCs w:val="20"/>
              </w:rPr>
              <w:t>, Silverberg, &amp; Iverson, 2015</w:t>
            </w:r>
            <w:r>
              <w:rPr>
                <w:rFonts w:ascii="Arial" w:hAnsi="Arial" w:cs="Arial"/>
                <w:sz w:val="20"/>
                <w:szCs w:val="20"/>
              </w:rPr>
              <w:fldChar w:fldCharType="begin"/>
            </w:r>
            <w:r>
              <w:rPr>
                <w:rFonts w:ascii="Arial" w:hAnsi="Arial" w:cs="Arial"/>
                <w:sz w:val="20"/>
                <w:szCs w:val="20"/>
              </w:rPr>
              <w:instrText xml:space="preserve"> ADDIN ZOTERO_ITEM CSL_CITATION {"citationID":"aiden4uvpq","properties":{"formattedCitation":"[31]","plainCitation":"[31]"},"citationItems":[{"id":5428,"uris":["http://zotero.org/users/1562642/items/XWVGGDC3"],"uri":["http://zotero.org/users/1562642/items/XWVGGDC3"],"itemData":{"id":5428,"type":"article-journal","title":"Multiple past concussions are associated with ongoing post-concussive symptoms but not cognitive impairment in active-duty army soldiers","container-title":"Journal of Neurotrauma","page":"1301-1306","volume":"32","issue":"17","source":"EBSCOhost","archive_location":"2015-38679-003","abstract":"The extent to which multiple past concussions are associated with lingering symptoms or mental health problems in military service members is not well understood. The purpose of this study was to examine the association between lifetime concussion history, cognitive functioning, general health, and psychological health in a large sample of fit-for-duty U.S. Army soldiers preparing for deployment. Data on 458 active-duty soldiers were collected and analyzed. A computerized cognitive screening battery (CNS-Vital Signs(®)) was used to assess complex attention (CA), reaction time (RT), processing speed (PS), cognitive flexibility (CF), and memory. Health questionnaires included the Neurobehavioral Symptom Inventory (NSI), PTSD Checklist-Military Version (PCL-M), Zung Depression and Anxiety Scales (ZDS; ZAS), Perceived Stress Scale (PSS), Pittsburgh Sleep Quality Index (PSQI), Epworth Sleepiness Scale (ESS), and the Alcohol Use and Dependency Identification Test (AUDIT). Soldiers with a history of multiple concussions (i.e., three or more concussions) had significantly greater post-concussive symptom scores compared with those with zero (d = 1.83, large effect), one (d = 0.64, medium effect), and two (d = 0.64, medium effect) prior concussions. Although the group with three or more concussions also reported more traumatic stress symptoms, the results revealed that traumatic stress was a mediator between concussions and post-concussive symptom severity. There were no significant differences on neurocognitive testing between the number of concussions. These results add to the accumulating evidence suggesting that most individuals recover from one or two prior concussions, but there is a greater risk for ongoing symptoms if one exceeds this number of injuries. (PsycINFO Database Record (c) 2015 APA, all rights reserved). (journal abstract)","DOI":"10.1089/neu.2014.3810","ISSN":"0897-7151","journalAbbreviation":"Journal of Neurotrauma","author":[{"family":"Dretsch","given":"Michael N."},{"family":"Silverberg","given":"Noah D."},{"family":"Iverson","given":"Grant L."}],"issued":{"date-parts":[["2015",9,1]]}}}],"schema":"https://github.com/citation-style-language/schema/raw/master/csl-citation.json"}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[31]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458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76.64</w:t>
            </w:r>
          </w:p>
          <w:p w:rsidR="00F537B6" w:rsidRPr="00563EB7" w:rsidRDefault="00F537B6" w:rsidP="00F537B6">
            <w:pPr>
              <w:rPr>
                <w:rFonts w:ascii="Arial" w:hAnsi="Arial" w:cs="Arial"/>
                <w:sz w:val="20"/>
                <w:szCs w:val="20"/>
              </w:rPr>
            </w:pPr>
            <w:r w:rsidRPr="00563EB7">
              <w:rPr>
                <w:rFonts w:ascii="Arial" w:hAnsi="Arial" w:cs="Arial"/>
                <w:sz w:val="20"/>
                <w:szCs w:val="20"/>
              </w:rPr>
              <w:t>Black, 10.04</w:t>
            </w:r>
          </w:p>
          <w:p w:rsidR="00F537B6" w:rsidRPr="00563EB7" w:rsidRDefault="00F537B6" w:rsidP="00F537B6">
            <w:pPr>
              <w:rPr>
                <w:rFonts w:ascii="Arial" w:hAnsi="Arial" w:cs="Arial"/>
                <w:sz w:val="20"/>
                <w:szCs w:val="20"/>
              </w:rPr>
            </w:pPr>
            <w:r w:rsidRPr="00563EB7">
              <w:rPr>
                <w:rFonts w:ascii="Arial" w:hAnsi="Arial" w:cs="Arial"/>
                <w:sz w:val="20"/>
                <w:szCs w:val="20"/>
              </w:rPr>
              <w:t>Hispanic or Latino, 6.99</w:t>
            </w:r>
          </w:p>
          <w:p w:rsidR="00F537B6" w:rsidRPr="00563EB7" w:rsidRDefault="00F537B6" w:rsidP="00F537B6">
            <w:pPr>
              <w:rPr>
                <w:rFonts w:ascii="Arial" w:hAnsi="Arial" w:cs="Arial"/>
                <w:sz w:val="20"/>
                <w:szCs w:val="20"/>
              </w:rPr>
            </w:pPr>
            <w:r w:rsidRPr="00563EB7">
              <w:rPr>
                <w:rFonts w:ascii="Arial" w:hAnsi="Arial" w:cs="Arial"/>
                <w:sz w:val="20"/>
                <w:szCs w:val="20"/>
              </w:rPr>
              <w:t>Pacific Islander, 2.84</w:t>
            </w:r>
          </w:p>
          <w:p w:rsidR="00F537B6" w:rsidRPr="00563EB7" w:rsidRDefault="00F537B6" w:rsidP="00F537B6">
            <w:pPr>
              <w:rPr>
                <w:rFonts w:ascii="Arial" w:hAnsi="Arial" w:cs="Arial"/>
                <w:sz w:val="20"/>
                <w:szCs w:val="20"/>
              </w:rPr>
            </w:pPr>
            <w:r w:rsidRPr="00563EB7">
              <w:rPr>
                <w:rFonts w:ascii="Arial" w:hAnsi="Arial" w:cs="Arial"/>
                <w:sz w:val="20"/>
                <w:szCs w:val="20"/>
              </w:rPr>
              <w:t>Other, 2.4</w:t>
            </w:r>
          </w:p>
          <w:p w:rsidR="00F537B6" w:rsidRPr="00563EB7" w:rsidRDefault="00F537B6" w:rsidP="00F537B6">
            <w:pPr>
              <w:rPr>
                <w:rFonts w:ascii="Arial" w:hAnsi="Arial" w:cs="Arial"/>
                <w:sz w:val="20"/>
                <w:szCs w:val="20"/>
              </w:rPr>
            </w:pPr>
            <w:r w:rsidRPr="00563EB7">
              <w:rPr>
                <w:rFonts w:ascii="Arial" w:hAnsi="Arial" w:cs="Arial"/>
                <w:sz w:val="20"/>
                <w:szCs w:val="20"/>
              </w:rPr>
              <w:t>Native American, 1.09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167</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Durazzo</w:t>
            </w:r>
            <w:proofErr w:type="spellEnd"/>
            <w:r w:rsidRPr="00563EB7">
              <w:rPr>
                <w:rFonts w:ascii="Arial" w:hAnsi="Arial" w:cs="Arial"/>
                <w:sz w:val="20"/>
                <w:szCs w:val="20"/>
              </w:rPr>
              <w:t xml:space="preserve">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lml56v5s4","properties":{"formattedCitation":"[32]","plainCitation":"[32]"},"citationItems":[{"id":4349,"uris":["http://zotero.org/users/1562642/items/X85CRWIW"],"uri":["http://zotero.org/users/1562642/items/X85CRWIW"],"itemData":{"id":4349,"type":"article-journal","title":"The Influence of Chronic Cigarette Smoking on Neurocognitive Recovery after Mild Traumatic Brain Injury","container-title":"Journal of Neurotrauma","page":"1013-1022","volume":"30","issue":"11","source":"EBSCOhost","abstract":"AbstractThe majority of the approximately 1.7 million civilians in the United States who seek emergency care for traumatic brain injury (TBI) are classified as mild (MTBI). Premorbid and comorbid conditions that commonly accompany MTBI may influence neurocognitive and functional recovery. This study assessed the influence of chronic smoking and hazardous alcohol consumption on neurocognitive recovery after MTBI. A comprehensive neurocognitive battery was administered to 25 non-smoking MTBI participants (nsMTBI), 19 smoking MTBI (sMTBI) 38±22 days (assessment point 1: AP1) and 230±36 (assessment point 2: AP2) days after injury. Twenty non-smoking light drinkers served as controls (CON). At AP1, nsMTBI and sMTBI were inferior to CON on measures of auditory-verbal learning and memory; nsMTBI performed more poorly than CON on processing speed and global neurocognition, and sMTBI performed worse than CON on working memory measures; nsMTBI were inferior to sMTBI on visuospatial memory. Over the AP1-AP2 interval, nsMTBI showed significantly greater improvement than sMTBI on measures of processing speed, visuospatial learning and memory, visuospatial skills, and global neurocognition, whereas sMTBI only showed significant improvement on executive skills. At AP2, sMTBI remained inferior to CON on auditory-verbal learning and auditory-verbal memory; there were no significant differences between nsMTBI and CON or among nsMTBI and sMTBI on any domain at AP2. Hazardous alcohol consumption was not significantly associated with change in any neurocognitive domain. For sMTBI, over the AP1-AP2 interval, greater lifetime duration of smoking and pack-years were related to significantly less improvement on multiple domains. Results suggest consideration of the effects of chronic cigarette smoking is necessary to understand the potential factors influencing neurocognitive recovery after MTBI.","ISSN":"08977151","journalAbbreviation":"Journal of Neurotrauma","author":[{"family":"Durazzo","given":"Timothy C."},{"family":"Abadjian","given":"Linda"},{"family":"Kincaid","given":"Adam"},{"family":"Bilovsky-Muniz","given":"Tobias"},{"family":"Boreta","given":"Lauren"},{"family":"Gauger","given":"Grant E."}],"issued":{"date-parts":[["2013",6]]}}}],"schema":"https://github.com/citation-style-language/schema/raw/master/csl-citation.json"}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[32]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71.88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1240</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Echemendia</w:t>
            </w:r>
            <w:proofErr w:type="spellEnd"/>
            <w:r w:rsidRPr="00563EB7">
              <w:rPr>
                <w:rFonts w:ascii="Arial" w:hAnsi="Arial" w:cs="Arial"/>
                <w:sz w:val="20"/>
                <w:szCs w:val="20"/>
              </w:rPr>
              <w:t xml:space="preserve">, </w:t>
            </w:r>
            <w:proofErr w:type="spellStart"/>
            <w:r w:rsidRPr="00563EB7">
              <w:rPr>
                <w:rFonts w:ascii="Arial" w:hAnsi="Arial" w:cs="Arial"/>
                <w:sz w:val="20"/>
                <w:szCs w:val="20"/>
              </w:rPr>
              <w:t>Putukian</w:t>
            </w:r>
            <w:proofErr w:type="spellEnd"/>
            <w:r w:rsidRPr="00563EB7">
              <w:rPr>
                <w:rFonts w:ascii="Arial" w:hAnsi="Arial" w:cs="Arial"/>
                <w:sz w:val="20"/>
                <w:szCs w:val="20"/>
              </w:rPr>
              <w:t xml:space="preserve">, </w:t>
            </w:r>
            <w:proofErr w:type="spellStart"/>
            <w:r w:rsidRPr="00563EB7">
              <w:rPr>
                <w:rFonts w:ascii="Arial" w:hAnsi="Arial" w:cs="Arial"/>
                <w:sz w:val="20"/>
                <w:szCs w:val="20"/>
              </w:rPr>
              <w:t>Mackin</w:t>
            </w:r>
            <w:proofErr w:type="spellEnd"/>
            <w:r w:rsidRPr="00563EB7">
              <w:rPr>
                <w:rFonts w:ascii="Arial" w:hAnsi="Arial" w:cs="Arial"/>
                <w:sz w:val="20"/>
                <w:szCs w:val="20"/>
              </w:rPr>
              <w:t xml:space="preserve">, Julian, &amp; </w:t>
            </w:r>
            <w:proofErr w:type="spellStart"/>
            <w:r w:rsidRPr="00563EB7">
              <w:rPr>
                <w:rFonts w:ascii="Arial" w:hAnsi="Arial" w:cs="Arial"/>
                <w:sz w:val="20"/>
                <w:szCs w:val="20"/>
              </w:rPr>
              <w:t>Shoss</w:t>
            </w:r>
            <w:proofErr w:type="spellEnd"/>
            <w:r w:rsidRPr="00563EB7">
              <w:rPr>
                <w:rFonts w:ascii="Arial" w:hAnsi="Arial" w:cs="Arial"/>
                <w:sz w:val="20"/>
                <w:szCs w:val="20"/>
              </w:rPr>
              <w:t>, 2001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ln697dtn9","properties":{"formattedCitation":"[33]","plainCitation":"[33]"},"citationItems":[{"id":1043,"uris":["http://zotero.org/users/1562642/items/4P8AD29A"],"uri":["http://zotero.org/users/1562642/items/4P8AD29A"],"itemData":{"id":1043,"type":"article-journal","title":"Neuropsychological test performance prior to and following sports-related mild traumatic brain injury","container-title":"Clinical Journal of Sport Medicine","page":"23–31","volume":"11","issue":"1","source":"Google Scholar","author":[{"family":"Echemendia","given":"Ruben J."},{"family":"Putukian","given":"Margot"},{"family":"Mackin","given":"R. Scott"},{"family":"Julian","given":"Laura"},{"family":"Shoss","given":"Naomi"}],"issued":{"date-parts":[["2001"]]}}}],"schema":"https://github.com/citation-style-language/schema/raw/master/csl-citation.json"}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[33]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81.63</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12.24</w:t>
            </w:r>
          </w:p>
          <w:p w:rsidR="00F537B6" w:rsidRPr="00563EB7" w:rsidRDefault="00F537B6" w:rsidP="00F537B6">
            <w:pPr>
              <w:rPr>
                <w:rFonts w:ascii="Arial" w:hAnsi="Arial" w:cs="Arial"/>
                <w:sz w:val="20"/>
                <w:szCs w:val="20"/>
              </w:rPr>
            </w:pPr>
            <w:r w:rsidRPr="00563EB7">
              <w:rPr>
                <w:rFonts w:ascii="Arial" w:hAnsi="Arial" w:cs="Arial"/>
                <w:sz w:val="20"/>
                <w:szCs w:val="20"/>
              </w:rPr>
              <w:t>Undeclared ethnicity, 4.08</w:t>
            </w:r>
          </w:p>
          <w:p w:rsidR="00F537B6" w:rsidRPr="00563EB7" w:rsidRDefault="00F537B6" w:rsidP="00F537B6">
            <w:pPr>
              <w:rPr>
                <w:rFonts w:ascii="Arial" w:hAnsi="Arial" w:cs="Arial"/>
                <w:sz w:val="20"/>
                <w:szCs w:val="20"/>
              </w:rPr>
            </w:pPr>
            <w:r w:rsidRPr="00563EB7">
              <w:rPr>
                <w:rFonts w:ascii="Arial" w:hAnsi="Arial" w:cs="Arial"/>
                <w:sz w:val="20"/>
                <w:szCs w:val="20"/>
              </w:rPr>
              <w:t>Latino, 2.04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Erlanger et al., 2003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6fkvllaam","properties":{"formattedCitation":"[34]","plainCitation":"[34]"},"citationItems":[{"id":4674,"uris":["http://zotero.org/users/1562642/items/JAC9SU63"],"uri":["http://zotero.org/users/1562642/items/JAC9SU63"],"itemData":{"id":4674,"type":"article-journal","title":"Development and validation of a web-based neuropsychological test protocol for sports-related return-to-play decision-making","container-title":"Archives of Clinical Neuropsychology","page":"293-316","volume":"18","issue":"3","source":"EBSCOhost","archive_location":"2003-03427-007","abstract":"The Concussion Resolution Index (CRI) is an online assessment tool designed to track resolution of symptoms following sports-related concussion. The CRI is composed of six subtests measuring reaction time, visual recognition, and speed of information processing. Three factors are derived from the subtests: Simple Reaction Time (SRT), Complex Reaction Time (CRT), and Processing Speed (PS). Multiple alternate forms within subtests afford simple, reliable, assessment of change, relative to a baseline test completed by an athlete. The test also assesses self-reported neurophysiological symptoms at the time of injury and tracks resolution of these symptoms. The data demonstrate the CRI is a valid and reliable measure of cognitive performance in a relatively heterogeneous group of athletes (aged 13-35 yrs). Two methods of statistical analysis for assessing change from baseline were compared to establish a psychometric basis for return-to-play decision-making: the Reliable Change Index (RCI) and multiple regression. Multiple regression was more accurate than the RCI in determining a decline in performance relative to the baseline. (PsycINFO Database Record (c) 2013 APA, all rights reserved)","DOI":"10.1016/S0887-6177(02)00138-5","ISSN":"0887-6177","journalAbbreviation":"Archives of Clinical Neuropsychology","author":[{"family":"Erlanger","given":"David"},{"family":"Feldman","given":"Daniel"},{"family":"Kutner","given":"Kenneth"},{"family":"Kaushik","given":"Tanya"},{"family":"Kroger","given":"Hans"},{"family":"Festa","given":"Joanne"},{"family":"Barth","given":"Jeffrey"},{"family":"Freeman","given":"Jason"},{"family":"Broshek","given":"Donna"}],"issued":{"date-parts":[["2003",4]]}}}],"schema":"https://github.com/citation-style-language/schema/raw/master/csl-citation.json"} </w:instrText>
            </w:r>
            <w:r>
              <w:rPr>
                <w:rFonts w:ascii="Arial" w:hAnsi="Arial" w:cs="Arial"/>
                <w:sz w:val="20"/>
                <w:szCs w:val="20"/>
              </w:rPr>
              <w:fldChar w:fldCharType="separate"/>
            </w:r>
            <w:r w:rsidRPr="007468BC">
              <w:rPr>
                <w:rFonts w:ascii="Arial" w:hAnsi="Arial" w:cs="Arial"/>
                <w:sz w:val="20"/>
              </w:rPr>
              <w:t>[34]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440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55</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11.59</w:t>
            </w:r>
          </w:p>
          <w:p w:rsidR="00F537B6" w:rsidRPr="00563EB7" w:rsidRDefault="00F537B6" w:rsidP="00F537B6">
            <w:pPr>
              <w:rPr>
                <w:rFonts w:ascii="Arial" w:hAnsi="Arial" w:cs="Arial"/>
                <w:sz w:val="20"/>
                <w:szCs w:val="20"/>
              </w:rPr>
            </w:pPr>
            <w:r w:rsidRPr="00563EB7">
              <w:rPr>
                <w:rFonts w:ascii="Arial" w:hAnsi="Arial" w:cs="Arial"/>
                <w:sz w:val="20"/>
                <w:szCs w:val="20"/>
              </w:rPr>
              <w:t>Asian American, 5.91</w:t>
            </w:r>
          </w:p>
          <w:p w:rsidR="00F537B6" w:rsidRPr="00563EB7" w:rsidRDefault="00F537B6" w:rsidP="00F537B6">
            <w:pPr>
              <w:rPr>
                <w:rFonts w:ascii="Arial" w:hAnsi="Arial" w:cs="Arial"/>
                <w:sz w:val="20"/>
                <w:szCs w:val="20"/>
              </w:rPr>
            </w:pPr>
            <w:r w:rsidRPr="00563EB7">
              <w:rPr>
                <w:rFonts w:ascii="Arial" w:hAnsi="Arial" w:cs="Arial"/>
                <w:sz w:val="20"/>
                <w:szCs w:val="20"/>
              </w:rPr>
              <w:t>Hispanic, 4.09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86</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Ettenhofer</w:t>
            </w:r>
            <w:proofErr w:type="spellEnd"/>
            <w:r w:rsidRPr="00563EB7">
              <w:rPr>
                <w:rFonts w:ascii="Arial" w:hAnsi="Arial" w:cs="Arial"/>
                <w:sz w:val="20"/>
                <w:szCs w:val="20"/>
              </w:rPr>
              <w:t xml:space="preserve"> &amp; Abeles, 2008</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7jfoeueu","properties":{"formattedCitation":"[35]","plainCitation":"[35]"},"citationItems":[{"id":5083,"uris":["http://zotero.org/users/1562642/items/8VXTBSTQ"],"uri":["http://zotero.org/users/1562642/items/8VXTBSTQ"],"itemData":{"id":5083,"type":"article-journal","title":"The significance of mild traumatic brain injury to cognition and self-reported symptoms in long-term recovery from injury","container-title":"Journal of Clinical and Experimental Neuropsychology","page":"363-372","volume":"31","issue":"3","source":"EBSCOhost","archive_location":"2009-04433-009","abstract":"The aim of this study was to evaluate neurocognition and self-reported symptoms in long-term recovery from mild traumatic brain injury (mild TBI). Participants’ time since injury ranged from 3 to 72 (M = 36.75) months. Relative to orthopedic injury controls (n = 63), mild TBI participants (n = 63) did not demonstrate cognitive impairment in any domains examined, or differences in self-report of postconcussive or psychiatric symptoms. However, postconcussive and psychiatric symptoms were strongly related (r = .50, p &lt; .05). Results provide additional evidence that neurological injury in single-incident mild TBI is of little clinical significance to long-term cognitive and symptom outcome. (PsycINFO Database Record (c) 2014 APA, all rights reserved). (journal abstract)","DOI":"10.1080/13803390802175270","ISSN":"1380-3395","journalAbbreviation":"Journal of Clinical &amp; Experimental Neuropsychology","author":[{"family":"Ettenhofer","given":"Mark L."},{"family":"Abeles","given":"Norman"}],"issued":{"date-parts":[["2008",7]]}}}],"schema":"https://github.com/citation-style-language/schema/raw/master/csl-citation.json"}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[35]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2008</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Caucasian/White, 90.48</w:t>
            </w:r>
          </w:p>
          <w:p w:rsidR="00F537B6" w:rsidRPr="00563EB7" w:rsidRDefault="00F537B6" w:rsidP="00F537B6">
            <w:pPr>
              <w:rPr>
                <w:rFonts w:ascii="Arial" w:hAnsi="Arial" w:cs="Arial"/>
                <w:sz w:val="20"/>
                <w:szCs w:val="20"/>
              </w:rPr>
            </w:pPr>
            <w:r w:rsidRPr="00563EB7">
              <w:rPr>
                <w:rFonts w:ascii="Arial" w:hAnsi="Arial" w:cs="Arial"/>
                <w:sz w:val="20"/>
                <w:szCs w:val="20"/>
              </w:rPr>
              <w:t>African-American/Black, 3.97</w:t>
            </w:r>
          </w:p>
          <w:p w:rsidR="00F537B6" w:rsidRPr="00563EB7" w:rsidRDefault="00F537B6" w:rsidP="00F537B6">
            <w:pPr>
              <w:rPr>
                <w:rFonts w:ascii="Arial" w:hAnsi="Arial" w:cs="Arial"/>
                <w:sz w:val="20"/>
                <w:szCs w:val="20"/>
              </w:rPr>
            </w:pPr>
            <w:r w:rsidRPr="00563EB7">
              <w:rPr>
                <w:rFonts w:ascii="Arial" w:hAnsi="Arial" w:cs="Arial"/>
                <w:sz w:val="20"/>
                <w:szCs w:val="20"/>
              </w:rPr>
              <w:t>Asian, 2.38</w:t>
            </w:r>
          </w:p>
          <w:p w:rsidR="00F537B6" w:rsidRPr="00563EB7" w:rsidRDefault="00F537B6" w:rsidP="00F537B6">
            <w:pPr>
              <w:rPr>
                <w:rFonts w:ascii="Arial" w:hAnsi="Arial" w:cs="Arial"/>
                <w:sz w:val="20"/>
                <w:szCs w:val="20"/>
              </w:rPr>
            </w:pPr>
            <w:r w:rsidRPr="00563EB7">
              <w:rPr>
                <w:rFonts w:ascii="Arial" w:hAnsi="Arial" w:cs="Arial"/>
                <w:sz w:val="20"/>
                <w:szCs w:val="20"/>
              </w:rPr>
              <w:lastRenderedPageBreak/>
              <w:t>Hispanic or Latino, 1.59</w:t>
            </w:r>
          </w:p>
          <w:p w:rsidR="00F537B6" w:rsidRPr="00563EB7" w:rsidRDefault="00F537B6" w:rsidP="00F537B6">
            <w:pPr>
              <w:rPr>
                <w:rFonts w:ascii="Arial" w:hAnsi="Arial" w:cs="Arial"/>
                <w:sz w:val="20"/>
                <w:szCs w:val="20"/>
              </w:rPr>
            </w:pPr>
            <w:r w:rsidRPr="00563EB7">
              <w:rPr>
                <w:rFonts w:ascii="Arial" w:hAnsi="Arial" w:cs="Arial"/>
                <w:sz w:val="20"/>
                <w:szCs w:val="20"/>
              </w:rPr>
              <w:t>Other, 1.59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17</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Fann</w:t>
            </w:r>
            <w:proofErr w:type="spellEnd"/>
            <w:r w:rsidRPr="00563EB7">
              <w:rPr>
                <w:rFonts w:ascii="Arial" w:hAnsi="Arial" w:cs="Arial"/>
                <w:sz w:val="20"/>
                <w:szCs w:val="20"/>
              </w:rPr>
              <w:t xml:space="preserve">, </w:t>
            </w:r>
            <w:proofErr w:type="spellStart"/>
            <w:r w:rsidRPr="00563EB7">
              <w:rPr>
                <w:rFonts w:ascii="Arial" w:hAnsi="Arial" w:cs="Arial"/>
                <w:sz w:val="20"/>
                <w:szCs w:val="20"/>
              </w:rPr>
              <w:t>Uomoto</w:t>
            </w:r>
            <w:proofErr w:type="spellEnd"/>
            <w:r w:rsidRPr="00563EB7">
              <w:rPr>
                <w:rFonts w:ascii="Arial" w:hAnsi="Arial" w:cs="Arial"/>
                <w:sz w:val="20"/>
                <w:szCs w:val="20"/>
              </w:rPr>
              <w:t xml:space="preserve">, &amp; </w:t>
            </w:r>
            <w:proofErr w:type="spellStart"/>
            <w:r w:rsidRPr="00563EB7">
              <w:rPr>
                <w:rFonts w:ascii="Arial" w:hAnsi="Arial" w:cs="Arial"/>
                <w:sz w:val="20"/>
                <w:szCs w:val="20"/>
              </w:rPr>
              <w:t>Katon</w:t>
            </w:r>
            <w:proofErr w:type="spellEnd"/>
            <w:r w:rsidRPr="00563EB7">
              <w:rPr>
                <w:rFonts w:ascii="Arial" w:hAnsi="Arial" w:cs="Arial"/>
                <w:sz w:val="20"/>
                <w:szCs w:val="20"/>
              </w:rPr>
              <w:t>, 2001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15m2qbihgu","properties":{"formattedCitation":"[36]","plainCitation":"[36]"},"citationItems":[{"id":5087,"uris":["http://zotero.org/users/1562642/items/DTVN493R"],"uri":["http://zotero.org/users/1562642/items/DTVN493R"],"itemData":{"id":5087,"type":"article-journal","title":"Cognitive improvement with treatment of depression following mild traumatic brain injury","container-title":"Psychosomatics","page":"48-54","volume":"42","issue":"1","source":"EBSCOhost","archive_location":"2001-14149-007","abstract":"The authors examined the effect of antidepressant treatment on cognitive performances in 15 people with mild traumatic brain injury (aged 24–54 yrs) and major depression. An 8-week nonrandomized, single-blind, placebo run-in trial of sertraline was completed and neuropsychological testing measures were compared before and after the treatment trial. Results showed improvements in psychomotor speed, recent verbal memory, recent visual memory, and general cognitive efficiency. Improvements were also seen in self perception of cognitive symptomatology. It appears that successful depression treatment resulted in significant alleviation of cognitive impairments, which may not have been accounted for by natural recovery alone. (PsycINFO Database Record (c) 2013 APA, all rights reserved)","DOI":"10.1176/appi.psy.42.1.48","ISSN":"0033-3182","journalAbbreviation":"Psychosomatics","author":[{"family":"Fann","given":"Jesse R."},{"family":"Uomoto","given":"Jay M."},{"family":"Katon","given":"Wayne J."}],"issued":{"date-parts":[["2001",1]]}}}],"schema":"https://github.com/citation-style-language/schema/raw/master/csl-citation.json"}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[36]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86.67</w:t>
            </w:r>
          </w:p>
          <w:p w:rsidR="00F537B6" w:rsidRPr="00563EB7" w:rsidRDefault="00F537B6" w:rsidP="00F537B6">
            <w:pPr>
              <w:rPr>
                <w:rFonts w:ascii="Arial" w:hAnsi="Arial" w:cs="Arial"/>
                <w:sz w:val="20"/>
                <w:szCs w:val="20"/>
              </w:rPr>
            </w:pPr>
            <w:r w:rsidRPr="00563EB7">
              <w:rPr>
                <w:rFonts w:ascii="Arial" w:hAnsi="Arial" w:cs="Arial"/>
                <w:sz w:val="20"/>
                <w:szCs w:val="20"/>
              </w:rPr>
              <w:t>American Indian, 6.67</w:t>
            </w:r>
          </w:p>
          <w:p w:rsidR="00F537B6" w:rsidRPr="00563EB7" w:rsidRDefault="00F537B6" w:rsidP="00F537B6">
            <w:pPr>
              <w:rPr>
                <w:rFonts w:ascii="Arial" w:hAnsi="Arial" w:cs="Arial"/>
                <w:sz w:val="20"/>
                <w:szCs w:val="20"/>
              </w:rPr>
            </w:pPr>
            <w:r w:rsidRPr="00563EB7">
              <w:rPr>
                <w:rFonts w:ascii="Arial" w:hAnsi="Arial" w:cs="Arial"/>
                <w:sz w:val="20"/>
                <w:szCs w:val="20"/>
              </w:rPr>
              <w:t>Asian or Pacific Islander, 6.67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Fay et al., 2010</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24od32qte5","properties":{"formattedCitation":"[37]","plainCitation":"[37]"},"citationItems":[{"id":5086,"uris":["http://zotero.org/users/1562642/items/8V33RJQK"],"uri":["http://zotero.org/users/1562642/items/8V33RJQK"],"itemData":{"id":5086,"type":"article-journal","title":"Cognitive reserve as a moderator of postconcussive symptoms in children with complicated and uncomplicated mild traumatic brain injury","container-title":"Journal of the International Neuropsychological Society","page":"94-105","volume":"16","issue":"1","source":"EBSCOhost","archive_location":"2010-00823-011","abstract":"The occurrence of postconcussive symptoms (PCS) following mild traumatic brain injury (TBI) in children may depend on cognitive reserve capacity. This prospective, longitudinal study examined whether the relationship between mild TBI and PCS is moderated by cognitive ability, which served as a proxy for cognitive reserve. Participants included 182 children with mild TBI and 99 children with orthopedic injuries (OI), ranging from 8 to 15 years of age when injured. Mild TBI were classified as complicated (n = 32) or uncomplicated (n = 150) depending on whether they were associated with trauma-related intracranial abnormalities on magnetic resonance imaging. PCS were assessed initially within 3 weeks of injury, and again at 1, 3, and 12 months post injury. The initial assessment also included standardized tests of children's cognitive skills and retrospective parent ratings of pre-injury symptoms. Hierarchical linear modeling indicated that ratings of PCS were moderated jointly by cognitive ability and injury severity. Children of lower cognitive ability with a complicated mild TBI were especially prone to cognitive symptoms across time according to parents and to high acute levels of PCS according to children's self-ratings. Cognitive reserve is an important moderator of the outcomes of mild TBI in children and adolescents. (PsycINFO Database Record (c) 2015 APA, all rights reserved). (journal abstract)","DOI":"10.1017/S1355617709991007","ISSN":"1355-6177","journalAbbreviation":"Journal of the International Neuropsychological Society","author":[{"family":"Fay","given":"Taryn B."},{"family":"Yeates","given":"Keith Owen"},{"family":"Taylor","given":"H. Gerry"},{"family":"Bangert","given":"Barbara"},{"family":"Dietrich","given":"Ann"},{"family":"Nuss","given":"Kathryn"},{"family":"Rusin","given":"Jerome"},{"family":"Wright","given":"Martha"}],"issued":{"date-parts":[["2010",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[37]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2010</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281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69.04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Fisher et al., 2000</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cmtqu37rf","properties":{"formattedCitation":"[38]","plainCitation":"[38]"},"citationItems":[{"id":3353,"uris":["http://zotero.org/users/1562642/items/T5KXKPKB"],"uri":["http://zotero.org/users/1562642/items/T5KXKPKB"],"itemData":{"id":3353,"type":"article-journal","title":"WAIS-III and WMS-III profiles of mildly to severely brain-injured patients","container-title":"Applied Neuropsychology","page":"126–132","volume":"7","issue":"3","source":"Google Scholar","abstract":"The Wechsler Adult Intelligence Scale–III (WAIS–III) and the Wechsler Memory Scale–III (WMS–III) scores of 23 patients with mild traumatic brain injury (MBTI) and 22 patients with moderate–severe traumatic brain injury (MSTBI) were compared to those of 45 matched normal control patients. WAIS–III results revealed that IQ and index scores of MTBI patients did not significantly differ from those of controls, whereas MSTBI patients' WMS–III index scores also revealed significantly lower scores in comparison to those of controls, with the exception of delayed auditory recognition. MTBI patients showed significnatly lower mean index scores compared to normal controls on measures of immediate and delayed auditory memory, immediate memory, visual delayed memory, and general memory. Eta-squared analyses revealed that WMS–III visual indexes and WAIS–III processing speed showed particularly large effect sizes. Result suggest that symptomatic MTBI patients obtain some low WMS–III test scores comparable to those of more severely injured patients. (PsycINFO Database Record (c) 2014 APA, all rights reserved)","DOI":"10.1207/S15324826AN0703_2","author":[{"family":"Fisher","given":"David C."},{"family":"Ledbetter","given":"Mark F."},{"family":"Cohen","given":"Norman J."},{"family":"Marmor","given":"Debra"},{"family":"Tulsky","given":"David S."}],"issued":{"date-parts":[["2000"]]}}}],"schema":"https://github.com/citation-style-language/schema/raw/master/csl-citation.json"}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[38]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2000</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93.33</w:t>
            </w:r>
          </w:p>
          <w:p w:rsidR="00F537B6" w:rsidRPr="00563EB7" w:rsidRDefault="00F537B6" w:rsidP="00F537B6">
            <w:pPr>
              <w:rPr>
                <w:rFonts w:ascii="Arial" w:hAnsi="Arial" w:cs="Arial"/>
                <w:sz w:val="20"/>
                <w:szCs w:val="20"/>
              </w:rPr>
            </w:pPr>
            <w:r w:rsidRPr="00563EB7">
              <w:rPr>
                <w:rFonts w:ascii="Arial" w:hAnsi="Arial" w:cs="Arial"/>
                <w:sz w:val="20"/>
                <w:szCs w:val="20"/>
              </w:rPr>
              <w:t>Asian, 2.22</w:t>
            </w:r>
          </w:p>
          <w:p w:rsidR="00F537B6" w:rsidRPr="00563EB7" w:rsidRDefault="00F537B6" w:rsidP="00F537B6">
            <w:pPr>
              <w:rPr>
                <w:rFonts w:ascii="Arial" w:hAnsi="Arial" w:cs="Arial"/>
                <w:sz w:val="20"/>
                <w:szCs w:val="20"/>
              </w:rPr>
            </w:pPr>
            <w:r w:rsidRPr="00563EB7">
              <w:rPr>
                <w:rFonts w:ascii="Arial" w:hAnsi="Arial" w:cs="Arial"/>
                <w:sz w:val="20"/>
                <w:szCs w:val="20"/>
              </w:rPr>
              <w:t>Black, 2.22</w:t>
            </w:r>
          </w:p>
          <w:p w:rsidR="00F537B6" w:rsidRPr="00563EB7" w:rsidRDefault="00F537B6" w:rsidP="00F537B6">
            <w:pPr>
              <w:rPr>
                <w:rFonts w:ascii="Arial" w:hAnsi="Arial" w:cs="Arial"/>
                <w:sz w:val="20"/>
                <w:szCs w:val="20"/>
              </w:rPr>
            </w:pPr>
            <w:r w:rsidRPr="00563EB7">
              <w:rPr>
                <w:rFonts w:ascii="Arial" w:hAnsi="Arial" w:cs="Arial"/>
                <w:sz w:val="20"/>
                <w:szCs w:val="20"/>
              </w:rPr>
              <w:t>Hispanic, 2.22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592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Franke, </w:t>
            </w:r>
            <w:proofErr w:type="spellStart"/>
            <w:r w:rsidRPr="00563EB7">
              <w:rPr>
                <w:rFonts w:ascii="Arial" w:hAnsi="Arial" w:cs="Arial"/>
                <w:sz w:val="20"/>
                <w:szCs w:val="20"/>
              </w:rPr>
              <w:t>Czarnota</w:t>
            </w:r>
            <w:proofErr w:type="spellEnd"/>
            <w:r w:rsidRPr="00563EB7">
              <w:rPr>
                <w:rFonts w:ascii="Arial" w:hAnsi="Arial" w:cs="Arial"/>
                <w:sz w:val="20"/>
                <w:szCs w:val="20"/>
              </w:rPr>
              <w:t>, Ketchum, &amp; Walker,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poh1m2s52","properties":{"formattedCitation":"[39]","plainCitation":"[39]"},"citationItems":[{"id":4678,"uris":["http://zotero.org/users/1562642/items/FEFQM2S8"],"uri":["http://zotero.org/users/1562642/items/FEFQM2S8"],"itemData":{"id":4678,"type":"article-journal","title":"Factor analysis of persistent postconcussive symptoms within a military sample with blast exposure","container-title":"Journal of Head Trauma Rehabilitation","page":"E34-E46","volume":"30","issue":"1","source":"EBSCOhost","abstract":"Objective: To determine the factor structure of persistent postconcussive syndrome symptoms in a blast-exposed military sample and validate factors against objective and symptom measures. Setting: Veterans Affairs medical center and military bases. Participants: One hundred eighty-one service members and veterans with at least 1 significant exposure to blast during deployment within the 2 years prior to study enrollment. Design: Confirmatory and exploratory factor analyses of the Rivermead Postconcussion Questionnaire. Main Measures: Rivermead Postconcussion Questionnaire, PTSD (posttraumatic stress disorder) Symptom Checklist–Civilian, Center for Epidemiological Studies Depression scale, Sensory Organization Test, Paced Auditory Serial Addition Test, California Verbal Learning Test, and Delis-Kaplan Executive Function System subtests. Results: The 3-factor structure of persistent postconcussive syndrome was not confirmed. A 4-factor structure was extracted, and factors were interpreted as reflecting emotional, cognitive, visual, and vestibular functions. All factors were associated with scores on psychological symptom inventories; visual and vestibular factors were also associated with balance performance. There was no significant association between the cognitive factor and neuropsychological performance or between a history of mild traumatic brain injury and factor scores. Conclusion: Persistent postconcussive symptoms observed months after blast exposure seem to be related to 4 distinct forms of distress, but not to mild traumatic brain injury per se, with vestibular and visual factors possibly related to injury of sensory organs by blast. ABSTRACT FROM AUTHOR","ISSN":"08859701","journalAbbreviation":"Journal of Head Trauma Rehabilitation","author":[{"family":"Franke","given":"Laura M."},{"family":"Czarnota","given":"Jenna N."},{"family":"Ketchum","given":"Jessica M."},{"family":"Walker","given":"William C."}],"issued":{"date-parts":[["2015",2,1]]}}}],"schema":"https://github.com/citation-style-language/schema/raw/master/csl-citation.json"}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[39]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181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79.01</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14.92</w:t>
            </w:r>
          </w:p>
          <w:p w:rsidR="00F537B6" w:rsidRPr="00563EB7" w:rsidRDefault="00F537B6" w:rsidP="00F537B6">
            <w:pPr>
              <w:rPr>
                <w:rFonts w:ascii="Arial" w:hAnsi="Arial" w:cs="Arial"/>
                <w:sz w:val="20"/>
                <w:szCs w:val="20"/>
              </w:rPr>
            </w:pPr>
            <w:r w:rsidRPr="00563EB7">
              <w:rPr>
                <w:rFonts w:ascii="Arial" w:hAnsi="Arial" w:cs="Arial"/>
                <w:sz w:val="20"/>
                <w:szCs w:val="20"/>
              </w:rPr>
              <w:t>Other, 6.08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962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Gill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13fg0qrvv2","properties":{"formattedCitation":"[40]","plainCitation":"[40]"},"citationItems":[{"id":5313,"uris":["http://zotero.org/users/1562642/items/PSSK84ZV"],"uri":["http://zotero.org/users/1562642/items/PSSK84ZV"],"itemData":{"id":5313,"type":"article-journal","title":"Sports-Related Concussion Results in Differential Expression of Nuclear Factor-κB Pathway Genes in Peripheral Blood During the Acute and Subacute Periods","container-title":"The Journal Of Head Trauma Rehabilitation","source":"EBSCOhost","archive_location":"26479397","abstract":"Objective: To determine changes in global gene expression in peripheral leukocytes in the acute and subacute periods following a sports-related concussion in athletes.; Setting: Samples were collected at 2 universities in Rochester, New York.; Participants: Fifteen contact sport athletes who experienced a sports-related concussion, and 16 nonconcussed teammates served as controls.; Design: Blood samples were collected at the start of the season (baseline), within 6 hours of injury (acute), and at 7 days (subacute) postinjury. Differential gene expression was measured using the GeneChip 3' in vitro transcription Expression kit and Affymetrix microarrays, and genes with fold difference of 2 or more were identified using Partek.; Main Measures: Whole genome differential gene expression, and cognitive and balance measures to asses for clinical symptoms pre- and postinjury.; Results: In the concussed athletes, we observed 67 downregulated and 4 upregulated genes in the acute period and 63 downregulated and 2 upregulated genes in the subacute period compared with baseline. Of these, there were 28 genes from both time points involved in the inflammatory response. No significant differences in gene expression were detected in the control group.; Conclusions: Our findings suggest that recovery from sports-related concussion relates to modulation of inflammation through cytokine and chemokine gene pathways, which can contribute to future development of personalized therapeutic agents.;","ISSN":"1550-509X","journalAbbreviation":"The Journal Of Head Trauma Rehabilitation","author":[{"family":"Gill","given":"Jessica"},{"family":"Merchant-Borna","given":"Kian"},{"family":"Lee","given":"Hyunhwa"},{"family":"Livingston","given":"Whitney S"},{"family":"Olivera","given":"Anlys"},{"family":"Cashion","given":"Ann"},{"family":"Wang","given":"Dan"},{"family":"Bazarian","given":"Jeffrey J"}],"issued":{"date-parts":[["2015",10,16]]}}}],"schema":"https://github.com/citation-style-language/schema/raw/master/csl-citation.json"}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80.64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Gordon, Fitzpatrick, &amp; </w:t>
            </w:r>
            <w:proofErr w:type="spellStart"/>
            <w:r w:rsidRPr="00563EB7">
              <w:rPr>
                <w:rFonts w:ascii="Arial" w:hAnsi="Arial" w:cs="Arial"/>
                <w:sz w:val="20"/>
                <w:szCs w:val="20"/>
              </w:rPr>
              <w:t>Hilsabeck</w:t>
            </w:r>
            <w:proofErr w:type="spellEnd"/>
            <w:r w:rsidRPr="00563EB7">
              <w:rPr>
                <w:rFonts w:ascii="Arial" w:hAnsi="Arial" w:cs="Arial"/>
                <w:sz w:val="20"/>
                <w:szCs w:val="20"/>
              </w:rPr>
              <w:t>, 2011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7m7el724v","properties":{"formattedCitation":"[41]","plainCitation":"[41]"},"citationItems":[{"id":5094,"uris":["http://zotero.org/users/1562642/items/F49I5NSE"],"uri":["http://zotero.org/users/1562642/items/F49I5NSE"],"itemData":{"id":5094,"type":"article-journal","title":"No effect of PTSD and other psychiatric disorders on cognitive functioning in veterans with mild TBI","container-title":"The Clinical Neuropsychologist","page":"337-347","volume":"25","issue":"3","source":"EBSCOhost","archive_location":"2011-07853-001","abstract":"There has been speculation that post-traumatic stress disorder (PTSD) superimposed on mild traumatic brain injury (mTBI) may have synergistic, negative effects on cognitive functioning. The purpose of this study was to investigate differences in processing speed, executive functioning, and memory of 82 veterans with mTBI and PTSD, mTBI, and another psychiatric condition, or mTBI alone. It was hypothesized that there would be no group differences in cognitive performances. Participants completed the Trail Making Test, Stroop, Rey Complex Figure, and California Verbal Learning Test-2. There were no significant group differences on any cognitive measure. Findings suggest that PTSD and other psychiatric disorders do not necessarily have a negative exacerbating effect on processing speed, executive functioning, or memory in veterans with mTBI. (PsycINFO Database Record (c) 2012 APA, all rights reserved). (journal abstract)","DOI":"10.1080/13854046.2010.550634","ISSN":"1385-4046","journalAbbreviation":"The Clinical Neuropsychologist","author":[{"family":"Gordon","given":"Shalanda N."},{"family":"Fitzpatrick","given":"Pamela J."},{"family":"Hilsabeck","given":"Robin C."}],"issued":{"date-parts":[["2011",4]]}}}],"schema":"https://github.com/citation-style-language/schema/raw/master/csl-citation.json"}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51.22</w:t>
            </w:r>
          </w:p>
          <w:p w:rsidR="00F537B6" w:rsidRPr="00563EB7" w:rsidRDefault="00F537B6" w:rsidP="00F537B6">
            <w:pPr>
              <w:rPr>
                <w:rFonts w:ascii="Arial" w:hAnsi="Arial" w:cs="Arial"/>
                <w:sz w:val="20"/>
                <w:szCs w:val="20"/>
              </w:rPr>
            </w:pPr>
            <w:r w:rsidRPr="00563EB7">
              <w:rPr>
                <w:rFonts w:ascii="Arial" w:hAnsi="Arial" w:cs="Arial"/>
                <w:sz w:val="20"/>
                <w:szCs w:val="20"/>
              </w:rPr>
              <w:t>Hispanic or Latino, 32.93</w:t>
            </w:r>
          </w:p>
          <w:p w:rsidR="00F537B6" w:rsidRPr="00563EB7" w:rsidRDefault="00F537B6" w:rsidP="00F537B6">
            <w:pPr>
              <w:rPr>
                <w:rFonts w:ascii="Arial" w:hAnsi="Arial" w:cs="Arial"/>
                <w:sz w:val="20"/>
                <w:szCs w:val="20"/>
              </w:rPr>
            </w:pPr>
            <w:r w:rsidRPr="00563EB7">
              <w:rPr>
                <w:rFonts w:ascii="Arial" w:hAnsi="Arial" w:cs="Arial"/>
                <w:sz w:val="20"/>
                <w:szCs w:val="20"/>
              </w:rPr>
              <w:t>African-American, 9.76</w:t>
            </w:r>
          </w:p>
          <w:p w:rsidR="00F537B6" w:rsidRPr="00563EB7" w:rsidRDefault="00F537B6" w:rsidP="00F537B6">
            <w:pPr>
              <w:rPr>
                <w:rFonts w:ascii="Arial" w:hAnsi="Arial" w:cs="Arial"/>
                <w:sz w:val="20"/>
                <w:szCs w:val="20"/>
              </w:rPr>
            </w:pPr>
            <w:r w:rsidRPr="00563EB7">
              <w:rPr>
                <w:rFonts w:ascii="Arial" w:hAnsi="Arial" w:cs="Arial"/>
                <w:sz w:val="20"/>
                <w:szCs w:val="20"/>
              </w:rPr>
              <w:t>Asian American, 3.66</w:t>
            </w:r>
          </w:p>
          <w:p w:rsidR="00F537B6" w:rsidRPr="00563EB7" w:rsidRDefault="00F537B6" w:rsidP="00F537B6">
            <w:pPr>
              <w:rPr>
                <w:rFonts w:ascii="Arial" w:hAnsi="Arial" w:cs="Arial"/>
                <w:sz w:val="20"/>
                <w:szCs w:val="20"/>
              </w:rPr>
            </w:pPr>
            <w:r w:rsidRPr="00563EB7">
              <w:rPr>
                <w:rFonts w:ascii="Arial" w:hAnsi="Arial" w:cs="Arial"/>
                <w:sz w:val="20"/>
                <w:szCs w:val="20"/>
              </w:rPr>
              <w:t>Native American, 1.22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501</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Greiffenstein</w:t>
            </w:r>
            <w:proofErr w:type="spellEnd"/>
            <w:r w:rsidRPr="00563EB7">
              <w:rPr>
                <w:rFonts w:ascii="Arial" w:hAnsi="Arial" w:cs="Arial"/>
                <w:sz w:val="20"/>
                <w:szCs w:val="20"/>
              </w:rPr>
              <w:t xml:space="preserve"> &amp; Baker, 2003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qavi0umgg","properties":{"formattedCitation":"[42]","plainCitation":"[42]"},"citationItems":[{"id":4530,"uris":["http://zotero.org/users/1562642/items/QGQ6MC3M"],"uri":["http://zotero.org/users/1562642/items/QGQ6MC3M"],"itemData":{"id":4530,"type":"article-journal","title":"Premorbid Clues? Preinjury Scholastic Performance and Present Neuropsychological Functioning in Late Postconcussion Syndrome","container-title":"The Clinical Neuropsychologist","page":"561-573","volume":"17","issue":"4","source":"EBSCOhost","archive_location":"2004-11220-012","abstract":"Neuropsychologists rely on demographic variables to form assumptions about premorbid status, and most use years of education as the main variable. School records are a more objective basis for such estimation, particularly in litigated cases. In the present study, final cumulative grade point average (GPA) was regressed on to Halstead-Reitan Battery (HRB), IQ and other neuropsychological test scores in 60 nonmalingering postconcussive litigants and 17 litigants with moderate-severe closed head injury. Results indicated significant correlations between GPA, HRB core tests, commonly used neuropsychological measures, and intelligence. A regression formula indicated litigants with poor grade point average were likely to perform in the impaired range. The present findings suggest the quality of premorbid academic performance also provides an important context in which to view present neuropsychological performance. Marginal premorbid achievement may be a risk factor for late developing postconcussion syndrome and litigation. (PsycINFO Database Record (c) 2014 APA, all rights reserved). (journal abstract)","DOI":"10.1076/clin.17.4.561.27937","ISSN":"1385-4046","shortTitle":"Premorbid Clues?","journalAbbreviation":"The Clinical Neuropsychologist","author":[{"family":"Greiffenstein","given":"Manfred Frank"},{"family":"Baker","given":"W. John"}],"issued":{"date-parts":[["2003",11]]}}}],"schema":"https://github.com/citation-style-language/schema/raw/master/csl-citation.json"}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72</w:t>
            </w:r>
          </w:p>
          <w:p w:rsidR="00F537B6" w:rsidRPr="00563EB7" w:rsidRDefault="00F537B6" w:rsidP="00F537B6">
            <w:pPr>
              <w:rPr>
                <w:rFonts w:ascii="Arial" w:hAnsi="Arial" w:cs="Arial"/>
                <w:sz w:val="20"/>
                <w:szCs w:val="20"/>
              </w:rPr>
            </w:pPr>
            <w:r w:rsidRPr="00563EB7">
              <w:rPr>
                <w:rFonts w:ascii="Arial" w:hAnsi="Arial" w:cs="Arial"/>
                <w:sz w:val="20"/>
                <w:szCs w:val="20"/>
              </w:rPr>
              <w:t>Black, 2.67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613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Grills &amp; Armistead-</w:t>
            </w:r>
            <w:proofErr w:type="spellStart"/>
            <w:r w:rsidRPr="00563EB7">
              <w:rPr>
                <w:rFonts w:ascii="Arial" w:hAnsi="Arial" w:cs="Arial"/>
                <w:sz w:val="20"/>
                <w:szCs w:val="20"/>
              </w:rPr>
              <w:t>Jehle</w:t>
            </w:r>
            <w:proofErr w:type="spellEnd"/>
            <w:r w:rsidRPr="00563EB7">
              <w:rPr>
                <w:rFonts w:ascii="Arial" w:hAnsi="Arial" w:cs="Arial"/>
                <w:sz w:val="20"/>
                <w:szCs w:val="20"/>
              </w:rPr>
              <w:t>,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20eo066mob","properties":{"formattedCitation":"[43]","plainCitation":"[43]"},"citationItems":[{"id":4422,"uris":["http://zotero.org/users/1562642/items/GAF2ZK8F"],"uri":["http://zotero.org/users/1562642/items/GAF2ZK8F"],"itemData":{"id":4422,"type":"article-journal","title":"Performance Validity Test and Neuropsychological Assessment Battery Screening Module Performances in an Active-Duty Sample with a History of Concussion","container-title":"Applied Neuropsychology. Adult","page":"1-7","source":"EBSCOhost","archive_location":"26943837","abstract":"The current retrospective investigation sought to replicate previous findings demonstrating the significant impact of performance validity test (PVT) performance and evaluation context on neuropsychological testing. We examined differences on performance validity testing between active-duty service members undergoing neurocognitive screening for concussion who were seen in a clinical context and those who were seen in a disability-seeking context, as well as the overall impact of PVT performance on a neurocognitive screening battery. Overall, 38.2% of the sample failed the Word Memory Test (WMT). Of those involved in a disability evaluation, the failure rate was 51.9%, which was significantly higher than the 36.8% failure rate among those evaluated in a clinical context. The effect size of WMT performance on a cognitive screening measure was also large. The current retrospective analysis served to replicate previous work.;","ISSN":"2327-9109","journalAbbreviation":"Applied Neuropsychology. Adult","author":[{"family":"Grills","given":"Chad E"},{"family":"Armistead-Jehle","given":"Patrick J"}],"issued":{"date-parts":[["2016",3,4]]}}}],"schema":"https://github.com/citation-style-language/schema/raw/master/csl-citation.json"}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589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60.95</w:t>
            </w:r>
          </w:p>
          <w:p w:rsidR="00F537B6" w:rsidRPr="00563EB7" w:rsidRDefault="00F537B6" w:rsidP="00F537B6">
            <w:pPr>
              <w:rPr>
                <w:rFonts w:ascii="Arial" w:hAnsi="Arial" w:cs="Arial"/>
                <w:sz w:val="20"/>
                <w:szCs w:val="20"/>
              </w:rPr>
            </w:pPr>
            <w:r w:rsidRPr="00563EB7">
              <w:rPr>
                <w:rFonts w:ascii="Arial" w:hAnsi="Arial" w:cs="Arial"/>
                <w:sz w:val="20"/>
                <w:szCs w:val="20"/>
              </w:rPr>
              <w:t>Hispanic, 13.92</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13.07</w:t>
            </w:r>
          </w:p>
          <w:p w:rsidR="00F537B6" w:rsidRPr="00563EB7" w:rsidRDefault="00F537B6" w:rsidP="00F537B6">
            <w:pPr>
              <w:rPr>
                <w:rFonts w:ascii="Arial" w:hAnsi="Arial" w:cs="Arial"/>
                <w:sz w:val="20"/>
                <w:szCs w:val="20"/>
              </w:rPr>
            </w:pPr>
            <w:r w:rsidRPr="00563EB7">
              <w:rPr>
                <w:rFonts w:ascii="Arial" w:hAnsi="Arial" w:cs="Arial"/>
                <w:sz w:val="20"/>
                <w:szCs w:val="20"/>
              </w:rPr>
              <w:t>Pacific Islander, 7.98</w:t>
            </w:r>
          </w:p>
          <w:p w:rsidR="00F537B6" w:rsidRPr="00563EB7" w:rsidRDefault="00F537B6" w:rsidP="00F537B6">
            <w:pPr>
              <w:rPr>
                <w:rFonts w:ascii="Arial" w:hAnsi="Arial" w:cs="Arial"/>
                <w:sz w:val="20"/>
                <w:szCs w:val="20"/>
              </w:rPr>
            </w:pPr>
            <w:r w:rsidRPr="00563EB7">
              <w:rPr>
                <w:rFonts w:ascii="Arial" w:hAnsi="Arial" w:cs="Arial"/>
                <w:sz w:val="20"/>
                <w:szCs w:val="20"/>
              </w:rPr>
              <w:t>Asian, 2.04</w:t>
            </w:r>
          </w:p>
          <w:p w:rsidR="00F537B6" w:rsidRPr="00563EB7" w:rsidRDefault="00F537B6" w:rsidP="00F537B6">
            <w:pPr>
              <w:rPr>
                <w:rFonts w:ascii="Arial" w:hAnsi="Arial" w:cs="Arial"/>
                <w:sz w:val="20"/>
                <w:szCs w:val="20"/>
              </w:rPr>
            </w:pPr>
            <w:r w:rsidRPr="00563EB7">
              <w:rPr>
                <w:rFonts w:ascii="Arial" w:hAnsi="Arial" w:cs="Arial"/>
                <w:sz w:val="20"/>
                <w:szCs w:val="20"/>
              </w:rPr>
              <w:t>Other, 2.04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221</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Hänninen</w:t>
            </w:r>
            <w:proofErr w:type="spellEnd"/>
            <w:r w:rsidRPr="00563EB7">
              <w:rPr>
                <w:rFonts w:ascii="Arial" w:hAnsi="Arial" w:cs="Arial"/>
                <w:sz w:val="20"/>
                <w:szCs w:val="20"/>
              </w:rPr>
              <w:t xml:space="preserve">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f1kr3ab4r","properties":{"formattedCitation":"[44]","plainCitation":"[44]"},"citationItems":[{"id":4443,"uris":["http://zotero.org/users/1562642/items/T6FUFKE3"],"uri":["http://zotero.org/users/1562642/items/T6FUFKE3"],"itemData":{"id":4443,"type":"article-journal","title":"Sport concussion assessment tool - 3rd edition - normative reference values for professional ice hockey players","container-title":"Journal Of Science And Medicine In Sport / Sports Medicine Australia","source":"EBSCOhost","archive_location":"26383876","abstract":"Objectives: To determine normative reference values for the Sport Concussion Assessment Tool-3rd Edition (SCAT3) using a large sample of professional male ice hockey players.; Design: A descriptive cross-sectional study.; Methods: Preseason baseline testing was administered individually to 304 professional male ice hockey players.; Results: The participants were aged between 16 and 40 with a mean (M) age of 25.3 years. Over 60% of the athletes reported previous concussion, almost 20% had been hospitalized or medically imaged following a head trauma. Of the players, 48% reported no symptoms. The symptom score median (Md) was 1.0 (M=1.5) and severity median was 1.0 (M=2.3). The median of the SAC score was 27.0 (M=27.0). The median of the M-BESS was 1.0 (M=2.0). The Tandem gait median was 10.9s (M=10.8s). The most common baseline symptom was neck pain (24%). Delayed recall was the most difficult component of the SAC (Md=4); only 24% performed it flawlessly. All athletes completed the double-leg stance of the M-BESS without errors, but there was performance variability in the tandem stance (Md=0, M=0.6, range=0-10) and single-leg stance (Md=1.0, M=1.4, range=0-10).; Conclusions: Representative normative reference values for the SCAT3 among professional male ice hockey players are provided.; Copyright © 2015 Sports Medicine Australia. Published by Elsevier Ltd. All rights reserved.","DOI":"10.1016/j.jsams.2015.08.005","ISSN":"1878-1861","journalAbbreviation":"Journal Of Science And Medicine In Sport / Sports Medicine Australia","author":[{"family":"Hänninen","given":"Timo"},{"family":"Tuominen","given":"Markku"},{"family":"Parkkari","given":"Jari"},{"family":"Vartiainen","given":"Matti"},{"family":"Öhman","given":"Juha"},{"family":"Iverson","given":"Grant L"},{"family":"Luoto","given":"Teemu M"}],"issued":{"date-parts":[["2015",9,11]]}}}],"schema":"https://github.com/citation-style-language/schema/raw/master/csl-citation.json"}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Finland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304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100</w:t>
            </w:r>
          </w:p>
          <w:p w:rsidR="00F537B6" w:rsidRPr="00563EB7" w:rsidRDefault="00F537B6" w:rsidP="00F537B6">
            <w:pPr>
              <w:rPr>
                <w:rFonts w:ascii="Arial" w:hAnsi="Arial" w:cs="Arial"/>
                <w:sz w:val="20"/>
                <w:szCs w:val="20"/>
              </w:rPr>
            </w:pPr>
            <w:r w:rsidRPr="00563EB7">
              <w:rPr>
                <w:rFonts w:ascii="Arial" w:hAnsi="Arial" w:cs="Arial"/>
                <w:sz w:val="20"/>
                <w:szCs w:val="20"/>
              </w:rPr>
              <w:t>Finnish, 86.84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Hanna-</w:t>
            </w:r>
            <w:proofErr w:type="spellStart"/>
            <w:r w:rsidRPr="00563EB7">
              <w:rPr>
                <w:rFonts w:ascii="Arial" w:hAnsi="Arial" w:cs="Arial"/>
                <w:sz w:val="20"/>
                <w:szCs w:val="20"/>
              </w:rPr>
              <w:t>Pladdy</w:t>
            </w:r>
            <w:proofErr w:type="spellEnd"/>
            <w:r w:rsidRPr="00563EB7">
              <w:rPr>
                <w:rFonts w:ascii="Arial" w:hAnsi="Arial" w:cs="Arial"/>
                <w:sz w:val="20"/>
                <w:szCs w:val="20"/>
              </w:rPr>
              <w:t xml:space="preserve">, Berry, Bennett, Phillips, &amp; </w:t>
            </w:r>
            <w:proofErr w:type="spellStart"/>
            <w:r w:rsidRPr="00563EB7">
              <w:rPr>
                <w:rFonts w:ascii="Arial" w:hAnsi="Arial" w:cs="Arial"/>
                <w:sz w:val="20"/>
                <w:szCs w:val="20"/>
              </w:rPr>
              <w:t>Gouvier</w:t>
            </w:r>
            <w:proofErr w:type="spellEnd"/>
            <w:r w:rsidRPr="00563EB7">
              <w:rPr>
                <w:rFonts w:ascii="Arial" w:hAnsi="Arial" w:cs="Arial"/>
                <w:sz w:val="20"/>
                <w:szCs w:val="20"/>
              </w:rPr>
              <w:t>, 2001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buejugpob","properties":{"formattedCitation":"[45]","plainCitation":"[45]"},"citationItems":[{"id":4699,"uris":["http://zotero.org/users/1562642/items/MKXUN3B2"],"uri":["http://zotero.org/users/1562642/items/MKXUN3B2"],"itemData":{"id":4699,"type":"article-journal","title":"Stress as a diagnostic challenge for postconcussive symptoms: Sequelae of mild traumatic brain injury or physiological stress response","container-title":"The Clinical Neuropsychologist","page":"289-304","volume":"15","issue":"3","source":"EBSCOhost","archive_location":"2001-05247-001","abstract":"There is considerable controversy regarding whether persistent postconcussive symptoms (PCS) are injury specific, in a subgroup of individuals after mild traumatic brain injury (TBI). The following findings have contributed to this controversy: the base rate of PCS in mild TBI is comparable to uninjured controls; and the severity of PCS covary with daily stress levels. The authors examined this relationship further by evaluating the effects of experimental conditions of stress or relaxation on 44 individuals with TBI (mean age 22 yrs) and 44 uninjured control Ss, with low and high PCS endorsement. The authors evaluated psychophysiological parameters, neuropsychological performance, and changes in PCS and stress perception. Ss with TBI increased PCS after engaging in cognitively challenging tasks, and demonstrated significant autonomic changes in the stress condition. Symptomatic TBI Ss exposed to high stress had increases in PCS complaints, decreased speed of information processing, and subtle memory deficits. Results suggest that PCS are injury-specific and that individuals with a history of TBI are susceptible to the effects of stress. Relaxation training including breathing retraining may be an effective means of decreasing PCS and cognitive complaints in Ss with mild TBI. (PsycINFO Database Record (c) 2015 APA, all rights reserved)","DOI":"10.1076/clin.15.3.289.10272","ISSN":"1385-4046","shortTitle":"Stress as a diagnostic challenge for postconcussive symptoms","journalAbbreviation":"The Clinical Neuropsychologist","author":[{"family":"Hanna-Pladdy","given":"Brenda"},{"family":"Berry","given":"Zachary M."},{"family":"Bennett","given":"Ted"},{"family":"Phillips","given":"Henry L."},{"family":"Gouvier","given":"Wm. Drew"}],"issued":{"date-parts":[["2001",8]]}}}],"schema":"https://github.com/citation-style-language/schema/raw/master/csl-citation.json"}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85.23</w:t>
            </w:r>
          </w:p>
          <w:p w:rsidR="00F537B6" w:rsidRPr="00563EB7" w:rsidRDefault="00F537B6" w:rsidP="00F537B6">
            <w:pPr>
              <w:rPr>
                <w:rFonts w:ascii="Arial" w:hAnsi="Arial" w:cs="Arial"/>
                <w:sz w:val="20"/>
                <w:szCs w:val="20"/>
              </w:rPr>
            </w:pPr>
            <w:r w:rsidRPr="00563EB7">
              <w:rPr>
                <w:rFonts w:ascii="Arial" w:hAnsi="Arial" w:cs="Arial"/>
                <w:sz w:val="20"/>
                <w:szCs w:val="20"/>
              </w:rPr>
              <w:t>African-American, 9.09</w:t>
            </w:r>
          </w:p>
          <w:p w:rsidR="00F537B6" w:rsidRPr="00563EB7" w:rsidRDefault="00F537B6" w:rsidP="00F537B6">
            <w:pPr>
              <w:rPr>
                <w:rFonts w:ascii="Arial" w:hAnsi="Arial" w:cs="Arial"/>
                <w:sz w:val="20"/>
                <w:szCs w:val="20"/>
              </w:rPr>
            </w:pPr>
            <w:r w:rsidRPr="00563EB7">
              <w:rPr>
                <w:rFonts w:ascii="Arial" w:hAnsi="Arial" w:cs="Arial"/>
                <w:sz w:val="20"/>
                <w:szCs w:val="20"/>
              </w:rPr>
              <w:t>Asian, 4.54</w:t>
            </w:r>
          </w:p>
          <w:p w:rsidR="00F537B6" w:rsidRPr="00563EB7" w:rsidRDefault="00F537B6" w:rsidP="00F537B6">
            <w:pPr>
              <w:rPr>
                <w:rFonts w:ascii="Arial" w:hAnsi="Arial" w:cs="Arial"/>
                <w:sz w:val="20"/>
                <w:szCs w:val="20"/>
              </w:rPr>
            </w:pPr>
            <w:r w:rsidRPr="00563EB7">
              <w:rPr>
                <w:rFonts w:ascii="Arial" w:hAnsi="Arial" w:cs="Arial"/>
                <w:sz w:val="20"/>
                <w:szCs w:val="20"/>
              </w:rPr>
              <w:t>Native American, 1.14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1085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Hart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g8p77f93t","properties":{"formattedCitation":"[46]","plainCitation":"[46]"},"citationItems":[{"id":5433,"uris":["http://zotero.org/users/1562642/items/5V43P7G7"],"uri":["http://zotero.org/users/1562642/items/5V43P7G7"],"itemData":{"id":5433,"type":"article-journal","title":"Neuroimaging of cognitive dysfunction and depression in aging retired national football league players: A cross-sectional study","container-title":"JAMA Neurology","page":"326-335","volume":"70","issue":"3","source":"EBSCOhost","archive_location":"2014-49044-014","abstract":"Objectives: To assess cognitive impairment and depression in aging former professional football (National Football League [NFL]) players and to identify neuroimaging correlates of these dysfunctions. Design: We compared former NFL players with cognitive impairment and depression, cognitively normal retired players who were not depressed, and matched healthy control subjects. Setting: Research center in the North Texas region of the United States. Patients: Cross-sectional sample of former NFL players with and without a history of concussion recruited from the North Texas region and age-, education-, and IQ-matched controls. Thirty-four retired NFL players (mean age, 61.8 years) underwent neurological and neuropsychological assessment. Main Outcome Measures: Neuropsychological measures, clinical diagnoses of depression, neuroimaging measures of white matter pathology, and a measure of cerebral blood flow. Results: Of the 34 former NFL players, 20 were cognitively normal. Four were diagnosed as having a fixed cognitive deficit; 8, mild cognitive impairment; 2, dementia; and 8, depression. Of the subgroup in whom neuroimaging data were acquired, cognitively impaired participants showed the greatest deficits on tests of naming, word finding, and visual/verbal episodic memory. We found significant differences in white matter abnormalities in cognitively impaired and depressed retired players compared with their respective controls. Regional blood flow differences in the cognitively impaired group (left temporal pole, inferior parietal lobule, and superior temporal gyrus) corresponded to regions associated with impaired neurocognitive performance (problems with memory, naming, and word finding). Conclusions: Cognitive deficits and depression appear to be more common in aging former NFL players compared with healthy controls. These deficits are correlated with white matter abnormalities and changes in regional cerebral blood flow. (PsycINFO Database Record (c) 2015 APA, all rights reserved). (journal abstract)","DOI":"10.1001/2013.jamaneurol.340","ISSN":"2168-6149","shortTitle":"Neuroimaging of cognitive dysfunction and depression in aging retired national football league players","journalAbbreviation":"JAMA Neurology","author":[{"family":"Hart","given":"John Jr."},{"family":"Kraut","given":"Michael A."},{"family":"Womack","given":"Kyle B."},{"family":"Strain","given":"Jeremy"},{"family":"Didehbani","given":"Nyaz"},{"family":"Bartz","given":"Elizabeth"},{"family":"Conover","given":"Heather"},{"family":"Mansinghani","given":"Sethesh"},{"family":"Lu","given":"Hanzhang"},{"family":"Cullum","given":"Munro"}],"issued":{"date-parts":[["2013",3]]}}}],"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78.33</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21.67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Hess, </w:t>
            </w:r>
            <w:proofErr w:type="spellStart"/>
            <w:r w:rsidRPr="00563EB7">
              <w:rPr>
                <w:rFonts w:ascii="Arial" w:hAnsi="Arial" w:cs="Arial"/>
                <w:sz w:val="20"/>
                <w:szCs w:val="20"/>
              </w:rPr>
              <w:t>Marwitz</w:t>
            </w:r>
            <w:proofErr w:type="spellEnd"/>
            <w:r w:rsidRPr="00563EB7">
              <w:rPr>
                <w:rFonts w:ascii="Arial" w:hAnsi="Arial" w:cs="Arial"/>
                <w:sz w:val="20"/>
                <w:szCs w:val="20"/>
              </w:rPr>
              <w:t>, &amp; Kreutzer, 2003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21lp32rbut","properties":{"formattedCitation":"[47]","plainCitation":"[47]"},"citationItems":[{"id":5103,"uris":["http://zotero.org/users/1562642/items/W3ZPTTKS"],"uri":["http://zotero.org/users/1562642/items/W3ZPTTKS"],"itemData":{"id":5103,"type":"article-journal","title":"Neuropsychological impairments after spinal cord injury: A comparative study with mild traumatic brain injury","container-title":"Rehabilitation Psychology","page":"151-156","volume":"48","issue":"3","source":"EBSCOhost","archive_location":"2003-99990-004","abstract":"Objective: To determine if individuals with mild traumatic brain injury (MTBI) perform differently on neuropsychological measures than individuals with spinal cord injury (SCI) having no loss of consciousness. Design and Participants: Data were collected prospectively on 33 matched pairs of individuals with SCI or MTBI. Independent t tests were performed to identify differences between the SCI and MTBI groups. Results: Although those with SCI generally outperformed individuals with MTBI, no meaningful between-groups differences were noted on 5 of the 10 neuropsychological tests administered. Greater than 40% of the SCI patients were identified as having impairments in processing speed, motor speed, and verbal learning. Conclusions: Treatment planning after SCI should include procedures to identify cognitive deficits that may complicate adjustment to disability and delay acquisition of new skills. (PsycINFO Database Record (c) 2012 APA, all rights reserved)","DOI":"10.1037/0090-5550.48.3.151","ISSN":"0090-5550","shortTitle":"Neuropsychological impairments after spinal cord injury","journalAbbreviation":"Rehabilitation Psychology","author":[{"family":"Hess","given":"David W."},{"family":"Marwitz","given":"Jennifer H."},{"family":"Kreutzer","given":"Jeffrey S."}],"issued":{"date-parts":[["2003",8]]}}}],"schema":"https://github.com/citation-style-language/schema/raw/master/csl-citation.json"}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56.06</w:t>
            </w:r>
          </w:p>
          <w:p w:rsidR="00F537B6" w:rsidRPr="00563EB7" w:rsidRDefault="00F537B6" w:rsidP="00F537B6">
            <w:pPr>
              <w:rPr>
                <w:rFonts w:ascii="Arial" w:hAnsi="Arial" w:cs="Arial"/>
                <w:sz w:val="20"/>
                <w:szCs w:val="20"/>
              </w:rPr>
            </w:pPr>
            <w:r w:rsidRPr="00563EB7">
              <w:rPr>
                <w:rFonts w:ascii="Arial" w:hAnsi="Arial" w:cs="Arial"/>
                <w:sz w:val="20"/>
                <w:szCs w:val="20"/>
              </w:rPr>
              <w:t>Minority, 43.94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171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Hill, </w:t>
            </w:r>
            <w:proofErr w:type="spellStart"/>
            <w:r w:rsidRPr="00563EB7">
              <w:rPr>
                <w:rFonts w:ascii="Arial" w:hAnsi="Arial" w:cs="Arial"/>
                <w:sz w:val="20"/>
                <w:szCs w:val="20"/>
              </w:rPr>
              <w:t>Rohling</w:t>
            </w:r>
            <w:proofErr w:type="spellEnd"/>
            <w:r w:rsidRPr="00563EB7">
              <w:rPr>
                <w:rFonts w:ascii="Arial" w:hAnsi="Arial" w:cs="Arial"/>
                <w:sz w:val="20"/>
                <w:szCs w:val="20"/>
              </w:rPr>
              <w:t>, Boettcher, &amp; Meyers,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4sn1vs6ro","properties":{"formattedCitation":"[48]","plainCitation":"[48]"},"citationItems":[{"id":5107,"uris":["http://zotero.org/users/1562642/items/Q7KBSRCD"],"uri":["http://zotero.org/users/1562642/items/Q7KBSRCD"],"itemData":{"id":5107,"type":"article-journal","title":"Cognitive intra-individual variability has a positive association with traumatic brain injury severity and suboptimal effort","container-title":"Archives of Clinical Neuropsychology","page":"640-648","volume":"28","issue":"7","source":"EBSCOhost","archive_location":"2013-38013-002","abstract":"This study examined intra-individual variability in a large sample (n = 629) of individuals with a history of mild traumatic brain injury (mTBI) or TBI referred for neuropsychological evaluation. Variability was assessed using the overall test battery mean standard deviation (OTBM SD). We found a negative linear relation between OTBM and OTB MSD (r = 2.672) in this sample with a history of neurologic pathology, indicating that the variability is inversely related to cognitive performance and contrary to what is observed in most normative data. Analyses revealed main effects for OTBM and OTBM SD across three TBI severity groups: loss of consciousness (LOC) &lt; 1 h, LOC 1 h–6 days, and LOC &gt; 6 days. These effects were found for both a valid performance group (no failed embedded validity measures; n = 504) and an invalid performance group (failed one or more embedded validity measures; n = 125). These findings support that cognitive intra-individual variability is increased uniquely by both neuropathology and suboptimal effort, there is a dose–response relationship between neuropathology and cognitive variability, and intra-individual variability may have utility as a clinical index of both (PsycINFO Database Record (c) 2014 APA, all rights reserved). (journal abstract)","DOI":"10.1093/arclin/act045","ISSN":"0887-6177","journalAbbreviation":"Archives of Clinical Neuropsychology","author":[{"family":"Hill","given":"Benjamin David"},{"family":"Rohling","given":"Martin L."},{"family":"Boettcher","given":"Anneliese C."},{"family":"Meyers","given":"John E."}],"issued":{"date-parts":[["2013",11]]}}}],"schema":"https://github.com/citation-style-language/schema/raw/master/csl-citation.json"}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629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89.35</w:t>
            </w:r>
          </w:p>
          <w:p w:rsidR="00F537B6" w:rsidRPr="00563EB7" w:rsidRDefault="00F537B6" w:rsidP="00F537B6">
            <w:pPr>
              <w:rPr>
                <w:rFonts w:ascii="Arial" w:hAnsi="Arial" w:cs="Arial"/>
                <w:sz w:val="20"/>
                <w:szCs w:val="20"/>
              </w:rPr>
            </w:pPr>
            <w:r w:rsidRPr="00563EB7">
              <w:rPr>
                <w:rFonts w:ascii="Arial" w:hAnsi="Arial" w:cs="Arial"/>
                <w:sz w:val="20"/>
                <w:szCs w:val="20"/>
              </w:rPr>
              <w:t>Hispanic, 3.18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2.38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223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Hill, Womble, &amp; </w:t>
            </w:r>
            <w:proofErr w:type="spellStart"/>
            <w:r w:rsidRPr="00563EB7">
              <w:rPr>
                <w:rFonts w:ascii="Arial" w:hAnsi="Arial" w:cs="Arial"/>
                <w:sz w:val="20"/>
                <w:szCs w:val="20"/>
              </w:rPr>
              <w:t>Rohling</w:t>
            </w:r>
            <w:proofErr w:type="spellEnd"/>
            <w:r w:rsidRPr="00563EB7">
              <w:rPr>
                <w:rFonts w:ascii="Arial" w:hAnsi="Arial" w:cs="Arial"/>
                <w:sz w:val="20"/>
                <w:szCs w:val="20"/>
              </w:rPr>
              <w:t>,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pbg6t4in3","properties":{"formattedCitation":"[49]","plainCitation":"[49]"},"citationItems":[{"id":4704,"uris":["http://zotero.org/users/1562642/items/AV9PKA8N"],"uri":["http://zotero.org/users/1562642/items/AV9PKA8N"],"itemData":{"id":4704,"type":"article-journal","title":"Logistic regression function for detection of suspicious performance during baseline evaluations using concussion vital signs","container-title":"Applied Neuropsychology: Adult","page":"233-240","volume":"22","issue":"3","source":"EBSCOhost","abstract":"This study utilized logistic regression to determine whether performance patterns on Concussion Vital Signs (CVS) could differentiate known groups with either genuine or feigned performance. For the embedded measure development group (n = 174), clinical patients and undergraduate students categorized as feigning obtained significantly lower scores on the overall test battery mean for the CVS, Shipley-2 composite score, and California Verbal Learning Test-Second Edition subtests than did genuinely performing individuals. The final full model of 3 predictor variables (Verbal Memory immediate hits, Verbal Memory immediate correct passes, and Stroop Test complex reaction time correct) was significant and correctly classified individuals in their known group 83% of the time (sensitivity = .65; specificity = .97) in a mixed sample of young-adult clinical cases and simulators. The CVS logistic regression function was applied to a separate undergraduate college group (n = 378) that was asked to perform genuinely and identified 5% as having possibly feigned performance indicating a low false-positive rate. The failure rate was 11% and 16% at baseline cognitive testing in samples of high school and college athletes, respectively. These findings have particular relevance given the increasing use of computerized test batteries for baseline cognitive testing and return-to-play decisions after concussion.","DOI":"10.1080/23279095.2014.910215","ISSN":"09084282","journalAbbreviation":"Applied Neuropsychology: Adult","author":[{"family":"Hill","given":"Benjamin David"},{"family":"Womble","given":"Melissa N."},{"family":"Rohling","given":"Martin L."}],"issued":{"date-parts":[["2015"]]}}}],"schema":"https://github.com/citation-style-language/schema/raw/master/csl-citation.json"}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[49]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174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62.07</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17.82</w:t>
            </w:r>
          </w:p>
          <w:p w:rsidR="00F537B6" w:rsidRPr="00563EB7" w:rsidRDefault="00F537B6" w:rsidP="00F537B6">
            <w:pPr>
              <w:rPr>
                <w:rFonts w:ascii="Arial" w:hAnsi="Arial" w:cs="Arial"/>
                <w:sz w:val="20"/>
                <w:szCs w:val="20"/>
              </w:rPr>
            </w:pPr>
            <w:r w:rsidRPr="00563EB7">
              <w:rPr>
                <w:rFonts w:ascii="Arial" w:hAnsi="Arial" w:cs="Arial"/>
                <w:sz w:val="20"/>
                <w:szCs w:val="20"/>
              </w:rPr>
              <w:lastRenderedPageBreak/>
              <w:t>Asian, 10.92</w:t>
            </w:r>
          </w:p>
          <w:p w:rsidR="00F537B6" w:rsidRPr="00563EB7" w:rsidRDefault="00F537B6" w:rsidP="00F537B6">
            <w:pPr>
              <w:rPr>
                <w:rFonts w:ascii="Arial" w:hAnsi="Arial" w:cs="Arial"/>
                <w:sz w:val="20"/>
                <w:szCs w:val="20"/>
              </w:rPr>
            </w:pPr>
            <w:r w:rsidRPr="00563EB7">
              <w:rPr>
                <w:rFonts w:ascii="Arial" w:hAnsi="Arial" w:cs="Arial"/>
                <w:sz w:val="20"/>
                <w:szCs w:val="20"/>
              </w:rPr>
              <w:t>Other, 9.2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493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Hinton-</w:t>
            </w:r>
            <w:proofErr w:type="spellStart"/>
            <w:r w:rsidRPr="00563EB7">
              <w:rPr>
                <w:rFonts w:ascii="Arial" w:hAnsi="Arial" w:cs="Arial"/>
                <w:sz w:val="20"/>
                <w:szCs w:val="20"/>
              </w:rPr>
              <w:t>Bayre</w:t>
            </w:r>
            <w:proofErr w:type="spellEnd"/>
            <w:r w:rsidRPr="00563EB7">
              <w:rPr>
                <w:rFonts w:ascii="Arial" w:hAnsi="Arial" w:cs="Arial"/>
                <w:sz w:val="20"/>
                <w:szCs w:val="20"/>
              </w:rPr>
              <w:t>, Geffen, &amp; McFarland, 1997</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emftvn6o7","properties":{"formattedCitation":"[50]","plainCitation":"[50]"},"citationItems":[{"id":4507,"uris":["http://zotero.org/users/1562642/items/P6QS6QCT"],"uri":["http://zotero.org/users/1562642/items/P6QS6QCT"],"itemData":{"id":4507,"type":"article-journal","title":"Mild head injury and speed of information processing: a prospective study of professional rugby league players","container-title":"Journal Of Clinical And Experimental Neuropsychology","page":"275-289","volume":"19","issue":"2","source":"EBSCOhost","archive_location":"9240486","abstract":"The sensitivity of several short tests of speed of information processing to the effects of mild head injury in rugby league football was investigated. The measures used were the Symbol Digit Modalities Test, the Digit Symbol Substitution Test, and the Speed of Comprehension Test. Two studies were conducted, the first to examine the effect of practice, the second to determine sensitivity to cognitive impairment immediately following injury. The first study established alternate form equivalence and demonstrated that performance on the Speed of Comprehension and Digit Symbol Substitution tests improved with practice, whereas the Symbol Digit Modalities test remained stable. A second study of 10 players who subsequently sustained mild head injuries showed that measures of speed of information processing were sensitive to impairment in the postacute phase, whereas an untimed task of word recognition (Spot-the-Word) was not. Speed of Comprehension was more sensitive to postinjury impairment than either the Digit Symbol Substitution or Symbol Digit Modalities tests. A repeated baseline assessment before injury using the higher score to reflect a player's potential, allowed measurement of impaired performance on sensitive tests.;","ISSN":"1380-3395","shortTitle":"Mild head injury and speed of information processing","journalAbbreviation":"Journal Of Clinical And Experimental Neuropsychology","author":[{"family":"Hinton-Bayre","given":"A D"},{"family":"Geffen","given":"G"},{"family":"McFarland","given":"K"}],"issued":{"date-parts":[["1997",4]]}}}],"schema":"https://github.com/citation-style-language/schema/raw/master/csl-citation.json"}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1997</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Australia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67.19</w:t>
            </w:r>
          </w:p>
          <w:p w:rsidR="00F537B6" w:rsidRPr="00563EB7" w:rsidRDefault="00F537B6" w:rsidP="00F537B6">
            <w:pPr>
              <w:rPr>
                <w:rFonts w:ascii="Arial" w:hAnsi="Arial" w:cs="Arial"/>
                <w:sz w:val="20"/>
                <w:szCs w:val="20"/>
              </w:rPr>
            </w:pPr>
            <w:r w:rsidRPr="00563EB7">
              <w:rPr>
                <w:rFonts w:ascii="Arial" w:hAnsi="Arial" w:cs="Arial"/>
                <w:sz w:val="20"/>
                <w:szCs w:val="20"/>
              </w:rPr>
              <w:t>Aboriginal, 10.94</w:t>
            </w:r>
          </w:p>
          <w:p w:rsidR="00F537B6" w:rsidRPr="00563EB7" w:rsidRDefault="00F537B6" w:rsidP="00F537B6">
            <w:pPr>
              <w:rPr>
                <w:rFonts w:ascii="Arial" w:hAnsi="Arial" w:cs="Arial"/>
                <w:sz w:val="20"/>
                <w:szCs w:val="20"/>
              </w:rPr>
            </w:pPr>
            <w:r w:rsidRPr="00563EB7">
              <w:rPr>
                <w:rFonts w:ascii="Arial" w:hAnsi="Arial" w:cs="Arial"/>
                <w:sz w:val="20"/>
                <w:szCs w:val="20"/>
              </w:rPr>
              <w:t>Other, 6.25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Hunt &amp; Ferrara, 2009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g4kdn8t5p","properties":{"formattedCitation":"[51]","plainCitation":"[51]"},"citationItems":[{"id":4716,"uris":["http://zotero.org/users/1562642/items/BNP6QB7H"],"uri":["http://zotero.org/users/1562642/items/BNP6QB7H"],"itemData":{"id":4716,"type":"article-journal","title":"Age-related differences in neuropsychological testing among high school athletes","container-title":"Journal Of Athletic Training","page":"405-409","volume":"44","issue":"4","source":"EBSCOhost","abstract":"Context: Clinicians have questioned the need to obtain annual baseline neuropsychological tests in high school athletes. If no difference among academic grades exists, annual baseline testing may not be necessary. Objective: To examine differences at baseline testing on pencil-and-paper neuropsychological tests among grade levels in high school athletes. Design: Cross-sectional, between-groups design. Setting: Schools participating in a Georgia high school athletics association. Patients or Other Participants: High school football players (n = 198) in the 9th through 12th grades, with a mean age of 15.78 ± 1.16 years. Main Outcome Measure(s): Participants were divided into 4 groups by grade and were administered a symptom checklist and brief neuropsychological test battery. Grade level served as the independent variable. Symptom and individual test scores within the neuropsychological test battery served as dependent variables. Results: Differences were noted among grades on the Trail Making Test A (F3,194 = 3.23, P = .024, η² = 0.048), Trail Making Test B (F3,194 = 3.93, P = .009, η² = 0.057), Symbol Digit Modalities Test (F3,194 = 4.38, P = .005, η² = 0.064), dominant tap (F3,194 = 3.14, P = .026, η² = 0.046), and nondominant tap (F3,194 = 4.902, P = .003, η² = 0.070). Using the Bonferroni correction (P </w:instrText>
            </w:r>
            <w:r>
              <w:rPr>
                <w:rFonts w:ascii="Cambria Math" w:hAnsi="Cambria Math" w:cs="Cambria Math"/>
                <w:sz w:val="20"/>
                <w:szCs w:val="20"/>
              </w:rPr>
              <w:instrText>⩽</w:instrText>
            </w:r>
            <w:r>
              <w:rPr>
                <w:rFonts w:ascii="Arial" w:hAnsi="Arial" w:cs="Arial"/>
                <w:sz w:val="20"/>
                <w:szCs w:val="20"/>
              </w:rPr>
              <w:instrText xml:space="preserve"> .00625), we found differences between the 9th grade and 11th and 12th grades. Conclusions: Baseline neuropsychological test scores in high school athletes improved as a function of age, with differences between the 9th grade and 11th and 12th grades. Because the differences were driven by 9th-grade test scores, baseline testing should be completed, at minimum, upon entrance into 9th and 10th grades; however, annual testing is still recommended until additional research is conducted. ABSTRACT FROM AUTHOR","ISSN":"10626050","journalAbbreviation":"Journal Of Athletic Training","author":[{"family":"Hunt","given":"Tamerah N."},{"family":"Ferrara","given":"Michael S."}],"issued":{"date-parts":[["2009",8,7]]}}}],"schema":"https://github.com/citation-style-language/schema/raw/master/csl-citation.json"}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198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90.91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1094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Ivins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g15ahjkmv","properties":{"formattedCitation":"[52]","plainCitation":"[52]"},"citationItems":[{"id":1849,"uris":["http://zotero.org/users/1562642/items/39W4MM35"],"uri":["http://zotero.org/users/1562642/items/39W4MM35"],"itemData":{"id":1849,"type":"article-journal","title":"Using base rates of low scores to interpret the ANAM4 TBI-MIL battery following mild traumatic brain injury","container-title":"Archives of Clinical Neuropsychology","page":"26-38","volume":"30","issue":"1","source":"EBSCOhost","archive_location":"2015-03036-003","abstract":"Base rates of low ANAM4 TBI-MIL scores were calculated in a convenience sample of 733 healthy male active duty soldiers using available military reference values for the following cutoffs: ≤2nd percentile (2 SDs), ≤5th percentile, &lt;10th percentile, and &lt;16th percentile (1 SD). Rates of low scores were also calculated in 56 active duty male soldiers who sustained an mTBI an average of 23 days (SD = 36.1) prior. 22.0% of the healthy sample and 51.8% of the mTBI sample had two or more scores below 1 SD (i.e., 16th percentile). 18.8% of the healthy sample and 44.6% of the mTBI sample had one or more scores ≤5th percentile. Rates of low scores in the healthy sample were influenced by cutoffs and race/ethnicity. Importantly, some healthy soldiers obtain at least one low score on ANAM4. These base rate analyses can improve the methodology for interpreting ANAM4 performance in clinical practice and research. (PsycINFO Database Record (c) 2015 APA, all rights reserved). (journal abstract)","DOI":"10.1093/arclin/acu072","ISSN":"0887-6177","journalAbbreviation":"Archives of Clinical Neuropsychology","author":[{"family":"Ivins","given":"Brian J."},{"family":"Lange","given":"Rael T."},{"family":"Cole","given":"Wesley R."},{"family":"Kane","given":"Robert"},{"family":"Schwab","given":"Karen A."},{"family":"Iverson","given":"Grant L."}],"issued":{"date-parts":[["2015",2]]}}}],"schema":"https://github.com/citation-style-language/schema/raw/master/csl-citation.json"}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789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65.78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15.34</w:t>
            </w:r>
          </w:p>
          <w:p w:rsidR="00F537B6" w:rsidRPr="00563EB7" w:rsidRDefault="00F537B6" w:rsidP="00F537B6">
            <w:pPr>
              <w:rPr>
                <w:rFonts w:ascii="Arial" w:hAnsi="Arial" w:cs="Arial"/>
                <w:sz w:val="20"/>
                <w:szCs w:val="20"/>
              </w:rPr>
            </w:pPr>
            <w:r w:rsidRPr="00563EB7">
              <w:rPr>
                <w:rFonts w:ascii="Arial" w:hAnsi="Arial" w:cs="Arial"/>
                <w:sz w:val="20"/>
                <w:szCs w:val="20"/>
              </w:rPr>
              <w:t>Hispanic, 13.05</w:t>
            </w:r>
          </w:p>
          <w:p w:rsidR="00F537B6" w:rsidRPr="00563EB7" w:rsidRDefault="00F537B6" w:rsidP="00F537B6">
            <w:pPr>
              <w:rPr>
                <w:rFonts w:ascii="Arial" w:hAnsi="Arial" w:cs="Arial"/>
                <w:sz w:val="20"/>
                <w:szCs w:val="20"/>
              </w:rPr>
            </w:pPr>
            <w:r w:rsidRPr="00563EB7">
              <w:rPr>
                <w:rFonts w:ascii="Arial" w:hAnsi="Arial" w:cs="Arial"/>
                <w:sz w:val="20"/>
                <w:szCs w:val="20"/>
              </w:rPr>
              <w:t>Other, 5.83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172</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Jamora</w:t>
            </w:r>
            <w:proofErr w:type="spellEnd"/>
            <w:r w:rsidRPr="00563EB7">
              <w:rPr>
                <w:rFonts w:ascii="Arial" w:hAnsi="Arial" w:cs="Arial"/>
                <w:sz w:val="20"/>
                <w:szCs w:val="20"/>
              </w:rPr>
              <w:t>, Schroeder, &amp; Ruff,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fqof4s4ht","properties":{"formattedCitation":"[53]","plainCitation":"[53]"},"citationItems":[{"id":5019,"uris":["http://zotero.org/users/1562642/items/CNTQAH54"],"uri":["http://zotero.org/users/1562642/items/CNTQAH54"],"itemData":{"id":5019,"type":"article-journal","title":"Pain and mild traumatic brain injury: The implications of pain severity on emotional and cognitive functioning","container-title":"Brain Injury","page":"1134-1140","volume":"27","issue":"10","source":"EBSCOhost","archive_location":"2013-28829-005","abstract":"[Correction Notice: An Erratum for this article was reported in Vol 27(13-14) of Brain Injury (see record [rid]2013-41749-037[/rid]). In the original article, Christina Weyer Jamora was credited as the first author and Sara C. Schroeder was credited as the second. They were actually co-first authors.] Primary objective: The aim of this study was to examine the effect of high chronic pain on (a) neuropsychological test performance and (b) self-reported emotional complaints in persons suffering from Postconcussional Disorders (PCD) after a mild traumatic brain injury (TBI). Research design: A two-group comparative research design was employed. Methods and procedure: An outpatient sample of 66 patients with mild TBI and PCD using the Ruff Neurobehavioural Inventory (RNBI) and a neuropsychological test battery. Main outcomes and results: According to ANOVAs, no significant between-group differences were found on neuropsychological test performances; however, the high pain group had significantly more emotional residuals; particularly elevated on the RNBI were the Anger and Aggression, Anxiety, Depression and Paranoia and Suspicion sub-scales. Furthermore, an ANOVA found participants of the high pain group reporting significantly higher impairments on the RNBI Cognitive, Physical and Quality-of-Life composite scores and several RNBI sub-scales compared to their pre-morbid functioning. Conclusions: High chronic pain exacerbates the emotional aspect of PCD and, therefore, should be given special observance in treatment settings. (PsycINFO Database Record (c) 2015 APA, all rights reserved). (journal abstract)","DOI":"10.3109/02699052.2013.804196","ISSN":"0269-9052","shortTitle":"Pain and mild traumatic brain injury","journalAbbreviation":"Brain Injury","author":[{"family":"Jamora","given":"Christina Weyer"},{"family":"Schroeder","given":"Sara C."},{"family":"Ruff","given":"Ronald M."}],"issued":{"date-parts":[["2013",9]]}}}],"schema":"https://github.com/citation-style-language/schema/raw/master/csl-citation.json"}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78.79</w:t>
            </w:r>
          </w:p>
          <w:p w:rsidR="00F537B6" w:rsidRPr="00563EB7" w:rsidRDefault="00F537B6" w:rsidP="00F537B6">
            <w:pPr>
              <w:rPr>
                <w:rFonts w:ascii="Arial" w:hAnsi="Arial" w:cs="Arial"/>
                <w:sz w:val="20"/>
                <w:szCs w:val="20"/>
              </w:rPr>
            </w:pPr>
            <w:r w:rsidRPr="00563EB7">
              <w:rPr>
                <w:rFonts w:ascii="Arial" w:hAnsi="Arial" w:cs="Arial"/>
                <w:sz w:val="20"/>
                <w:szCs w:val="20"/>
              </w:rPr>
              <w:t>Asian American, 7.58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6.06</w:t>
            </w:r>
          </w:p>
          <w:p w:rsidR="00F537B6" w:rsidRPr="00563EB7" w:rsidRDefault="00F537B6" w:rsidP="00F537B6">
            <w:pPr>
              <w:rPr>
                <w:rFonts w:ascii="Arial" w:hAnsi="Arial" w:cs="Arial"/>
                <w:sz w:val="20"/>
                <w:szCs w:val="20"/>
              </w:rPr>
            </w:pPr>
            <w:r w:rsidRPr="00563EB7">
              <w:rPr>
                <w:rFonts w:ascii="Arial" w:hAnsi="Arial" w:cs="Arial"/>
                <w:sz w:val="20"/>
                <w:szCs w:val="20"/>
              </w:rPr>
              <w:t>Latino, 4.54</w:t>
            </w:r>
          </w:p>
          <w:p w:rsidR="00F537B6" w:rsidRPr="00563EB7" w:rsidRDefault="00F537B6" w:rsidP="00F537B6">
            <w:pPr>
              <w:rPr>
                <w:rFonts w:ascii="Arial" w:hAnsi="Arial" w:cs="Arial"/>
                <w:sz w:val="20"/>
                <w:szCs w:val="20"/>
              </w:rPr>
            </w:pPr>
            <w:r w:rsidRPr="00563EB7">
              <w:rPr>
                <w:rFonts w:ascii="Arial" w:hAnsi="Arial" w:cs="Arial"/>
                <w:sz w:val="20"/>
                <w:szCs w:val="20"/>
              </w:rPr>
              <w:t>Biracial, 3.03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197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Jones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d77dil9ak","properties":{"formattedCitation":"[54]","plainCitation":"[54]"},"citationItems":[{"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405</w:t>
            </w:r>
          </w:p>
        </w:tc>
        <w:tc>
          <w:tcPr>
            <w:tcW w:w="2160" w:type="dxa"/>
            <w:hideMark/>
          </w:tcPr>
          <w:p w:rsidR="00F537B6" w:rsidRPr="00563EB7" w:rsidRDefault="00F537B6" w:rsidP="00F537B6">
            <w:pPr>
              <w:rPr>
                <w:rFonts w:ascii="Arial" w:hAnsi="Arial" w:cs="Arial"/>
                <w:sz w:val="20"/>
                <w:szCs w:val="20"/>
              </w:rPr>
            </w:pPr>
            <w:r w:rsidRPr="00563EB7">
              <w:rPr>
                <w:rFonts w:ascii="Arial" w:hAnsi="Arial" w:cs="Arial"/>
                <w:sz w:val="20"/>
                <w:szCs w:val="20"/>
              </w:rPr>
              <w:t>US - English as primary</w:t>
            </w:r>
            <w:r w:rsidRPr="00563EB7">
              <w:rPr>
                <w:rFonts w:ascii="Arial" w:hAnsi="Arial" w:cs="Arial"/>
                <w:sz w:val="20"/>
                <w:szCs w:val="20"/>
              </w:rPr>
              <w:br/>
              <w:t>language, 67.9</w:t>
            </w:r>
          </w:p>
          <w:p w:rsidR="00F537B6" w:rsidRPr="00563EB7" w:rsidRDefault="00F537B6" w:rsidP="00F537B6">
            <w:pPr>
              <w:rPr>
                <w:rFonts w:ascii="Arial" w:hAnsi="Arial" w:cs="Arial"/>
                <w:sz w:val="20"/>
                <w:szCs w:val="20"/>
              </w:rPr>
            </w:pPr>
            <w:r w:rsidRPr="00563EB7">
              <w:rPr>
                <w:rFonts w:ascii="Arial" w:hAnsi="Arial" w:cs="Arial"/>
                <w:sz w:val="20"/>
                <w:szCs w:val="20"/>
              </w:rPr>
              <w:t>Dominican Republic, 14.81</w:t>
            </w:r>
          </w:p>
          <w:p w:rsidR="00F537B6" w:rsidRPr="00563EB7" w:rsidRDefault="00F537B6" w:rsidP="00F537B6">
            <w:pPr>
              <w:rPr>
                <w:rFonts w:ascii="Arial" w:hAnsi="Arial" w:cs="Arial"/>
                <w:sz w:val="20"/>
                <w:szCs w:val="20"/>
              </w:rPr>
            </w:pPr>
            <w:r w:rsidRPr="00563EB7">
              <w:rPr>
                <w:rFonts w:ascii="Arial" w:hAnsi="Arial" w:cs="Arial"/>
                <w:sz w:val="20"/>
                <w:szCs w:val="20"/>
              </w:rPr>
              <w:t>Venezuela, 4.44</w:t>
            </w:r>
          </w:p>
          <w:p w:rsidR="00F537B6" w:rsidRPr="00563EB7" w:rsidRDefault="00F537B6" w:rsidP="00F537B6">
            <w:pPr>
              <w:rPr>
                <w:rFonts w:ascii="Arial" w:hAnsi="Arial" w:cs="Arial"/>
                <w:sz w:val="20"/>
                <w:szCs w:val="20"/>
              </w:rPr>
            </w:pPr>
            <w:r w:rsidRPr="00563EB7">
              <w:rPr>
                <w:rFonts w:ascii="Arial" w:hAnsi="Arial" w:cs="Arial"/>
                <w:sz w:val="20"/>
                <w:szCs w:val="20"/>
              </w:rPr>
              <w:t>Canada, 3.95</w:t>
            </w:r>
          </w:p>
          <w:p w:rsidR="00F537B6" w:rsidRPr="00563EB7" w:rsidRDefault="00F537B6" w:rsidP="00F537B6">
            <w:pPr>
              <w:rPr>
                <w:rFonts w:ascii="Arial" w:hAnsi="Arial" w:cs="Arial"/>
                <w:sz w:val="20"/>
                <w:szCs w:val="20"/>
              </w:rPr>
            </w:pPr>
            <w:r w:rsidRPr="00563EB7">
              <w:rPr>
                <w:rFonts w:ascii="Arial" w:hAnsi="Arial" w:cs="Arial"/>
                <w:sz w:val="20"/>
                <w:szCs w:val="20"/>
              </w:rPr>
              <w:t>US - Spanish as primary</w:t>
            </w:r>
            <w:r w:rsidRPr="00563EB7">
              <w:rPr>
                <w:rFonts w:ascii="Arial" w:hAnsi="Arial" w:cs="Arial"/>
                <w:sz w:val="20"/>
                <w:szCs w:val="20"/>
              </w:rPr>
              <w:br/>
              <w:t>language, 3.21</w:t>
            </w:r>
          </w:p>
          <w:p w:rsidR="00F537B6" w:rsidRPr="00563EB7" w:rsidRDefault="00F537B6" w:rsidP="00F537B6">
            <w:pPr>
              <w:rPr>
                <w:rFonts w:ascii="Arial" w:hAnsi="Arial" w:cs="Arial"/>
                <w:sz w:val="20"/>
                <w:szCs w:val="20"/>
              </w:rPr>
            </w:pPr>
            <w:r w:rsidRPr="00563EB7">
              <w:rPr>
                <w:rFonts w:ascii="Arial" w:hAnsi="Arial" w:cs="Arial"/>
                <w:sz w:val="20"/>
                <w:szCs w:val="20"/>
              </w:rPr>
              <w:t>Mexico, 0.74</w:t>
            </w:r>
          </w:p>
          <w:p w:rsidR="00F537B6" w:rsidRPr="00563EB7" w:rsidRDefault="00F537B6" w:rsidP="00F537B6">
            <w:pPr>
              <w:rPr>
                <w:rFonts w:ascii="Arial" w:hAnsi="Arial" w:cs="Arial"/>
                <w:sz w:val="20"/>
                <w:szCs w:val="20"/>
              </w:rPr>
            </w:pPr>
            <w:r w:rsidRPr="00563EB7">
              <w:rPr>
                <w:rFonts w:ascii="Arial" w:hAnsi="Arial" w:cs="Arial"/>
                <w:sz w:val="20"/>
                <w:szCs w:val="20"/>
              </w:rPr>
              <w:t>Puerto Rico, 0.74</w:t>
            </w:r>
          </w:p>
          <w:p w:rsidR="00F537B6" w:rsidRPr="00563EB7" w:rsidRDefault="00F537B6" w:rsidP="00F537B6">
            <w:pPr>
              <w:rPr>
                <w:rFonts w:ascii="Arial" w:hAnsi="Arial" w:cs="Arial"/>
                <w:sz w:val="20"/>
                <w:szCs w:val="20"/>
              </w:rPr>
            </w:pPr>
            <w:r w:rsidRPr="00563EB7">
              <w:rPr>
                <w:rFonts w:ascii="Arial" w:hAnsi="Arial" w:cs="Arial"/>
                <w:sz w:val="20"/>
                <w:szCs w:val="20"/>
              </w:rPr>
              <w:t>Cuba, 0.49</w:t>
            </w:r>
          </w:p>
          <w:p w:rsidR="00F537B6" w:rsidRPr="00563EB7" w:rsidRDefault="00F537B6" w:rsidP="00F537B6">
            <w:pPr>
              <w:rPr>
                <w:rFonts w:ascii="Arial" w:hAnsi="Arial" w:cs="Arial"/>
                <w:sz w:val="20"/>
                <w:szCs w:val="20"/>
              </w:rPr>
            </w:pPr>
            <w:r w:rsidRPr="00563EB7">
              <w:rPr>
                <w:rFonts w:ascii="Arial" w:hAnsi="Arial" w:cs="Arial"/>
                <w:sz w:val="20"/>
                <w:szCs w:val="20"/>
              </w:rPr>
              <w:t>Nicaragua, 0.25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88</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Kashluba</w:t>
            </w:r>
            <w:proofErr w:type="spellEnd"/>
            <w:r w:rsidRPr="00563EB7">
              <w:rPr>
                <w:rFonts w:ascii="Arial" w:hAnsi="Arial" w:cs="Arial"/>
                <w:sz w:val="20"/>
                <w:szCs w:val="20"/>
              </w:rPr>
              <w:t>, Hanks, Casey, &amp; Millis, 2008</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ekpha6bmj","properties":{"formattedCitation":"[55]","plainCitation":"[55]"},"citationItems":[{"id":5113,"uris":["http://zotero.org/users/1562642/items/AMUITJMC"],"uri":["http://zotero.org/users/1562642/items/AMUITJMC"],"itemData":{"id":5113,"type":"article-journal","title":"Neuropsychologic and functional outcome after complicated mild traumatic brain injury","container-title":"Archives of Physical Medicine &amp; Rehabilitation","page":"904-911","volume":"89","issue":"5","source":"EBSCOhost","abstract":"Abstract: Kashluba S, Hanks RA, Casey JE, Millis SR. Neuropsychologic and functional outcome after complicated mild traumatic brain injury. Objective: To investigate the extent to which neuropsychologic and functional outcome after complicated mild traumatic brain injury (TBI) parallels that of moderate TBI recovery. Design: A longitudinal study comparing neuropsychologic and functional status of persons with complicated mild TBI and moderate TBI at discharge from inpatient rehabilitation and at 1 year postinjury. Setting: Rehabilitation hospital with a Traumatic Brain Injury Model System. Participants: Persons with complicated mild TBI (n=102), each with an intracranial brain lesion documented through neuroimaging and a highest Glasgow Coma Scale (GCS) score in the emergency department between 13 and 15, and 127 persons with moderate TBI. Interventions: Not applicable. Main Outcome Measures: FIM instrument, Disability Rating Scale, Community Integration Questionnaire, Wechsler Memory Scale logical memory I and II, Rey Auditory Verbal Learning Test, Trail-Making Test, Controlled Oral Word Association Test, Symbol Digit Modalities Test, Wisconsin Card Sorting Test, and block design. Results: Few differences in neuropsychologic performance existed between the TBI groups. Less severely impaired information processing speed and verbal learning were seen in the complicated mild TBI group at rehabilitation discharge and 1 year postinjury. Despite overall improvement across cognitive domains within the complicated mild TBI group, some degree of impairment remained at 1 year postinjury on those measures that had identified participants as impaired soon after injury. No differences on functional ability measures were found between the TBI groups at either time period postinjury, with both groups exhibiting incomplete recovery of functional status at the 1-year follow-up. Conclusions: When classifying severity of TBI based on GCS scores, consideration of a moderate injury designation should be given to persons with an intracranial bleed and a GCS score between 13 and 15. Copyright &amp;y&amp; Elsevier","ISSN":"00039993","journalAbbreviation":"Archives of Physical Medicine &amp; Rehabilitation","author":[{"family":"Kashluba","given":"Shauna"},{"family":"Hanks","given":"Robin A."},{"family":"Casey","given":"Joseph E."},{"family":"Millis","given":"Scott R."}],"issued":{"date-parts":[["2008",5]]}}}],"schema":"https://github.com/citation-style-language/schema/raw/master/csl-citation.json"}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2008</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229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Black, 71.62</w:t>
            </w:r>
          </w:p>
          <w:p w:rsidR="00F537B6" w:rsidRPr="00563EB7" w:rsidRDefault="00F537B6" w:rsidP="00F537B6">
            <w:pPr>
              <w:rPr>
                <w:rFonts w:ascii="Arial" w:hAnsi="Arial" w:cs="Arial"/>
                <w:sz w:val="20"/>
                <w:szCs w:val="20"/>
              </w:rPr>
            </w:pPr>
            <w:r w:rsidRPr="00563EB7">
              <w:rPr>
                <w:rFonts w:ascii="Arial" w:hAnsi="Arial" w:cs="Arial"/>
                <w:sz w:val="20"/>
                <w:szCs w:val="20"/>
              </w:rPr>
              <w:t>White, 25.76</w:t>
            </w:r>
          </w:p>
          <w:p w:rsidR="00F537B6" w:rsidRPr="00563EB7" w:rsidRDefault="00F537B6" w:rsidP="00F537B6">
            <w:pPr>
              <w:rPr>
                <w:rFonts w:ascii="Arial" w:hAnsi="Arial" w:cs="Arial"/>
                <w:sz w:val="20"/>
                <w:szCs w:val="20"/>
              </w:rPr>
            </w:pPr>
            <w:r w:rsidRPr="00563EB7">
              <w:rPr>
                <w:rFonts w:ascii="Arial" w:hAnsi="Arial" w:cs="Arial"/>
                <w:sz w:val="20"/>
                <w:szCs w:val="20"/>
              </w:rPr>
              <w:t>Other, 2.62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Killam, </w:t>
            </w:r>
            <w:proofErr w:type="spellStart"/>
            <w:r w:rsidRPr="00563EB7">
              <w:rPr>
                <w:rFonts w:ascii="Arial" w:hAnsi="Arial" w:cs="Arial"/>
                <w:sz w:val="20"/>
                <w:szCs w:val="20"/>
              </w:rPr>
              <w:t>Cautin</w:t>
            </w:r>
            <w:proofErr w:type="spellEnd"/>
            <w:r w:rsidRPr="00563EB7">
              <w:rPr>
                <w:rFonts w:ascii="Arial" w:hAnsi="Arial" w:cs="Arial"/>
                <w:sz w:val="20"/>
                <w:szCs w:val="20"/>
              </w:rPr>
              <w:t xml:space="preserve">, &amp; </w:t>
            </w:r>
            <w:proofErr w:type="spellStart"/>
            <w:r w:rsidRPr="00563EB7">
              <w:rPr>
                <w:rFonts w:ascii="Arial" w:hAnsi="Arial" w:cs="Arial"/>
                <w:sz w:val="20"/>
                <w:szCs w:val="20"/>
              </w:rPr>
              <w:t>Santucci</w:t>
            </w:r>
            <w:proofErr w:type="spellEnd"/>
            <w:r w:rsidRPr="00563EB7">
              <w:rPr>
                <w:rFonts w:ascii="Arial" w:hAnsi="Arial" w:cs="Arial"/>
                <w:sz w:val="20"/>
                <w:szCs w:val="20"/>
              </w:rPr>
              <w:t>, 2005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p0miem5qe","properties":{"formattedCitation":"[56]","plainCitation":"[56]"},"citationItems":[{"id":4735,"uris":["http://zotero.org/users/1562642/items/HSWS7XJ5"],"uri":["http://zotero.org/users/1562642/items/HSWS7XJ5"],"itemData":{"id":4735,"type":"article-journal","title":"Assessing the enduring residual neuropsychological effects of head trauma in college athletes who participate in contact sports","container-title":"Archives of Clinical Neuropsychology","page":"599-611","volume":"20","issue":"5","source":"EBSCOhost","archive_location":"2005-07424-004","abstract":"The present study examined the enduring residual neuropsychological effects of head trauma in college athletes using the Repeatable Battery for the Assessment of Neuropsychological Status (RBANS), Postconcussion Syndrome Checklist, and the Stroop task. Based on a brief self-report concussion history survey, male and female athletes who participated in ice hockey, field hockey, lacrosse, and/or soccer were assigned to one of three concussion-history conditions: Non-concussed, Non-recent concussed (i.e., more than 2 years since last concussion), or Recent concussed (i.e., 2 years or less since last concussion). A fourth group of subjects consisting of non-concussed/non-athletes served in the control condition. Group differences emerged on the RBANS when immediate memory, delayed memory, and total scores were analyzed. Specifically, recent concussed athletes and, surprisingly, non-concussed athletes scored lower than control subjects in the two memory domains, whereas all three athlete groups had lower total RBANS scores than those of control subjects. Moreover, recent concussed athletes not only had lower immediate memory scores than control subjects, but also were impaired relative to non-recent concussed athlete subjects in this memory domain. No group differences were detected on the Stroop task or on the Postconcussion Syndrome Checklist. Interestingly, however, the severity of the Postconcussion Syndrome Checklist scores for the two athlete-concussed groups, taken in aggregate, correlated negatively with RBANS scores for attention (r = -.65) and delayed memory (r = - .61), and with the total RBANS score (r = -.59). In recent concussed athletes, lower delayed memory scores correlated with more severe Postconcussion Symptom Checklist scores (r = -.90), while more severe/higher number of concussions correlated with increased processing speed on the Stroop interference task (r = .90). These findings indicate that recent head injury produces alterations in neuropsychological function, especially that of memory, that resolve with time. More provocatively, the data also suggest that participation in contact sports may produce sub-clinical cognitive impairments in the absence of a diagnosable concussion presumably resulting from the cumulative consequences produced by multiple mild head trauma. (PsycINFO Database Record (c) 2013 APA, all rights reserved). (journal abstract)","DOI":"10.1016/j.acn.2005.02.001","ISSN":"0887-6177","journalAbbreviation":"Archives of Clinical Neuropsychology","author":[{"family":"Killam","given":"Chad"},{"family":"Cautin","given":"Robin L."},{"family":"Santucci","given":"Anthony C."}],"issued":{"date-parts":[["2005",7]]}}}],"schema":"https://github.com/citation-style-language/schema/raw/master/csl-citation.json"}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82.14</w:t>
            </w:r>
          </w:p>
          <w:p w:rsidR="00F537B6" w:rsidRPr="00563EB7" w:rsidRDefault="00F537B6" w:rsidP="00F537B6">
            <w:pPr>
              <w:rPr>
                <w:rFonts w:ascii="Arial" w:hAnsi="Arial" w:cs="Arial"/>
                <w:sz w:val="20"/>
                <w:szCs w:val="20"/>
              </w:rPr>
            </w:pPr>
            <w:r w:rsidRPr="00563EB7">
              <w:rPr>
                <w:rFonts w:ascii="Arial" w:hAnsi="Arial" w:cs="Arial"/>
                <w:sz w:val="20"/>
                <w:szCs w:val="20"/>
              </w:rPr>
              <w:t>Other, 17.86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Kontos</w:t>
            </w:r>
            <w:proofErr w:type="spellEnd"/>
            <w:r w:rsidRPr="00563EB7">
              <w:rPr>
                <w:rFonts w:ascii="Arial" w:hAnsi="Arial" w:cs="Arial"/>
                <w:sz w:val="20"/>
                <w:szCs w:val="20"/>
              </w:rPr>
              <w:t xml:space="preserve">, Elbin, </w:t>
            </w:r>
            <w:proofErr w:type="spellStart"/>
            <w:r w:rsidRPr="00563EB7">
              <w:rPr>
                <w:rFonts w:ascii="Arial" w:hAnsi="Arial" w:cs="Arial"/>
                <w:sz w:val="20"/>
                <w:szCs w:val="20"/>
              </w:rPr>
              <w:t>Covassin</w:t>
            </w:r>
            <w:proofErr w:type="spellEnd"/>
            <w:r w:rsidRPr="00563EB7">
              <w:rPr>
                <w:rFonts w:ascii="Arial" w:hAnsi="Arial" w:cs="Arial"/>
                <w:sz w:val="20"/>
                <w:szCs w:val="20"/>
              </w:rPr>
              <w:t>, &amp; Larson, 2010</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calq2795m","properties":{"formattedCitation":"[57]","plainCitation":"[57]"},"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2010</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African-American, 50</w:t>
            </w:r>
          </w:p>
          <w:p w:rsidR="00F537B6" w:rsidRPr="00563EB7" w:rsidRDefault="00F537B6" w:rsidP="00F537B6">
            <w:pPr>
              <w:rPr>
                <w:rFonts w:ascii="Arial" w:hAnsi="Arial" w:cs="Arial"/>
                <w:sz w:val="20"/>
                <w:szCs w:val="20"/>
              </w:rPr>
            </w:pPr>
            <w:r w:rsidRPr="00563EB7">
              <w:rPr>
                <w:rFonts w:ascii="Arial" w:hAnsi="Arial" w:cs="Arial"/>
                <w:sz w:val="20"/>
                <w:szCs w:val="20"/>
              </w:rPr>
              <w:t>White, 50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1100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Krishnan, Smith, &amp; </w:t>
            </w:r>
            <w:proofErr w:type="spellStart"/>
            <w:r w:rsidRPr="00563EB7">
              <w:rPr>
                <w:rFonts w:ascii="Arial" w:hAnsi="Arial" w:cs="Arial"/>
                <w:sz w:val="20"/>
                <w:szCs w:val="20"/>
              </w:rPr>
              <w:t>Donders</w:t>
            </w:r>
            <w:proofErr w:type="spellEnd"/>
            <w:r w:rsidRPr="00563EB7">
              <w:rPr>
                <w:rFonts w:ascii="Arial" w:hAnsi="Arial" w:cs="Arial"/>
                <w:sz w:val="20"/>
                <w:szCs w:val="20"/>
              </w:rPr>
              <w:t>,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q61a2f2sg","properties":{"formattedCitation":"[58]","plainCitation":"[58]"},"citationItems":[{"id":5447,"uris":["http://zotero.org/users/1562642/items/6UPMAMST"],"uri":["http://zotero.org/users/1562642/items/6UPMAMST"],"itemData":{"id":5447,"type":"article-journal","title":"Use of the Tower of London—Drexel University, Second Edition (TOLDX) in adults with traumatic brain injury","container-title":"The Clinical Neuropsychologist","page":"951-964","volume":"26","issue":"6","source":"EBSCOhost","archive_location":"2012-21012-007","abstract":"The Tower of London – Drexel University, Second Edition (TOLDX) was investigated in order to determine the efficacy of using this instrument in evaluating the impact of traumatic brain injury on cognitive functioning in adults. Performance on the TOLDX was compared among 56 individuals with complicated mild to severe traumatic brain injury (\"sTBI\"), 68 individuals with uncomplicated, mild traumatic brain injury (\"mTBI\"), and 124 demographically matched, healthy controls. Both TBI groups performed worse than controls on TOLDX measures of executive time (ET) and number of moves used (TMS), but only patients with sTBI were more likely to be impaired on TMS (i.e., performing at least 1.5 SD below the mean). Poorer performance on TMS was associated with increasing length of coma. Although poor sensitivity of this measure limits its use in isolation, the TOLDX may provide a complementary measurement of aspects of problem-solving deficit in TBI that may not be captured by other tests. (PsycINFO Database Record (c) 2015 APA, all rights reserved). (journal abstract)","DOI":"10.1080/13854046.2012.708166","ISSN":"1385-4046","journalAbbreviation":"The Clinical Neuropsychologist","author":[{"family":"Krishnan","given":"Mohan"},{"family":"Smith","given":"Nichole"},{"family":"Donders","given":"Jacobus"}],"issued":{"date-parts":[["2012",8]]}}}],"schema":"https://github.com/citation-style-language/schema/raw/master/csl-citation.json"}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304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52.63</w:t>
            </w:r>
          </w:p>
          <w:p w:rsidR="00F537B6" w:rsidRPr="00563EB7" w:rsidRDefault="00F537B6" w:rsidP="00F537B6">
            <w:pPr>
              <w:rPr>
                <w:rFonts w:ascii="Arial" w:hAnsi="Arial" w:cs="Arial"/>
                <w:sz w:val="20"/>
                <w:szCs w:val="20"/>
              </w:rPr>
            </w:pPr>
            <w:r w:rsidRPr="00563EB7">
              <w:rPr>
                <w:rFonts w:ascii="Arial" w:hAnsi="Arial" w:cs="Arial"/>
                <w:sz w:val="20"/>
                <w:szCs w:val="20"/>
              </w:rPr>
              <w:t>Hispanic, 2.3</w:t>
            </w:r>
          </w:p>
          <w:p w:rsidR="00F537B6" w:rsidRPr="00563EB7" w:rsidRDefault="00F537B6" w:rsidP="00F537B6">
            <w:pPr>
              <w:rPr>
                <w:rFonts w:ascii="Arial" w:hAnsi="Arial" w:cs="Arial"/>
                <w:sz w:val="20"/>
                <w:szCs w:val="20"/>
              </w:rPr>
            </w:pPr>
            <w:r w:rsidRPr="00563EB7">
              <w:rPr>
                <w:rFonts w:ascii="Arial" w:hAnsi="Arial" w:cs="Arial"/>
                <w:sz w:val="20"/>
                <w:szCs w:val="20"/>
              </w:rPr>
              <w:t>Other, 1.97</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1.64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129</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Krivitzky</w:t>
            </w:r>
            <w:proofErr w:type="spellEnd"/>
            <w:r w:rsidRPr="00563EB7">
              <w:rPr>
                <w:rFonts w:ascii="Arial" w:hAnsi="Arial" w:cs="Arial"/>
                <w:sz w:val="20"/>
                <w:szCs w:val="20"/>
              </w:rPr>
              <w:t xml:space="preserve"> et al., 2011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lju7e1qn4","properties":{"formattedCitation":"[59]","plainCitation":"[59]"},"citationItems":[{"id":5117,"uris":["http://zotero.org/users/1562642/items/6R4G8WWU"],"uri":["http://zotero.org/users/1562642/items/6R4G8WWU"],"itemData":{"id":5117,"type":"article-journal","title":"Functional magnetic resonance imaging of working memory and response inhibition in children with mild traumatic brain injury","container-title":"Journal of the International Neuropsychological Society","page":"1143-1152","volume":"17","issue":"6","source":"EBSCOhost","archive_location":"2011-26252-021","abstract":"The current pilot study examined functional magnetic resonance imaging (fMRI) activation in children with mild traumatic brain injury (mTBI) during tasks of working memory and inhibitory control, both of which are vulnerable to impairment following mTBI. Thirteen children with symptomatic mTBI and a group of controls completed a version of the Tasks of Executive Control (TEC) during fMRI scanning. Both groups showed greater prefrontal activation in response to increased working memory load. Activation patterns did not differ between groups on the working memory aspects of the task, but children with mTBI showed greater activation in the posterior cerebellum with the addition of a demand for inhibitory control. Children with mTBI showed greater impairment on symptom report and ‘‘real world’’ measures of executive functioning, but not on traditional ‘‘paper and pencil’’ tasks. Likewise, cognitive testing did not correlate significantly with imaging results, whereas increased report of post-concussive symptoms were correlated with increased cerebellar activation. Overall, results provide some evidence for the utility of symptom report as an indicator of recovery and the hypothesis that children with mTBI may experience disrupted neural circuitry during recovery. Limitations of the study included a small sample size, wide age range, and lack of in-scanner accuracy data. (PsycINFO Database Record (c) 2012 APA, all rights reserved). (journal abstract)","DOI":"10.1017/S1355617711001226","ISSN":"1355-6177","journalAbbreviation":"Journal of the International Neuropsychological Society","author":[{"family":"Krivitzky","given":"Lauren S."},{"family":"Roebuck-Spencer","given":"Tresa M."},{"family":"Roth","given":"Robert M."},{"family":"Blackstone","given":"Kaitlin"},{"family":"Johnson","given":"Chad P."},{"family":"Gioia","given":"Gerard"}],"issued":{"date-parts":[["2011",11]]}}}],"schema":"https://github.com/citation-style-language/schema/raw/master/csl-citation.json"}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[59]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88.46</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11.54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152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Lange et al.,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13meu8dv25","properties":{"formattedCitation":"[60]","plainCitation":"[60]"},"citationItems":[{"id":5259,"uris":["http://zotero.org/users/1562642/items/GHPFEBI8"],"uri":["http://zotero.org/users/1562642/items/GHPFEBI8"],"itemData":{"id":5259,"type":"article-journal","title":"Neuropsychological outcome from blast versus non-blast: Mild traumatic brain injury in U. S. military service members","container-title":"Journal of the International Neuropsychological Society","page":"595-605","volume":"18","issue":"3","source":"EBSCOhost","archive_location":"2012-11662-022","abstract":"The purpose of this study was to compare the neuropsychological outcome from blast-related versus non-blast related mild traumatic brain injury (MTBI). Participants were 56 U.S. military service members who sustained an MTBI, divided into two groups based on mechanism of injury: (a) non-blast related (Non-blast; n = 21), and (b) blast plus secondary blunt trauma (Blast Plus; n = 35). All participants had sustained their injury in theatre whilst deployed during Operation Iraqi Freedom or Operation Enduring Freedom. Patients had been seen for neuropsychological evaluation at Walter Reed Army Medical Center on average 4.4 months (SD = 4.1) post-injury. Measures included 14 clinical scales from the Personality Assessment Inventory (PAI) and 12 common neurocognitive measures. For the PAI, there were no significant differences between groups on all scales (p &gt; .05). However, medium effect sizes were found for the Depression (d = .49) and Stress (d = .47) scales (i.e., Blast Plus &gt; Non-blast). On the neurocognitive measures, after controlling for the influence of psychological distress (i.e., Depression, Stress), there were no differences between the Non-blast and Blast Plus groups on all measures. These findings provide little evidence to suggest that blast exposure plus secondary blunt trauma results in worse cognitive or psychological recovery than blunt trauma alone. (PsycINFO Database Record (c) 2015 APA, all rights reserved). (journal abstract)","DOI":"10.1017/S1355617712000239","ISSN":"1355-6177","shortTitle":"Neuropsychological outcome from blast versus non-blast","journalAbbreviation":"Journal of the International Neuropsychological Society","author":[{"family":"Lange","given":"Rael T."},{"family":"Pancholi","given":"Sonal"},{"family":"Brickell","given":"Tracey A."},{"family":"Sakura","given":"Sara"},{"family":"Bhagwat","given":"Aditya"},{"family":"Merritt","given":"Victoria"},{"family":"French","given":"Louis M."}],"issued":{"date-parts":[["2012",5]]}}}],"schema":"https://github.com/citation-style-language/schema/raw/master/csl-citation.json"}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89.29</w:t>
            </w:r>
          </w:p>
          <w:p w:rsidR="00F537B6" w:rsidRPr="00563EB7" w:rsidRDefault="00F537B6" w:rsidP="00F537B6">
            <w:pPr>
              <w:rPr>
                <w:rFonts w:ascii="Arial" w:hAnsi="Arial" w:cs="Arial"/>
                <w:sz w:val="20"/>
                <w:szCs w:val="20"/>
              </w:rPr>
            </w:pPr>
            <w:r w:rsidRPr="00563EB7">
              <w:rPr>
                <w:rFonts w:ascii="Arial" w:hAnsi="Arial" w:cs="Arial"/>
                <w:sz w:val="20"/>
                <w:szCs w:val="20"/>
              </w:rPr>
              <w:t>African American, Asian, or</w:t>
            </w:r>
            <w:r w:rsidRPr="00563EB7">
              <w:rPr>
                <w:rFonts w:ascii="Arial" w:hAnsi="Arial" w:cs="Arial"/>
                <w:sz w:val="20"/>
                <w:szCs w:val="20"/>
              </w:rPr>
              <w:br/>
              <w:t>Other, 10.71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Lange, Iverson, &amp; </w:t>
            </w:r>
            <w:proofErr w:type="spellStart"/>
            <w:r w:rsidRPr="00563EB7">
              <w:rPr>
                <w:rFonts w:ascii="Arial" w:hAnsi="Arial" w:cs="Arial"/>
                <w:sz w:val="20"/>
                <w:szCs w:val="20"/>
              </w:rPr>
              <w:t>Franzen</w:t>
            </w:r>
            <w:proofErr w:type="spellEnd"/>
            <w:r w:rsidRPr="00563EB7">
              <w:rPr>
                <w:rFonts w:ascii="Arial" w:hAnsi="Arial" w:cs="Arial"/>
                <w:sz w:val="20"/>
                <w:szCs w:val="20"/>
              </w:rPr>
              <w:t>, 2009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n83pu6a06","properties":{"formattedCitation":"[61]","plainCitation":"[61]"},"citationItems":[{"id":5123,"uris":["http://zotero.org/users/1562642/items/8R9I3CVD"],"uri":["http://zotero.org/users/1562642/items/8R9I3CVD"],"itemData":{"id":5123,"type":"article-journal","title":"Neuropsychological functioning following complicated vs. uncomplicated mild traumatic brain injury","container-title":"Brain Injury","page":"83-91","volume":"23","issue":"2","source":"EBSCOhost","archive_location":"2009-01743-002","abstract":"Objective: It would be logical to assume that patients with intracranial abnormalities (i.e. complicated MTBIs) would have worse outcome than patients without these abnormalities (i.e. uncomplicated MTBIs). However, the literature is limited and somewhat mixed regarding outcome in patients with complicated mild TBIs. The purpose of this study is to employ a carefully controlled research design to compare the acute neuropsychological functioning of patients following complicated and uncomplicated MTBI. Method: Participants were 20 patients with complicated MTBI and 20 patients with uncomplicated MTBI selected from an archival database of 465 patients. Patients were carefully matched on age, education, gender, ethnicity, days assessed post-injury and mechanism of injury. Patients were assessed an average of 3.5 days (SD=1.9) post-injury with 13 common cognitive variables. Results: There were significant group differences on only three of the 13 cognitive measures (complicated mild TBI worse than uncomplicated mild TBI). There were no significant differences in the proportion of impaired scores between groups on all measures, with the exception of Hopkins Verbal Learning Test Delayed Recall. Conclusion: Patients with complicated MTBIs performed more poorly only on a small number of tests during the acute recovery period. (PsycINFO Database Record (c) 2015 APA, all rights reserved). (journal abstract)","DOI":"10.1080/02699050802635281","ISSN":"0269-9052","journalAbbreviation":"Brain Injury","author":[{"family":"Lange","given":"Rael T."},{"family":"Iverson","given":"Grant L."},{"family":"Franzen","given":"Michael D."}],"issued":{"date-parts":[["2009",2]]}}}],"schema":"https://github.com/citation-style-language/schema/raw/master/csl-citation.json"}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115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Lange, Iverson, Brooks, &amp; </w:t>
            </w:r>
            <w:proofErr w:type="spellStart"/>
            <w:r w:rsidRPr="00563EB7">
              <w:rPr>
                <w:rFonts w:ascii="Arial" w:hAnsi="Arial" w:cs="Arial"/>
                <w:sz w:val="20"/>
                <w:szCs w:val="20"/>
              </w:rPr>
              <w:t>Rennison</w:t>
            </w:r>
            <w:proofErr w:type="spellEnd"/>
            <w:r w:rsidRPr="00563EB7">
              <w:rPr>
                <w:rFonts w:ascii="Arial" w:hAnsi="Arial" w:cs="Arial"/>
                <w:sz w:val="20"/>
                <w:szCs w:val="20"/>
              </w:rPr>
              <w:t>, 2010</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47cem7a0l","properties":{"formattedCitation":"[62]","plainCitation":"[62]"},"citationItems":[{"id":4753,"uris":["http://zotero.org/users/1562642/items/CZS5SB38"],"uri":["http://zotero.org/users/1562642/items/CZS5SB38"],"itemData":{"id":4753,"type":"article-journal","title":"Influence of poor effort on self-reported symptoms and neurocognitive test performance following mild traumatic brain injury","container-title":"Journal of Clinical and Experimental Neuropsychology","page":"961-972","volume":"32","issue":"9","source":"EBSCOhost","archive_location":"2010-23529-006","abstract":"When considering a diagnosis of postconcussion syndrome, clinicians must systematically evaluate and eliminate the possible contribution of many differential diagnoses, comorbidities, and factors that may cause or maintain self-reported symptoms long after mild traumatic brain injury (MTBI). One potentially significant contributing factor is symptom exaggeration. The purpose of the study is to examine the influence of poor effort on self-reported symptoms (postconcussion symptoms and cognitive complaints) and neurocognitive test performance following MTBI. The MTBI sample consisted of 63 referrals to a concussion clinic, evaluated within 5 months post injury (M = 2.0, SD = 1.0, range = 0.6–4.6), who were receiving financial compensation from the Workers’ Compensation Board. Participants completed the Post-Concussion Scale (PCS), British Columbia Cognitive Complaints Inventory (BC-CCI), selected tests from the Neuropsychological Assessment Battery Screening Module (S-NAB), and the Test of Memory Malingering (TOMM). Participants were divided into two groups based on TOMM performance (15 fail, 48 pass). There were significant main effects and large effect sizes for the PCS (p = .002, d = 0.79) and BC-CCI (p = .011, d = 0.98) total scores. Patients in the TOMM fail group scored higher than those in the TOMM pass group on both measures. Similarly, there were significant main effects and/or large effect sizes on the S-NAB. Patients in the TOMM fail group performed more poorly on the Attention (p = .004, d = 1.26), Memory (p = .006, d = 1.16), and Executive Functioning (p &gt; .05, d = 0.70) indexes. These results highlight the importance of considering the influence of poor effort, in conjunction with a growing list of factors that can influence, maintain, and/or mimic the persistent postconcussion syndrome. (PsycINFO Database Record (c) 2015 APA, all rights reserved). (journal abstract)","DOI":"10.1080/13803391003645657","ISSN":"1380-3395","journalAbbreviation":"Journal of Clinical and Experimental Neuropsychology","author":[{"family":"Lange","given":"Rael T."},{"family":"Iverson","given":"Grant L."},{"family":"Brooks","given":"Brian L."},{"family":"Rennison","given":"V. Lynn Ashton"}],"issued":{"date-parts":[["2010",11]]}}}],"schema":"https://github.com/citation-style-language/schema/raw/master/csl-citation.json"}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2010</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Canada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74.6</w:t>
            </w:r>
          </w:p>
          <w:p w:rsidR="00F537B6" w:rsidRPr="00563EB7" w:rsidRDefault="00F537B6" w:rsidP="00F537B6">
            <w:pPr>
              <w:rPr>
                <w:rFonts w:ascii="Arial" w:hAnsi="Arial" w:cs="Arial"/>
                <w:sz w:val="20"/>
                <w:szCs w:val="20"/>
              </w:rPr>
            </w:pPr>
            <w:r w:rsidRPr="00563EB7">
              <w:rPr>
                <w:rFonts w:ascii="Arial" w:hAnsi="Arial" w:cs="Arial"/>
                <w:sz w:val="20"/>
                <w:szCs w:val="20"/>
              </w:rPr>
              <w:t>East Indian, 9.52</w:t>
            </w:r>
          </w:p>
          <w:p w:rsidR="00F537B6" w:rsidRPr="00563EB7" w:rsidRDefault="00F537B6" w:rsidP="00F537B6">
            <w:pPr>
              <w:rPr>
                <w:rFonts w:ascii="Arial" w:hAnsi="Arial" w:cs="Arial"/>
                <w:sz w:val="20"/>
                <w:szCs w:val="20"/>
              </w:rPr>
            </w:pPr>
            <w:r w:rsidRPr="00563EB7">
              <w:rPr>
                <w:rFonts w:ascii="Arial" w:hAnsi="Arial" w:cs="Arial"/>
                <w:sz w:val="20"/>
                <w:szCs w:val="20"/>
              </w:rPr>
              <w:t>Other, 7.94</w:t>
            </w:r>
          </w:p>
          <w:p w:rsidR="00F537B6" w:rsidRPr="00563EB7" w:rsidRDefault="00F537B6" w:rsidP="00F537B6">
            <w:pPr>
              <w:rPr>
                <w:rFonts w:ascii="Arial" w:hAnsi="Arial" w:cs="Arial"/>
                <w:sz w:val="20"/>
                <w:szCs w:val="20"/>
              </w:rPr>
            </w:pPr>
            <w:r w:rsidRPr="00563EB7">
              <w:rPr>
                <w:rFonts w:ascii="Arial" w:hAnsi="Arial" w:cs="Arial"/>
                <w:sz w:val="20"/>
                <w:szCs w:val="20"/>
              </w:rPr>
              <w:t>Asian, 4.76</w:t>
            </w:r>
          </w:p>
          <w:p w:rsidR="00F537B6" w:rsidRPr="00563EB7" w:rsidRDefault="00F537B6" w:rsidP="00F537B6">
            <w:pPr>
              <w:rPr>
                <w:rFonts w:ascii="Arial" w:hAnsi="Arial" w:cs="Arial"/>
                <w:sz w:val="20"/>
                <w:szCs w:val="20"/>
              </w:rPr>
            </w:pPr>
            <w:r w:rsidRPr="00563EB7">
              <w:rPr>
                <w:rFonts w:ascii="Arial" w:hAnsi="Arial" w:cs="Arial"/>
                <w:sz w:val="20"/>
                <w:szCs w:val="20"/>
              </w:rPr>
              <w:t>First Nations, 3.17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151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Lange, </w:t>
            </w:r>
            <w:proofErr w:type="spellStart"/>
            <w:r w:rsidRPr="00563EB7">
              <w:rPr>
                <w:rFonts w:ascii="Arial" w:hAnsi="Arial" w:cs="Arial"/>
                <w:sz w:val="20"/>
                <w:szCs w:val="20"/>
              </w:rPr>
              <w:t>Pancholi</w:t>
            </w:r>
            <w:proofErr w:type="spellEnd"/>
            <w:r w:rsidRPr="00563EB7">
              <w:rPr>
                <w:rFonts w:ascii="Arial" w:hAnsi="Arial" w:cs="Arial"/>
                <w:sz w:val="20"/>
                <w:szCs w:val="20"/>
              </w:rPr>
              <w:t>, Bhagwat, Anderson-Barnes, &amp; French,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jp1la8418","properties":{"formattedCitation":"[63]","plainCitation":"[63]"},"citationItems":[{"id":5256,"uris":["http://zotero.org/users/1562642/items/FN3GV97J"],"uri":["http://zotero.org/users/1562642/items/FN3GV97J"],"itemData":{"id":5256,"type":"article-journal","title":"Influence of poor effort on neuropsychological test performance in U.S. military personnel following mild traumatic brain injury","container-title":"Journal of Clinical and Experimental Neuropsychology","page":"453-466","volume":"34","issue":"5","source":"EBSCOhost","abstract":"The purpose of this study was to examine the influence of poor effort on neuropsychological test performance in military personnel following mild traumatic brain injury (MTBI). Participants were 143 U.S. service members who sustained a TBI, divided into three groups based on injury severity and performance on the Word Memory Test and four embedded markers of poor effort: MTBI-pass (n = 87), MTBI-fail (n = 21), and STBI-pass (n = 35; where STBI denotes severe TBI). Patients were evaluated at the Walter Reed Army Medical Center on average 3.9 months (SD = 3.4) post injury. The majority of the sample was Caucasian (84.6%), was male (93.0%), and had 12+ years of education (96.5%). Measures included the Personality Assessment Inventory (PAI) and 13 common neurocognitive measures. Patients in the MTBI-fail group performed worse on the majority of neurocognitive measures, followed by the Severe TBI-Pass group and the MTBI-pass group. Using a criterion of three or more low scores &lt;10th percentile, the MTBI-fail group had the greatest rate of impairment (76.2%), followed by the Severe TBI-Pass group (34.3%) and MTBI-pass group (16.1%). On the PAI, the MTBI-fail group had higher scores on the majority of clinical scales (p &lt; .05). There were a greater number of elevated scales (e.g., 5 or more elevated mild or higher) in the MTBI-fail group (71.4%) than in the MTBI-pass group (32.2%) and Severe TBI-Pass group (17.1%). Effort testing is an important component of postacute neuropsychological evaluations following combat-related MTBI. Those who fail effort testing are likely to be misdiagnosed as having severe cognitive impairment, and their symptom reporting is likely to be inaccurate.","DOI":"10.1080/13803395.2011.648175","ISSN":"13803395","journalAbbreviation":"Journal of Clinical &amp; Experimental Neuropsychology","author":[{"family":"Lange","given":"Rael T."},{"family":"Pancholi","given":"Sonal"},{"family":"Bhagwat","given":"Aditya"},{"family":"Anderson-Barnes","given":"Victoria"},{"family":"French","given":"Louis M."}],"issued":{"date-parts":[["2012",6]]}}}],"schema":"https://github.com/citation-style-language/schema/raw/master/csl-citation.json"}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143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84.61</w:t>
            </w:r>
          </w:p>
          <w:p w:rsidR="00F537B6" w:rsidRPr="00563EB7" w:rsidRDefault="00F537B6" w:rsidP="00F537B6">
            <w:pPr>
              <w:rPr>
                <w:rFonts w:ascii="Arial" w:hAnsi="Arial" w:cs="Arial"/>
                <w:sz w:val="20"/>
                <w:szCs w:val="20"/>
              </w:rPr>
            </w:pPr>
            <w:r w:rsidRPr="00563EB7">
              <w:rPr>
                <w:rFonts w:ascii="Arial" w:hAnsi="Arial" w:cs="Arial"/>
                <w:sz w:val="20"/>
                <w:szCs w:val="20"/>
              </w:rPr>
              <w:t>African-American, 8.39</w:t>
            </w:r>
          </w:p>
          <w:p w:rsidR="00F537B6" w:rsidRPr="00563EB7" w:rsidRDefault="00F537B6" w:rsidP="00F537B6">
            <w:pPr>
              <w:rPr>
                <w:rFonts w:ascii="Arial" w:hAnsi="Arial" w:cs="Arial"/>
                <w:sz w:val="20"/>
                <w:szCs w:val="20"/>
              </w:rPr>
            </w:pPr>
            <w:r w:rsidRPr="00563EB7">
              <w:rPr>
                <w:rFonts w:ascii="Arial" w:hAnsi="Arial" w:cs="Arial"/>
                <w:sz w:val="20"/>
                <w:szCs w:val="20"/>
              </w:rPr>
              <w:t>Hispanic, 4.2</w:t>
            </w:r>
          </w:p>
          <w:p w:rsidR="00F537B6" w:rsidRPr="00563EB7" w:rsidRDefault="00F537B6" w:rsidP="00F537B6">
            <w:pPr>
              <w:rPr>
                <w:rFonts w:ascii="Arial" w:hAnsi="Arial" w:cs="Arial"/>
                <w:sz w:val="20"/>
                <w:szCs w:val="20"/>
              </w:rPr>
            </w:pPr>
            <w:r w:rsidRPr="00563EB7">
              <w:rPr>
                <w:rFonts w:ascii="Arial" w:hAnsi="Arial" w:cs="Arial"/>
                <w:sz w:val="20"/>
                <w:szCs w:val="20"/>
              </w:rPr>
              <w:t>Other, 2.8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175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Larson, </w:t>
            </w:r>
            <w:proofErr w:type="spellStart"/>
            <w:r w:rsidRPr="00563EB7">
              <w:rPr>
                <w:rFonts w:ascii="Arial" w:hAnsi="Arial" w:cs="Arial"/>
                <w:sz w:val="20"/>
                <w:szCs w:val="20"/>
              </w:rPr>
              <w:t>Kondiles</w:t>
            </w:r>
            <w:proofErr w:type="spellEnd"/>
            <w:r w:rsidRPr="00563EB7">
              <w:rPr>
                <w:rFonts w:ascii="Arial" w:hAnsi="Arial" w:cs="Arial"/>
                <w:sz w:val="20"/>
                <w:szCs w:val="20"/>
              </w:rPr>
              <w:t xml:space="preserve">, Starr, &amp; </w:t>
            </w:r>
            <w:proofErr w:type="spellStart"/>
            <w:r w:rsidRPr="00563EB7">
              <w:rPr>
                <w:rFonts w:ascii="Arial" w:hAnsi="Arial" w:cs="Arial"/>
                <w:sz w:val="20"/>
                <w:szCs w:val="20"/>
              </w:rPr>
              <w:t>Zollman</w:t>
            </w:r>
            <w:proofErr w:type="spellEnd"/>
            <w:r w:rsidRPr="00563EB7">
              <w:rPr>
                <w:rFonts w:ascii="Arial" w:hAnsi="Arial" w:cs="Arial"/>
                <w:sz w:val="20"/>
                <w:szCs w:val="20"/>
              </w:rPr>
              <w:t>,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16l0frn61k","properties":{"formattedCitation":"[64]","plainCitation":"[64]"},"citationItems":[{"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155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African-American, 67.74</w:t>
            </w:r>
          </w:p>
          <w:p w:rsidR="00F537B6" w:rsidRPr="00563EB7" w:rsidRDefault="00F537B6" w:rsidP="00F537B6">
            <w:pPr>
              <w:rPr>
                <w:rFonts w:ascii="Arial" w:hAnsi="Arial" w:cs="Arial"/>
                <w:sz w:val="20"/>
                <w:szCs w:val="20"/>
              </w:rPr>
            </w:pPr>
            <w:r w:rsidRPr="00563EB7">
              <w:rPr>
                <w:rFonts w:ascii="Arial" w:hAnsi="Arial" w:cs="Arial"/>
                <w:sz w:val="20"/>
                <w:szCs w:val="20"/>
              </w:rPr>
              <w:t>Caucasian, 29.68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176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Larson, </w:t>
            </w:r>
            <w:proofErr w:type="spellStart"/>
            <w:r w:rsidRPr="00563EB7">
              <w:rPr>
                <w:rFonts w:ascii="Arial" w:hAnsi="Arial" w:cs="Arial"/>
                <w:sz w:val="20"/>
                <w:szCs w:val="20"/>
              </w:rPr>
              <w:t>Zollman</w:t>
            </w:r>
            <w:proofErr w:type="spellEnd"/>
            <w:r w:rsidRPr="00563EB7">
              <w:rPr>
                <w:rFonts w:ascii="Arial" w:hAnsi="Arial" w:cs="Arial"/>
                <w:sz w:val="20"/>
                <w:szCs w:val="20"/>
              </w:rPr>
              <w:t xml:space="preserve">, </w:t>
            </w:r>
            <w:proofErr w:type="spellStart"/>
            <w:r w:rsidRPr="00563EB7">
              <w:rPr>
                <w:rFonts w:ascii="Arial" w:hAnsi="Arial" w:cs="Arial"/>
                <w:sz w:val="20"/>
                <w:szCs w:val="20"/>
              </w:rPr>
              <w:t>Kondiles</w:t>
            </w:r>
            <w:proofErr w:type="spellEnd"/>
            <w:r w:rsidRPr="00563EB7">
              <w:rPr>
                <w:rFonts w:ascii="Arial" w:hAnsi="Arial" w:cs="Arial"/>
                <w:sz w:val="20"/>
                <w:szCs w:val="20"/>
              </w:rPr>
              <w:t>, &amp; Starr,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bfdj2j4pu","properties":{"formattedCitation":"[65]","plainCitation":"[65]"},"citationItems":[{"id":4751,"uris":["http://zotero.org/users/1562642/items/6B9FEFA8"],"uri":["http://zotero.org/users/1562642/items/6B9FEFA8"],"itemData":{"id":4751,"type":"article-journal","title":"Memory deficits, postconcussive complaints, and posttraumatic stress disorder in a volunteer sample of veterans","container-title":"Rehabilitation Psychology","page":"245-252","volume":"58","issue":"3","source":"EBSCOhost","archive_location":"2013-29350-003","abstract":"Purpose: To better understand how memory impairment is related to postconcussive complaints and to posttraumatic stress disorder (PTSD) and whether these relationships remain after controlling for premorbid cognitive ability. Method: We examined memory impairment, premorbid cognitive ability, postconcussive complaints, and symptoms of PTSD in 205 veterans, 135 of who gave a self-reported history of concussion and exposure to a traumatic life event. We limited our sample to those who gave good effort on cognitive testing according to a symptom validity measure. Results: Although memory impairment was not associated with a history of concussion, it was associated with severity of postconcussive complaints. That association was no longer significant after controlling for premorbid IQ. A similar analysis yielded slightly different findings for PTSD. Memory impairment was associated with PTSD diagnosis, although it was not associated with severity of PTSD symptoms after controlling for premorbid ability. Conclusions: These data are consistent with multifactorial models of the etiology of postconcussion disorder and PTSD such as the “burden of adversity hypothesis” described by Brenner, Vanderploeg, and Terrio (2009). In such models, symptom severity and course of recovery are determined not only by trauma severity but (also) premorbid risk factors and postonset complications. (PsycINFO Database Record (c) 2013 APA, all rights reserved). (journal abstract)","DOI":"10.1037/a0032953","ISSN":"0090-5550","journalAbbreviation":"Rehabilitation Psychology","author":[{"family":"Larson","given":"Eric B."},{"family":"Zollman","given":"Felise"},{"family":"Kondiles","given":"Bethany"},{"family":"Starr","given":"Christine"}],"issued":{"date-parts":[["2013",8]]}}}],"schema":"https://github.com/citation-style-language/schema/raw/master/csl-citation.json"}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205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African-American, 63.9</w:t>
            </w:r>
          </w:p>
          <w:p w:rsidR="00F537B6" w:rsidRPr="00563EB7" w:rsidRDefault="00F537B6" w:rsidP="00F537B6">
            <w:pPr>
              <w:rPr>
                <w:rFonts w:ascii="Arial" w:hAnsi="Arial" w:cs="Arial"/>
                <w:sz w:val="20"/>
                <w:szCs w:val="20"/>
              </w:rPr>
            </w:pPr>
            <w:r w:rsidRPr="00563EB7">
              <w:rPr>
                <w:rFonts w:ascii="Arial" w:hAnsi="Arial" w:cs="Arial"/>
                <w:sz w:val="20"/>
                <w:szCs w:val="20"/>
              </w:rPr>
              <w:t>Caucasian, 32.2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559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Levin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274oqp1kk5","properties":{"formattedCitation":"[66]","plainCitation":"[66]"},"citationItems":[{"id":5126,"uris":["http://zotero.org/users/1562642/items/333TIK7A"],"uri":["http://zotero.org/users/1562642/items/333TIK7A"],"itemData":{"id":5126,"type":"article-journal","title":"Neuropsychological outcome of mTBI: A principal component analysis approach","container-title":"Journal of Neurotrauma","page":"625-632","volume":"30","issue":"8","source":"EBSCOhost","archive_location":"2013-15576-004","abstract":"The multitude of variables associated with a battery of outcome measures presents a risk for spurious findings in clinical trials and observational studies of mild traumatic brain injury (mTBI). We have used principal components analysis (PCA) to facilitate data reduction by identifying components which represent subsets of neuropsychological measures that are selectively correlated with each other. By merging data from two concurrent mTBI studies using the same outcome measures, we obtained a cohort of 102 mTBI patients and 85 orthopedic injury (OI) comparison patients whom we recruited from 24 hours to 96 hours post-injury and evaluated at one week, 1 month, and 3 months post-injury. Cognitive domains included episodic memory, evaluated by both verbal and visual memory tasks, cognitive processing speed tests, and executive function. Post-concussion and stress-related symptoms were measured by rating scales. PCA identified four components, including cognitive processing speed, verbal memory, visual memory, and a symptom composite representing post-concussion and stress symptoms. mTBI patients older than the mean age of 18 years had slower cognitive processing than the OI patients, but there was no group difference in cognitive processing speed in younger patients. The symptom component score differed significantly as mTBI patients had more severe symptoms than the OI group at each occasion. Our results encourage replication with other cohorts using either the same outcome measures or at least similar domains. PCA is an approach to data reduction that could mitigate spurious findings and increase efficiency in mTBI research. (PsycINFO Database Record (c) 2015 APA, all rights reserved). (journal abstract)","DOI":"10.1089/neu.2012.2627","ISSN":"0897-7151","shortTitle":"Neuropsychological outcome of mTBI","journalAbbreviation":"Journal of Neurotrauma","author":[{"family":"Levin","given":"Harvey S."},{"family":"Li","given":"Xiaoqi"},{"family":"McCauley","given":"Stephen R."},{"family":"Hanten","given":"Gerri"},{"family":"Wilde","given":"Elisabeth A."},{"family":"Swank","given":"Paul"}],"issued":{"date-parts":[["2013",4]]}}}],"schema":"https://github.com/citation-style-language/schema/raw/master/csl-citation.json"}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187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Non-Black, 65.24</w:t>
            </w:r>
          </w:p>
          <w:p w:rsidR="00F537B6" w:rsidRPr="00563EB7" w:rsidRDefault="00F537B6" w:rsidP="00F537B6">
            <w:pPr>
              <w:rPr>
                <w:rFonts w:ascii="Arial" w:hAnsi="Arial" w:cs="Arial"/>
                <w:sz w:val="20"/>
                <w:szCs w:val="20"/>
              </w:rPr>
            </w:pPr>
            <w:r w:rsidRPr="00563EB7">
              <w:rPr>
                <w:rFonts w:ascii="Arial" w:hAnsi="Arial" w:cs="Arial"/>
                <w:sz w:val="20"/>
                <w:szCs w:val="20"/>
              </w:rPr>
              <w:t>Black, 34.76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1104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Lippa</w:t>
            </w:r>
            <w:proofErr w:type="spellEnd"/>
            <w:r w:rsidRPr="00563EB7">
              <w:rPr>
                <w:rFonts w:ascii="Arial" w:hAnsi="Arial" w:cs="Arial"/>
                <w:sz w:val="20"/>
                <w:szCs w:val="20"/>
              </w:rPr>
              <w:t xml:space="preserve">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a84eij7pa","properties":{"formattedCitation":"[67]","plainCitation":"[67]"},"citationItems":[{"id":5452,"uris":["http://zotero.org/users/1562642/items/Q6ECMBR4"],"uri":["http://zotero.org/users/1562642/items/Q6ECMBR4"],"itemData":{"id":5452,"type":"article-journal","title":"Ecological validity of performance validity testing","container-title":"Archives of Clinical Neuropsychology","page":"236-244","volume":"29","issue":"3","source":"EBSCOhost","archive_location":"2014-16119-003","abstract":"Performance validity tests (PVTs) have been shown to relate to neuropsychological performance, but no studies have looked at the ecological validity of these measures. Data from 131 veterans with a history of mild traumatic brain injury from a multicenter Veterans Administration consortium were examined to determine the relation between scores on a self-report version of the Mayo-Portland Adaptability Inventory Participation Index, a measure of community participation, and the Word Memory Test, a PVT. A restricted regression model, including education, age, history of loss of consciousness, cognitive measures, and a measure of symptom validity test performance,was not significantly associated with self-reported community reintegration. Adding PVT results to the restricted model, however, did significantly improve the prediction of community reintegration as PVT failure was associated with lower self-reported community participation. The results of this study indicate that PVTs may also serve as an indicator of patients’ functioning in the community. (PsycINFO Database Record (c) 2014 APA, all rights reserved). (journal abstract)","DOI":"10.1093/arclin/acu002","ISSN":"0887-6177","journalAbbreviation":"Archives of Clinical Neuropsychology","author":[{"family":"Lippa","given":"Sara M."},{"family":"Pastorek","given":"Nicholas J."},{"family":"Romesser","given":"Jennifer"},{"family":"Linck","given":"John"},{"family":"Sim","given":"Anita H."},{"family":"Wisdom","given":"Nick M."},{"family":"Miller","given":"Brian I."}],"issued":{"date-parts":[["2014",5]]}}}],"schema":"https://github.com/citation-style-language/schema/raw/master/csl-citation.json"}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131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64.89</w:t>
            </w:r>
          </w:p>
          <w:p w:rsidR="00F537B6" w:rsidRPr="00563EB7" w:rsidRDefault="00F537B6" w:rsidP="00F537B6">
            <w:pPr>
              <w:rPr>
                <w:rFonts w:ascii="Arial" w:hAnsi="Arial" w:cs="Arial"/>
                <w:sz w:val="20"/>
                <w:szCs w:val="20"/>
              </w:rPr>
            </w:pPr>
            <w:r w:rsidRPr="00563EB7">
              <w:rPr>
                <w:rFonts w:ascii="Arial" w:hAnsi="Arial" w:cs="Arial"/>
                <w:sz w:val="20"/>
                <w:szCs w:val="20"/>
              </w:rPr>
              <w:t>Hispanic, 18.32</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11.45</w:t>
            </w:r>
          </w:p>
          <w:p w:rsidR="00F537B6" w:rsidRPr="00563EB7" w:rsidRDefault="00F537B6" w:rsidP="00F537B6">
            <w:pPr>
              <w:rPr>
                <w:rFonts w:ascii="Arial" w:hAnsi="Arial" w:cs="Arial"/>
                <w:sz w:val="20"/>
                <w:szCs w:val="20"/>
              </w:rPr>
            </w:pPr>
            <w:r w:rsidRPr="00563EB7">
              <w:rPr>
                <w:rFonts w:ascii="Arial" w:hAnsi="Arial" w:cs="Arial"/>
                <w:sz w:val="20"/>
                <w:szCs w:val="20"/>
              </w:rPr>
              <w:t>Other, 4.58</w:t>
            </w:r>
          </w:p>
          <w:p w:rsidR="00F537B6" w:rsidRPr="00563EB7" w:rsidRDefault="00F537B6" w:rsidP="00F537B6">
            <w:pPr>
              <w:rPr>
                <w:rFonts w:ascii="Arial" w:hAnsi="Arial" w:cs="Arial"/>
                <w:sz w:val="20"/>
                <w:szCs w:val="20"/>
              </w:rPr>
            </w:pPr>
            <w:r w:rsidRPr="00563EB7">
              <w:rPr>
                <w:rFonts w:ascii="Arial" w:hAnsi="Arial" w:cs="Arial"/>
                <w:sz w:val="20"/>
                <w:szCs w:val="20"/>
              </w:rPr>
              <w:t>Multiracial, 0.76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952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Lopez et al.,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ctq5kfut1","properties":{"formattedCitation":"[68]","plainCitation":"[68]"},"citationItems":[{"id":5300,"uris":["http://zotero.org/users/1562642/items/UE5RB2U8"],"uri":["http://zotero.org/users/1562642/items/UE5RB2U8"],"itemData":{"id":5300,"type":"article-journal","title":"Brain volume, connectivity and neuropsychological performance in mild traumatic brain injury: the impact of post-traumatic stress disorder symptoms","container-title":"Journal Of Neurotrauma","source":"EBSCOhost","archive_location":"26942337","abstract":"Post-traumatic stress disorder (PTSD) is commonly associated with mild traumatic brain injury (mTBI). To better understand their relationship, we examined neuroanatomical structures and neuropsychological performance in a sample of individuals with mTBI, with and without PTSD symptoms. Thirty-nine subjects with mTBI were dichotomized into those with (n=12) and without (n=27) significant PTSD symptoms based on scores on the PTSD Checklist. Using a region-of-interest approach, fronto-temporal volumes, fiber bundles obtain by DTI, and neuropsychological scores were compared between the two groups. After controlling for total intracranial volume and age, subjects with mTBI and PTSD symptoms exhibited volumetric differences in the entorhinal cortex, an area associated with memory networks, relative to mTBI-only patients (F=4.28, p=.046). Additionally, subjects with PTSD symptoms showed reduced white matter integrity in the right cingulum bundle (Axial diffusivity: F=6.04, p=.020). Accompanying these structural alterations, mTBI and PTSD subjects also showed impaired performance in encoding (F=5.98, p=.019) and retrieval (F=7.32, p=.010) phases of list learning and in tests of processing speed (WAIS Processing Speed Index: F=12.23, p=.001; Trails A: F=5.56, p=.024). Increased volume and white matter disruptions in these areas, commonly associated with memory functions, may be related to functional disturbances during cognitively demanding tasks. Differences in brain volume and white matter integrity between mTBI subjects and those with mTBI and comorbid PTSD symptoms point to neuroanatomical differences underlying poorer recovery of mTBI subjects who experience PTSD symptoms. These findings support theoretical models of PTSD's relationship to learning difficulties.;","ISSN":"1557-9042","shortTitle":"Brain volume, connectivity and neuropsychological performance in mild traumatic brain injury","journalAbbreviation":"Journal Of Neurotrauma","author":[{"family":"Lopez","given":"Katherine C"},{"family":"Leary","given":"Jacob B"},{"family":"Pham","given":"Dzung L"},{"family":"Chou","given":"Yi-Yu"},{"family":"Dsurney","given":"John"},{"family":"Chan","given":"Leighton"}],"issued":{"date-parts":[["2016",3,4]]}}}],"schema":"https://github.com/citation-style-language/schema/raw/master/csl-citation.json"}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74.36</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10.26</w:t>
            </w:r>
          </w:p>
          <w:p w:rsidR="00F537B6" w:rsidRPr="00563EB7" w:rsidRDefault="00F537B6" w:rsidP="00F537B6">
            <w:pPr>
              <w:rPr>
                <w:rFonts w:ascii="Arial" w:hAnsi="Arial" w:cs="Arial"/>
                <w:sz w:val="20"/>
                <w:szCs w:val="20"/>
              </w:rPr>
            </w:pPr>
            <w:r w:rsidRPr="00563EB7">
              <w:rPr>
                <w:rFonts w:ascii="Arial" w:hAnsi="Arial" w:cs="Arial"/>
                <w:sz w:val="20"/>
                <w:szCs w:val="20"/>
              </w:rPr>
              <w:t>Hispanic, 7.69</w:t>
            </w:r>
          </w:p>
          <w:p w:rsidR="00F537B6" w:rsidRPr="00563EB7" w:rsidRDefault="00F537B6" w:rsidP="00F537B6">
            <w:pPr>
              <w:rPr>
                <w:rFonts w:ascii="Arial" w:hAnsi="Arial" w:cs="Arial"/>
                <w:sz w:val="20"/>
                <w:szCs w:val="20"/>
              </w:rPr>
            </w:pPr>
            <w:r w:rsidRPr="00563EB7">
              <w:rPr>
                <w:rFonts w:ascii="Arial" w:hAnsi="Arial" w:cs="Arial"/>
                <w:sz w:val="20"/>
                <w:szCs w:val="20"/>
              </w:rPr>
              <w:t>Mixed racial background, 5.13</w:t>
            </w:r>
          </w:p>
          <w:p w:rsidR="00F537B6" w:rsidRPr="00563EB7" w:rsidRDefault="00F537B6" w:rsidP="00F537B6">
            <w:pPr>
              <w:rPr>
                <w:rFonts w:ascii="Arial" w:hAnsi="Arial" w:cs="Arial"/>
                <w:sz w:val="20"/>
                <w:szCs w:val="20"/>
              </w:rPr>
            </w:pPr>
            <w:r w:rsidRPr="00563EB7">
              <w:rPr>
                <w:rFonts w:ascii="Arial" w:hAnsi="Arial" w:cs="Arial"/>
                <w:sz w:val="20"/>
                <w:szCs w:val="20"/>
              </w:rPr>
              <w:t>Asian, 2.56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203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Louey</w:t>
            </w:r>
            <w:proofErr w:type="spellEnd"/>
            <w:r w:rsidRPr="00563EB7">
              <w:rPr>
                <w:rFonts w:ascii="Arial" w:hAnsi="Arial" w:cs="Arial"/>
                <w:sz w:val="20"/>
                <w:szCs w:val="20"/>
              </w:rPr>
              <w:t xml:space="preserve">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autlthf7r","properties":{"formattedCitation":"[69]","plainCitation":"[69]"},"citationItems":[{"id":2753,"uris":["http://zotero.org/users/1562642/items/28M8ES4A"],"uri":["http://zotero.org/users/1562642/items/28M8ES4A"],"itemData":{"id":2753,"type":"article-journal","title":"Detecting cognitive impairment after concussion: Sensitivity of change from baseline and normative data methods using the CogSport/Axon Cognitive test battery","container-title":"Archives of Clinical Neuropsychology","page":"432-441","volume":"29","issue":"5","source":"EBSCOhost","archive_location":"2014-30233-004","abstract":"Concussion-related cognitive impairments are typically evaluated with repeated neuropsychological assessments where post-injury performances are compared with pre-injury baseline data (baseline method). Many cases of concussions, however, are evaluated in the absence of baseline data by comparing post-injury performances with normative data (normative method). This study aimed to compare the sensitivity and specificity of these two methods using the CogSport/Axon test battery. Normative data and reliable change indices were computed from a non-injured athlete sample (n = 235). Test-retest data from non-injured (n = 260) and recently concussed (n = 29) athlete samples were then used to compare the two methods. The baseline method was found to be more sensitive than the normative method, and both methods had high specificity and overall correct classification rates. This suggests that while the normative method identifies most cases of recent concussions, the baseline method remains a more precise approach to assessing concussion-related cognitive impairments. (PsycINFO Database Record (c) 2015 APA, all rights reserved). (journal abstract)","DOI":"10.1093/arclin/acu020","ISSN":"0887-6177","shortTitle":"Detecting cognitive impairment after concussion","journalAbbreviation":"Arch Clin Neuropsychol","author":[{"family":"Louey","given":"Andrea G."},{"family":"Cromer","given":"Jason A."},{"family":"Schembri","given":"Adrian J."},{"family":"Darby","given":"David G."},{"family":"Maruff","given":"Paul"},{"family":"Makdissi","given":"Michael"},{"family":"Mccrory","given":"Paul"}],"issued":{"date-parts":[["2014",8]]}}}],"schema":"https://github.com/citation-style-language/schema/raw/master/csl-citation.json"}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[69]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Australia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524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English or European, 46.18</w:t>
            </w:r>
          </w:p>
          <w:p w:rsidR="00F537B6" w:rsidRPr="00563EB7" w:rsidRDefault="00F537B6" w:rsidP="00F537B6">
            <w:pPr>
              <w:rPr>
                <w:rFonts w:ascii="Arial" w:hAnsi="Arial" w:cs="Arial"/>
                <w:sz w:val="20"/>
                <w:szCs w:val="20"/>
              </w:rPr>
            </w:pPr>
            <w:r w:rsidRPr="00563EB7">
              <w:rPr>
                <w:rFonts w:ascii="Arial" w:hAnsi="Arial" w:cs="Arial"/>
                <w:sz w:val="20"/>
                <w:szCs w:val="20"/>
              </w:rPr>
              <w:t>Indigenous, 4.2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1141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Lovell, Iverson, Collins, </w:t>
            </w:r>
            <w:proofErr w:type="spellStart"/>
            <w:r w:rsidRPr="00563EB7">
              <w:rPr>
                <w:rFonts w:ascii="Arial" w:hAnsi="Arial" w:cs="Arial"/>
                <w:sz w:val="20"/>
                <w:szCs w:val="20"/>
              </w:rPr>
              <w:t>McKeag</w:t>
            </w:r>
            <w:proofErr w:type="spellEnd"/>
            <w:r w:rsidRPr="00563EB7">
              <w:rPr>
                <w:rFonts w:ascii="Arial" w:hAnsi="Arial" w:cs="Arial"/>
                <w:sz w:val="20"/>
                <w:szCs w:val="20"/>
              </w:rPr>
              <w:t>, &amp; Maroon, 1999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4sfog91r8","properties":{"formattedCitation":"[70]","plainCitation":"[70]"},"citationItems":[{"id":4134,"uris":["http://zotero.org/users/1562642/items/DQPGXEQ9"],"uri":["http://zotero.org/users/1562642/items/DQPGXEQ9"],"itemData":{"id":4134,"type":"article-journal","title":"Does loss of consciousness predict neuropsychological decrements after concussion?","container-title":"Clinical Journal of Sport Medicine","page":"193–198","volume":"9","issue":"4","source":"Google Scholar","abstract":"Objective: To investigate the importance of loss of consciousness (LOC) in predicting neuropsychological test performance in a large sample of patients with head injury.; Design: Retrospective comparison of neuropsychological test results for patients who suffered traumatic LOC, no LOC, or uncertain LOC.; Setting: Allegheny General Hospital, Pittsburgh, Pennsylvania.; Patients: The total number of patients included in this study was 383.; Main Outcome Measures: Neuropsychological test measures, including the visual reproduction, digit span, and logical memory subtests of the Wechsler memory scale (revised), the Trail Making test, Wisconsin Card Sorting test, Hopkins Verbal Learning test, Controlled Oral Word Association, and the Galveston Orientation and Amnesia test (GOAT).; Results: No significant differences were found between the LOC, no LOC, or uncertain LOC groups for any of the neuropsychological measures used. Patients who had experienced traumatic LOC did not perform more poorly on neuropsychological testing than those with no LOC or uncertain LOC. All three groups demonstrated mildly decreased performance on formal tests of speed of information processing, attentional process, and memory.; Conclusion: The results of this study cast doubt on the importance of LOC as a predictor of neuropsychological test performance during the acute phase of recovery from mild traumatic brain injury. Neuropsychological testing procedures have been shown to be sensitive in measuring cognitive sequelae of mild traumatic brain injury (concussion) in athletes. The failure of this study to find any relationship between LOC and neuropsychological functioning in a large sample of patients with mild head trauma calls into question the assignment of primary importance to LOC in grading severity of concussion. This study also does not provide support for the use of guidelines that rely heavily on LOC in making return-to-play decisions. Continued research is necessary to determine the relative importance of markers of concussion in athletes.;","ISSN":"1050-642X","shortTitle":"Does Loss of Consciousness Predict Neuropsychological Decrements After Concussion?","journalAbbreviation":"Clinical Journal of Sport Medicine","author":[{"family":"Lovell","given":"Mark R."},{"family":"Iverson","given":"Grant L."},{"family":"Collins","given":"Michael W."},{"family":"McKeag","given":"Douglas"},{"family":"Maroon","given":"Joseph C."}],"issued":{"date-parts":[["1999"]]}}}],"schema":"https://github.com/citation-style-language/schema/raw/master/csl-citation.json"}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[70]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1999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95.56</w:t>
            </w:r>
          </w:p>
          <w:p w:rsidR="00F537B6" w:rsidRPr="00563EB7" w:rsidRDefault="00F537B6" w:rsidP="00F537B6">
            <w:pPr>
              <w:rPr>
                <w:rFonts w:ascii="Arial" w:hAnsi="Arial" w:cs="Arial"/>
                <w:sz w:val="20"/>
                <w:szCs w:val="20"/>
              </w:rPr>
            </w:pPr>
            <w:r w:rsidRPr="00563EB7">
              <w:rPr>
                <w:rFonts w:ascii="Arial" w:hAnsi="Arial" w:cs="Arial"/>
                <w:sz w:val="20"/>
                <w:szCs w:val="20"/>
              </w:rPr>
              <w:t>Other, 4.44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132</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Luethcke</w:t>
            </w:r>
            <w:proofErr w:type="spellEnd"/>
            <w:r w:rsidRPr="00563EB7">
              <w:rPr>
                <w:rFonts w:ascii="Arial" w:hAnsi="Arial" w:cs="Arial"/>
                <w:sz w:val="20"/>
                <w:szCs w:val="20"/>
              </w:rPr>
              <w:t>, Bryan, Morrow, &amp; Isler, 2011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mena97lhn","properties":{"formattedCitation":"[71]","plainCitation":"[71]"},"citationItems":[{"id":5135,"uris":["http://zotero.org/users/1562642/items/PSIE9JSM"],"uri":["http://zotero.org/users/1562642/items/PSIE9JSM"],"itemData":{"id":5135,"type":"article-journal","title":"Comparison of concussive symptoms, cognitive performance, and psychological symptoms between acute blast-versus nonblast-induced mild traumatic brain injury","container-title":"Journal of the International Neuropsychological Society","page":"36-45","volume":"17","issue":"1","source":"EBSCOhost","archive_location":"2011-00545-005","abstract":"Blast-related head injuries are one of the most prevalent injuries among military personnel deployed in service of Operation Iraqi Freedom. Although several studies have evaluated symptoms after blast injury in military personnel, few studies compared them to nonblast injuries or measured symptoms within the acute stage after traumatic brain injury (TBI). Knowledge of acute symptoms will help deployed clinicians make important decisions regarding recommendations for treatment and return to duty. Furthermore, differences more apparent during the acute stage might suggest important predictors of the long-term trajectory of recovery. This study evaluated concussive, psychological, and cognitive symptoms in military personnel and civilian contractors (N=82) diagnosed with mild TBI (mTBI) at a combat support hospital in Iraq. Participants completed a clinical interview, the Automated Neuropsychological Assessment Metric (ANAM), PTSD Checklist-Military Version (PCL-M), Behavioral Health Measure (BHM), and Insomnia Severity Index (ISI) within 72 hr of injury. Results suggest that there are few differences in concussive symptoms, psychological symptoms, and neurocognitive performance between blast and nonblast mTBIs, although clinically significant impairment in cognitive reaction time for both blast and nonblast groups is observed. Reductions in ANAM accuracy were related to duration of loss of consciousness, not injury mechanism. (PsycINFO Database Record (c) 2012 APA, all rights reserved). (journal abstract)","DOI":"10.1017/S1355617710001207","ISSN":"1355-6177","journalAbbreviation":"Journal of the International Neuropsychological Society","author":[{"family":"Luethcke","given":"Cynthia A."},{"family":"Bryan","given":"Craig J."},{"family":"Morrow","given":"Chad E."},{"family":"Isler","given":"William C."}],"issued":{"date-parts":[["2011",1]]}}}],"schema":"https://github.com/citation-style-language/schema/raw/master/csl-citation.json"}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[71]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68.83</w:t>
            </w:r>
          </w:p>
          <w:p w:rsidR="00F537B6" w:rsidRPr="00563EB7" w:rsidRDefault="00F537B6" w:rsidP="00F537B6">
            <w:pPr>
              <w:rPr>
                <w:rFonts w:ascii="Arial" w:hAnsi="Arial" w:cs="Arial"/>
                <w:sz w:val="20"/>
                <w:szCs w:val="20"/>
              </w:rPr>
            </w:pPr>
            <w:r w:rsidRPr="00563EB7">
              <w:rPr>
                <w:rFonts w:ascii="Arial" w:hAnsi="Arial" w:cs="Arial"/>
                <w:sz w:val="20"/>
                <w:szCs w:val="20"/>
              </w:rPr>
              <w:t>Black, 22.08</w:t>
            </w:r>
          </w:p>
          <w:p w:rsidR="00F537B6" w:rsidRPr="00563EB7" w:rsidRDefault="00F537B6" w:rsidP="00F537B6">
            <w:pPr>
              <w:rPr>
                <w:rFonts w:ascii="Arial" w:hAnsi="Arial" w:cs="Arial"/>
                <w:sz w:val="20"/>
                <w:szCs w:val="20"/>
              </w:rPr>
            </w:pPr>
            <w:r w:rsidRPr="00563EB7">
              <w:rPr>
                <w:rFonts w:ascii="Arial" w:hAnsi="Arial" w:cs="Arial"/>
                <w:sz w:val="20"/>
                <w:szCs w:val="20"/>
              </w:rPr>
              <w:t>Hispanic, 11.69</w:t>
            </w:r>
          </w:p>
          <w:p w:rsidR="00F537B6" w:rsidRPr="00563EB7" w:rsidRDefault="00F537B6" w:rsidP="00F537B6">
            <w:pPr>
              <w:rPr>
                <w:rFonts w:ascii="Arial" w:hAnsi="Arial" w:cs="Arial"/>
                <w:sz w:val="20"/>
                <w:szCs w:val="20"/>
              </w:rPr>
            </w:pPr>
            <w:r w:rsidRPr="00563EB7">
              <w:rPr>
                <w:rFonts w:ascii="Arial" w:hAnsi="Arial" w:cs="Arial"/>
                <w:sz w:val="20"/>
                <w:szCs w:val="20"/>
              </w:rPr>
              <w:t>Asian or Pacific Islander, 2.6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606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Mac Donald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ne7l67hq9","properties":{"formattedCitation":"[72]","plainCitation":"[72]"},"citationItems":[{"id":4772,"uris":["http://zotero.org/users/1562642/items/6J372E8T"],"uri":["http://zotero.org/users/1562642/items/6J372E8T"],"itemData":{"id":4772,"type":"article-journal","title":"Acute post-traumatic stress symptoms and age predict outcome in military blast concussion","container-title":"Brain: A Journal of Neurology","page":"1314-1326","volume":"138","issue":"5","source":"EBSCOhost","archive_location":"2015-18484-019","abstract":"High rates of adverse outcomes have been reported following blast-related concussive traumatic brain injury in US military personnel, but the extent to which such adverse outcomes can be predicted acutely after injury is unknown. We performed a prospective, observational study of US military personnel with blast-related concussive traumatic brain injury (n = 38) and controls (n = 34) enrolled between March and September 2012. Importantly all subjects returned to duty and did not require evacuation. Subjects were evaluated acutely 0–7 days after injury at two sites in Afghanistan and again 6–12 months later in the United States. Acute assessments revealed heightened post-concussive, post-traumatic stress, and depressive symptoms along with worse cognitive performance in subjects with traumatic brain injury. At 6–12 months follow-up, 63% of subjects with traumatic brain injury and 20% of controls had moderate overall disability. Subjects with traumatic brain injury showed more severe neurobehavioural, post-traumatic stress and depression symptoms along with more frequent cognitive performance deficits and more substantial headache impairment than control subjects. Logistic regression modelling using only acute measures identified that a diagnosis of traumatic brain injury, older age, and more severe post-traumatic stress symptoms provided a good prediction of later adverse global outcomes (area under the receiver-operating characteristic curve = 0.84). Thus, US military personnel with concussive blast-related traumatic brain injury in Afghanistan who returned to duty still fared quite poorly on many clinical outcome measures 6–12 months after injury. Poor global outcome seems to be largely driven by psychological health measures, age, and traumatic brain injury status. The effects of early interventions and longer term implications of these findings are unknown. (PsycINFO Database Record (c) 2015 APA, all rights reserved). (journal abstract)","DOI":"10.1093/brain/awv038","ISSN":"0006-8950","journalAbbreviation":"Brain: A Journal of Neurology","author":[{"family":"Mac Donald","given":"Christine L."},{"family":"Adam","given":"Octavian R."},{"family":"Johnson","given":"Ann M."},{"family":"Nelson","given":"Elliot C."},{"family":"Werner","given":"Nicole J."},{"family":"Rivet","given":"Dennis J."},{"family":"Brody","given":"David L."}],"issued":{"date-parts":[["2015",5]]}}}],"schema":"https://github.com/citation-style-language/schema/raw/master/csl-citation.json"}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[72]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70.83</w:t>
            </w:r>
          </w:p>
          <w:p w:rsidR="00F537B6" w:rsidRPr="00563EB7" w:rsidRDefault="00F537B6" w:rsidP="00F537B6">
            <w:pPr>
              <w:rPr>
                <w:rFonts w:ascii="Arial" w:hAnsi="Arial" w:cs="Arial"/>
                <w:sz w:val="20"/>
                <w:szCs w:val="20"/>
              </w:rPr>
            </w:pPr>
            <w:r w:rsidRPr="00563EB7">
              <w:rPr>
                <w:rFonts w:ascii="Arial" w:hAnsi="Arial" w:cs="Arial"/>
                <w:sz w:val="20"/>
                <w:szCs w:val="20"/>
              </w:rPr>
              <w:t>Hispanic or Latino, 19.44</w:t>
            </w:r>
          </w:p>
          <w:p w:rsidR="00F537B6" w:rsidRPr="00563EB7" w:rsidRDefault="00F537B6" w:rsidP="00F537B6">
            <w:pPr>
              <w:rPr>
                <w:rFonts w:ascii="Arial" w:hAnsi="Arial" w:cs="Arial"/>
                <w:sz w:val="20"/>
                <w:szCs w:val="20"/>
              </w:rPr>
            </w:pPr>
            <w:r w:rsidRPr="00563EB7">
              <w:rPr>
                <w:rFonts w:ascii="Arial" w:hAnsi="Arial" w:cs="Arial"/>
                <w:sz w:val="20"/>
                <w:szCs w:val="20"/>
              </w:rPr>
              <w:t>African-American, 9.72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180</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Macciocchi</w:t>
            </w:r>
            <w:proofErr w:type="spellEnd"/>
            <w:r w:rsidRPr="00563EB7">
              <w:rPr>
                <w:rFonts w:ascii="Arial" w:hAnsi="Arial" w:cs="Arial"/>
                <w:sz w:val="20"/>
                <w:szCs w:val="20"/>
              </w:rPr>
              <w:t xml:space="preserve">, </w:t>
            </w:r>
            <w:proofErr w:type="spellStart"/>
            <w:r w:rsidRPr="00563EB7">
              <w:rPr>
                <w:rFonts w:ascii="Arial" w:hAnsi="Arial" w:cs="Arial"/>
                <w:sz w:val="20"/>
                <w:szCs w:val="20"/>
              </w:rPr>
              <w:t>Seel</w:t>
            </w:r>
            <w:proofErr w:type="spellEnd"/>
            <w:r w:rsidRPr="00563EB7">
              <w:rPr>
                <w:rFonts w:ascii="Arial" w:hAnsi="Arial" w:cs="Arial"/>
                <w:sz w:val="20"/>
                <w:szCs w:val="20"/>
              </w:rPr>
              <w:t>, &amp; Thompson,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dbe25modu","properties":{"formattedCitation":"[73]","plainCitation":"[73]"},"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[73]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60.68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36.75</w:t>
            </w:r>
          </w:p>
          <w:p w:rsidR="00F537B6" w:rsidRPr="00563EB7" w:rsidRDefault="00F537B6" w:rsidP="00F537B6">
            <w:pPr>
              <w:rPr>
                <w:rFonts w:ascii="Arial" w:hAnsi="Arial" w:cs="Arial"/>
                <w:sz w:val="20"/>
                <w:szCs w:val="20"/>
              </w:rPr>
            </w:pPr>
            <w:r w:rsidRPr="00563EB7">
              <w:rPr>
                <w:rFonts w:ascii="Arial" w:hAnsi="Arial" w:cs="Arial"/>
                <w:sz w:val="20"/>
                <w:szCs w:val="20"/>
              </w:rPr>
              <w:t>Other, 2.56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570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MacDonald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csbo5o8uq","properties":{"formattedCitation":"[74]","plainCitation":"[74]"},"citationItems":[{"id":4773,"uris":["http://zotero.org/users/1562642/items/JMGM62K5"],"uri":["http://zotero.org/users/1562642/items/JMGM62K5"],"itemData":{"id":4773,"type":"article-journal","title":"Functional status after blast-plus-impact complex concussive traumatic brain injury in evacuated United States military personnel","container-title":"Journal of Neurotrauma","page":"889-898","volume":"31","issue":"10","source":"EBSCOhost","archive_location":"2014-20061-002","abstract":"Fundamental questions remain unanswered about the longitudinal impact of blast-plus-impact complex traumatic brain injuries (TBI) from wars in Iraq and Afghanistan. This prospective, observational study investigated measures of clinical outcome in US military personnel evacuated to Landstuhl Regional Medical Center (LRMC) in Germany after such \"blast-plus\" concussive TBIs. Glasgow Outcome Scale-Extended assessments completed 6-12 months after injury indicated a moderate overall disability in 41/47 (87%) blast-plus TBI subjects and a substantial but smaller number (11/18, 61%, p = 0.018) of demographically similar US military controls without TBI evacuated for other medical reasons. Cognitive function assessed with a neuropsychological test battery was not different between blast-plus TBI subjects and controls; performance of both groups was generally in the normal range. No subject was found to have focal neurological deficits. However, 29/47 (57%) of blast-plus subjects with TBI met all criteria for post-traumatic stress disorder (PTSD) versus 5/18 (28%) of controls (p = 0.014). PTSD was highly associated with overall disability; 31/34 patients with PTSD versus 19/31 patients who did not meet full PTSD criteria had moderate to severe disability (p = 0.0003). Symptoms of depression were also more severe in the TBI group (p = 0.05), and highly correlated with PTSD severity (r = 0.86, p &lt; 0.0001). Thus, in summary, high rates of PTSD and depression but not cognitive impairment or focal neurological deficits were observed 6-12 months after concussive blast-plus-impact complex TBI. Overall disability was substantially greater than typically reported in civilian non-blast concussive (\"mild\") patients with TBI, even with polytrauma. The relationship between these clinical outcomes and specific blast-related aspects of brain injuries versus other combat-related factors remains unknown. (PsycINFO Database Record (c) 2014 APA, all rights reserved). (journal abstract)","DOI":"10.1089/neu.2013.3173","ISSN":"0897-7151","journalAbbreviation":"Journal of Neurotrauma","author":[{"family":"MacDonald","given":"Christine L."},{"family":"Johnson","given":"Ann M."},{"family":"Nelson","given":"Elliot C."},{"family":"Werner","given":"Nicole J."},{"family":"Fang","given":"Raymond"},{"family":"Flaherty","given":"Stephen F."},{"family":"Brody","given":"David L."}],"issued":{"date-parts":[["2014",5,15]]}}}],"schema":"https://github.com/citation-style-language/schema/raw/master/csl-citation.json"} </w:instrText>
            </w:r>
            <w:r>
              <w:rPr>
                <w:rFonts w:ascii="Arial" w:hAnsi="Arial" w:cs="Arial"/>
                <w:sz w:val="20"/>
                <w:szCs w:val="20"/>
              </w:rPr>
              <w:fldChar w:fldCharType="separate"/>
            </w:r>
            <w:r w:rsidRPr="001B572D">
              <w:rPr>
                <w:rFonts w:ascii="Arial" w:hAnsi="Arial" w:cs="Arial"/>
                <w:sz w:val="20"/>
              </w:rPr>
              <w:t>[74]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77.38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11.9</w:t>
            </w:r>
          </w:p>
          <w:p w:rsidR="00F537B6" w:rsidRPr="00563EB7" w:rsidRDefault="00F537B6" w:rsidP="00F537B6">
            <w:pPr>
              <w:rPr>
                <w:rFonts w:ascii="Arial" w:hAnsi="Arial" w:cs="Arial"/>
                <w:sz w:val="20"/>
                <w:szCs w:val="20"/>
              </w:rPr>
            </w:pPr>
            <w:r w:rsidRPr="00563EB7">
              <w:rPr>
                <w:rFonts w:ascii="Arial" w:hAnsi="Arial" w:cs="Arial"/>
                <w:sz w:val="20"/>
                <w:szCs w:val="20"/>
              </w:rPr>
              <w:lastRenderedPageBreak/>
              <w:t>Hispanic or Latino, 11.9</w:t>
            </w:r>
          </w:p>
          <w:p w:rsidR="00F537B6" w:rsidRPr="00563EB7" w:rsidRDefault="00F537B6" w:rsidP="00F537B6">
            <w:pPr>
              <w:rPr>
                <w:rFonts w:ascii="Arial" w:hAnsi="Arial" w:cs="Arial"/>
                <w:sz w:val="20"/>
                <w:szCs w:val="20"/>
              </w:rPr>
            </w:pPr>
            <w:r w:rsidRPr="00563EB7">
              <w:rPr>
                <w:rFonts w:ascii="Arial" w:hAnsi="Arial" w:cs="Arial"/>
                <w:sz w:val="20"/>
                <w:szCs w:val="20"/>
              </w:rPr>
              <w:t>Asian, 2.38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102</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Maillard-Wermelinger</w:t>
            </w:r>
            <w:proofErr w:type="spellEnd"/>
            <w:r w:rsidRPr="00563EB7">
              <w:rPr>
                <w:rFonts w:ascii="Arial" w:hAnsi="Arial" w:cs="Arial"/>
                <w:sz w:val="20"/>
                <w:szCs w:val="20"/>
              </w:rPr>
              <w:t xml:space="preserve"> et al., 2009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csignpmo6","properties":{"formattedCitation":"[75]","plainCitation":"[75]"},"citationItems":[{"id":4776,"uris":["http://zotero.org/users/1562642/items/4NEHED3N"],"uri":["http://zotero.org/users/1562642/items/4NEHED3N"],"itemData":{"id":4776,"type":"article-journal","title":"Mild traumatic brain injury and executive functions in school-aged children","container-title":"Developmental Neurorehabilitation","page":"330-341","volume":"12","issue":"5","source":"EBSCOhost","archive_location":"2010-10123-008","abstract":"Objective: This study sought to examine the effects of mild traumatic brain injury (TBI) on executive functions in school-aged children. Participants and method: The prospective, longitudinal study involved 8–15 year old children, 186 with mild TBI and 99 with mild orthopaedic injuries (OI). They were administered the Stockings of Cambridge and Spatial Working Memory sub-tests from the Cambridge Neuropsychological Testing Automated Battery (CANTAB) ~10 days, 3 months and 12 months post-injury. Parents completed the Behavior Rating Inventory of Executive Functions (BRIEF) on each occasion, with ratings at the initial assessment intended to assess pre-morbid functioning retrospectively. Results: On the CANTAB, the groups did not differ on the Stockings of Cambridge and the mild TBI group unexpectedly performed better than the OI group on Spatial Working Memory. On the BRIEF, children with mild TBI showed a marginally significant trend toward more problems than the OI group on the Metacognition Index composite. The only BRIEF sub-scale on which they demonstrated significantly more problems was Organization of Materials. The presence of intracranial abnormalities on MRI was associated with more problems on the BRIEF Organization of Materials sub-scale at 3 months, but other findings were not consistent with hypothesized effects of TBI severity. The CANTAB sub-tests were significant predictors of later ratings on the BRIEF, but accounted for modest variance. Discussion: Children with mild TBI show limited evidence of deficits in executive functions, either cognitively or behaviourally, irrespective of injury characteristics. Cognitive tests of executive functions are modest predictors of ratings of executive functions in everyday life, for children both with and without mild TBI. (PsycINFO Database Record (c) 2015 APA, all rights reserved). (journal abstract)","DOI":"10.3109/17518420903087251","ISSN":"1751-8423","journalAbbreviation":"Developmental Neurorehabilitation","author":[{"family":"Maillard-Wermelinger","given":"Anne"},{"family":"Yeates","given":"Keith Owen"},{"family":"Taylor","given":"H. Gerry"},{"family":"Rusin","given":"Jerome"},{"family":"Bangert","given":"Barbara"},{"family":"Dietrich","given":"Ann"},{"family":"Nuss","given":"Kathryn"},{"family":"Wright","given":"Martha"}],"issued":{"date-parts":[["2009"]]}}}],"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[75]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285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(non-</w:t>
            </w:r>
            <w:proofErr w:type="spellStart"/>
            <w:r w:rsidRPr="00563EB7">
              <w:rPr>
                <w:rFonts w:ascii="Arial" w:hAnsi="Arial" w:cs="Arial"/>
                <w:sz w:val="20"/>
                <w:szCs w:val="20"/>
              </w:rPr>
              <w:t>hispanic</w:t>
            </w:r>
            <w:proofErr w:type="spellEnd"/>
            <w:r w:rsidRPr="00563EB7">
              <w:rPr>
                <w:rFonts w:ascii="Arial" w:hAnsi="Arial" w:cs="Arial"/>
                <w:sz w:val="20"/>
                <w:szCs w:val="20"/>
              </w:rPr>
              <w:t>), 68.77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310</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Maruff</w:t>
            </w:r>
            <w:proofErr w:type="spellEnd"/>
            <w:r w:rsidRPr="00563EB7">
              <w:rPr>
                <w:rFonts w:ascii="Arial" w:hAnsi="Arial" w:cs="Arial"/>
                <w:sz w:val="20"/>
                <w:szCs w:val="20"/>
              </w:rPr>
              <w:t xml:space="preserve"> et al., 2009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u744kb1dv","properties":{"formattedCitation":"[76]","plainCitation":"[76]"},"citationItems":[{"id":5138,"uris":["http://zotero.org/users/1562642/items/XSRUGUWJ"],"uri":["http://zotero.org/users/1562642/items/XSRUGUWJ"],"itemData":{"id":5138,"type":"article-journal","title":"Validity of the CogState Brief Battery: Relationship to standardized tests and sensitivity to cognitive impairment in mild traumatic brain injury, schizophrenia, and AIDS dementia complex","container-title":"Archives of Clinical Neuropsychology","page":"165-178","volume":"24","issue":"2","source":"EBSCOhost","archive_location":"2010-24034-005","abstract":"This study examined the validity of the four standard psychological paradigms that have been operationally defined within the CogState brief computerized cognitive assessment battery. Construct validity was determined in a large group of healthy adults. CogState measures of processing speed, attention, working memory, and learning showed strong correlations with conventional neuropsychological measures of these same constructs (r’s = .49 to .83). Criterion validity was determined by examining patterns of performance on the CogState tasks in groups of individuals with mild head injury, schizophrenia, and AIDS dementia complex. Each of these groups was impaired on the CogState performance measures (Cohen’s d’s = −.60 to −1.80) and the magnitude and nature of this impairment was qualitatively and quantitatively similar in each group. Taken together, the results suggest that the cognitive paradigms operationally defined in the CogState brief battery have acceptable construct and criterion validity in a neuropsychological context. (PsycINFO Database Record (c) 2013 APA, all rights reserved). (journal abstract)","DOI":"10.1093/arclin/acp010","ISSN":"0887-6177","shortTitle":"Validity of the CogState Brief Battery","journalAbbreviation":"Archives of Clinical Neuropsychology","author":[{"family":"Maruff","given":"Paul"},{"family":"Thomas","given":"Elizabeth"},{"family":"Cysique","given":"Lucette"},{"family":"Brew","given":"Bruce"},{"family":"Collie","given":"Alex"},{"family":"Snyder","given":"Peter"},{"family":"Pietrzak","given":"Robert H."}],"issued":{"date-parts":[["2009",3]]}}}],"schema":"https://github.com/citation-style-language/schema/raw/master/csl-citation.json"}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[76]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Unknown or Unreported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493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97.97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447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Massey, </w:t>
            </w:r>
            <w:proofErr w:type="spellStart"/>
            <w:r w:rsidRPr="00563EB7">
              <w:rPr>
                <w:rFonts w:ascii="Arial" w:hAnsi="Arial" w:cs="Arial"/>
                <w:sz w:val="20"/>
                <w:szCs w:val="20"/>
              </w:rPr>
              <w:t>Meares</w:t>
            </w:r>
            <w:proofErr w:type="spellEnd"/>
            <w:r w:rsidRPr="00563EB7">
              <w:rPr>
                <w:rFonts w:ascii="Arial" w:hAnsi="Arial" w:cs="Arial"/>
                <w:sz w:val="20"/>
                <w:szCs w:val="20"/>
              </w:rPr>
              <w:t xml:space="preserve">, </w:t>
            </w:r>
            <w:proofErr w:type="spellStart"/>
            <w:r w:rsidRPr="00563EB7">
              <w:rPr>
                <w:rFonts w:ascii="Arial" w:hAnsi="Arial" w:cs="Arial"/>
                <w:sz w:val="20"/>
                <w:szCs w:val="20"/>
              </w:rPr>
              <w:t>Batchelor</w:t>
            </w:r>
            <w:proofErr w:type="spellEnd"/>
            <w:r w:rsidRPr="00563EB7">
              <w:rPr>
                <w:rFonts w:ascii="Arial" w:hAnsi="Arial" w:cs="Arial"/>
                <w:sz w:val="20"/>
                <w:szCs w:val="20"/>
              </w:rPr>
              <w:t>, &amp; Bryant,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hh9bfi6j0","properties":{"formattedCitation":"[77]","plainCitation":"[77]"},"citationItems":[{"id":5141,"uris":["http://zotero.org/users/1562642/items/SKXZRE2G"],"uri":["http://zotero.org/users/1562642/items/SKXZRE2G"],"itemData":{"id":5141,"type":"article-journal","title":"An exploratory study of the association of acute posttraumatic stress, depression, and pain to cognitive functioning in mild traumatic brain injury","container-title":"Neuropsychology","page":"530-542","volume":"29","issue":"4","source":"EBSCOhost","archive_location":"2015-13962-001","abstract":"Objective: Few studies have examined whether psychological distress and pain affect cognitive functioning in the acute to subacute phase (up to 30 days postinjury) following mild traumatic brain injury (mTBI). The current study explored whether acute posttraumatic stress, depression, and pain were associated with performance on a task of selective and sustained attention completed under conditions of increasing cognitive demands (standard, auditory distraction, and dual-task), and on tests of working memory, memory, processing speed, reaction time (RT), and verbal fluency. Method: At a mean of 2.87 days (SD = 2.32) postinjury, 50 adult mTBI participants, consecutive admissions to a Level 1 trauma hospital, completed neuropsychological tests and self-report measures of acute posttraumatic stress, depression, and pain. A series of canonical correlation analyses was used to explore the relationships of a common set of psychological variables to various sets of neuropsychological variables. Results: Significant results were found on the task of selective and sustained attention. Strong relationships were found between psychological variables and speed (rc = .56, p = .02) and psychological variables and accuracy (rc = .68, p = .002). Pain and acute posttraumatic stress were associated with higher speed scores (reflecting more correctly marked targets) under standard conditions. Acute posttraumatic stress was associated with lower accuracy scores across all task conditions. Moderate but nonsignificant associations were found between psychological variables and most cognitive tasks. Conclusions: Acute posttraumatic stress and pain show strong associations with selective and sustained attention following mTBI. (PsycINFO Database Record (c) 2015 APA, all rights reserved). (journal abstract)","DOI":"10.1037/neu0000192","ISSN":"0894-4105","journalAbbreviation":"Neuropsychology","author":[{"family":"Massey","given":"Jessica S."},{"family":"Meares","given":"Susanne"},{"family":"Batchelor","given":"Jennifer"},{"family":"Bryant","given":"Richard A."}],"issued":{"date-parts":[["2015",7]]}}}],"schema":"https://github.com/citation-style-language/schema/raw/master/csl-citation.json"}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[77]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Australia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Australian, 64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1106</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Matser</w:t>
            </w:r>
            <w:proofErr w:type="spellEnd"/>
            <w:r w:rsidRPr="00563EB7">
              <w:rPr>
                <w:rFonts w:ascii="Arial" w:hAnsi="Arial" w:cs="Arial"/>
                <w:sz w:val="20"/>
                <w:szCs w:val="20"/>
              </w:rPr>
              <w:t xml:space="preserve">, </w:t>
            </w:r>
            <w:proofErr w:type="spellStart"/>
            <w:r w:rsidRPr="00563EB7">
              <w:rPr>
                <w:rFonts w:ascii="Arial" w:hAnsi="Arial" w:cs="Arial"/>
                <w:sz w:val="20"/>
                <w:szCs w:val="20"/>
              </w:rPr>
              <w:t>Kessels</w:t>
            </w:r>
            <w:proofErr w:type="spellEnd"/>
            <w:r w:rsidRPr="00563EB7">
              <w:rPr>
                <w:rFonts w:ascii="Arial" w:hAnsi="Arial" w:cs="Arial"/>
                <w:sz w:val="20"/>
                <w:szCs w:val="20"/>
              </w:rPr>
              <w:t xml:space="preserve">, Jordan, </w:t>
            </w:r>
            <w:proofErr w:type="spellStart"/>
            <w:r w:rsidRPr="00563EB7">
              <w:rPr>
                <w:rFonts w:ascii="Arial" w:hAnsi="Arial" w:cs="Arial"/>
                <w:sz w:val="20"/>
                <w:szCs w:val="20"/>
              </w:rPr>
              <w:t>Lezak</w:t>
            </w:r>
            <w:proofErr w:type="spellEnd"/>
            <w:r w:rsidRPr="00563EB7">
              <w:rPr>
                <w:rFonts w:ascii="Arial" w:hAnsi="Arial" w:cs="Arial"/>
                <w:sz w:val="20"/>
                <w:szCs w:val="20"/>
              </w:rPr>
              <w:t xml:space="preserve">, &amp; </w:t>
            </w:r>
            <w:proofErr w:type="spellStart"/>
            <w:r w:rsidRPr="00563EB7">
              <w:rPr>
                <w:rFonts w:ascii="Arial" w:hAnsi="Arial" w:cs="Arial"/>
                <w:sz w:val="20"/>
                <w:szCs w:val="20"/>
              </w:rPr>
              <w:t>Troost</w:t>
            </w:r>
            <w:proofErr w:type="spellEnd"/>
            <w:r w:rsidRPr="00563EB7">
              <w:rPr>
                <w:rFonts w:ascii="Arial" w:hAnsi="Arial" w:cs="Arial"/>
                <w:sz w:val="20"/>
                <w:szCs w:val="20"/>
              </w:rPr>
              <w:t>, 1998</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kagpmvll5","properties":{"formattedCitation":"[78]","plainCitation":"[78]"},"citationItems":[{"id":5454,"uris":["http://zotero.org/users/1562642/items/5HXBNU8I"],"uri":["http://zotero.org/users/1562642/items/5HXBNU8I"],"itemData":{"id":5454,"type":"article-journal","title":"Chronic traumatic brain injury in professional soccer players","container-title":"Neurology","page":"791-796","volume":"51","issue":"3","source":"EBSCOhost","archive_location":"1998-12183-005","abstract":"53 active professional soccer players (mean age 25.4 yrs) from several professional Dutch soccer clubs were compared with a control group of 27 elite noncontact sport athletes (mean age 24.5 yrs). All participants underwent neuropsychological examination. The main outcome measures were neuropsychological tests proven to be sensitive to cognitive changes incurred during contact and collision sports. The professional soccer players exhibited impaired performances in memory, planning, and visuoperceptual processing when compared with controls. Among professional soccer players, performance on memory, planning, and visuoperceptual tasks were inversely related to the number of concussions incurred in soccer and the frequency of \"heading\" the ball. Performance on neuropsychological testing also varied according to field position, with forward and defensive players exhibiting more impairment. Participation in professional soccer may affect adversely some aspects of cognitive functioning (i.e., memory, planning, and visuoperceptual processing). (PsycINFO Database Record (c) 2012 APA, all rights reserved)","ISSN":"0028-3878","journalAbbreviation":"Neurology","author":[{"family":"Matser","given":"Erik J. T."},{"family":"Kessels","given":"Alphons G. H."},{"family":"Jordan","given":"Barry D."},{"family":"Lezak","given":"Muriel D."},{"family":"Troost","given":"Jaap"}],"issued":{"date-parts":[["1998",9]]}}}],"schema":"https://github.com/citation-style-language/schema/raw/master/csl-citation.json"}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[78]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1998</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Netherlands</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Dutch,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499</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Matser</w:t>
            </w:r>
            <w:proofErr w:type="spellEnd"/>
            <w:r w:rsidRPr="00563EB7">
              <w:rPr>
                <w:rFonts w:ascii="Arial" w:hAnsi="Arial" w:cs="Arial"/>
                <w:sz w:val="20"/>
                <w:szCs w:val="20"/>
              </w:rPr>
              <w:t xml:space="preserve">, </w:t>
            </w:r>
            <w:proofErr w:type="spellStart"/>
            <w:r w:rsidRPr="00563EB7">
              <w:rPr>
                <w:rFonts w:ascii="Arial" w:hAnsi="Arial" w:cs="Arial"/>
                <w:sz w:val="20"/>
                <w:szCs w:val="20"/>
              </w:rPr>
              <w:t>Kessels</w:t>
            </w:r>
            <w:proofErr w:type="spellEnd"/>
            <w:r w:rsidRPr="00563EB7">
              <w:rPr>
                <w:rFonts w:ascii="Arial" w:hAnsi="Arial" w:cs="Arial"/>
                <w:sz w:val="20"/>
                <w:szCs w:val="20"/>
              </w:rPr>
              <w:t xml:space="preserve">, </w:t>
            </w:r>
            <w:proofErr w:type="spellStart"/>
            <w:r w:rsidRPr="00563EB7">
              <w:rPr>
                <w:rFonts w:ascii="Arial" w:hAnsi="Arial" w:cs="Arial"/>
                <w:sz w:val="20"/>
                <w:szCs w:val="20"/>
              </w:rPr>
              <w:t>Lezak</w:t>
            </w:r>
            <w:proofErr w:type="spellEnd"/>
            <w:r w:rsidRPr="00563EB7">
              <w:rPr>
                <w:rFonts w:ascii="Arial" w:hAnsi="Arial" w:cs="Arial"/>
                <w:sz w:val="20"/>
                <w:szCs w:val="20"/>
              </w:rPr>
              <w:t xml:space="preserve">, &amp; </w:t>
            </w:r>
            <w:proofErr w:type="spellStart"/>
            <w:r w:rsidRPr="00563EB7">
              <w:rPr>
                <w:rFonts w:ascii="Arial" w:hAnsi="Arial" w:cs="Arial"/>
                <w:sz w:val="20"/>
                <w:szCs w:val="20"/>
              </w:rPr>
              <w:t>Troost</w:t>
            </w:r>
            <w:proofErr w:type="spellEnd"/>
            <w:r w:rsidRPr="00563EB7">
              <w:rPr>
                <w:rFonts w:ascii="Arial" w:hAnsi="Arial" w:cs="Arial"/>
                <w:sz w:val="20"/>
                <w:szCs w:val="20"/>
              </w:rPr>
              <w:t>, 2001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7k5h2u5e3","properties":{"formattedCitation":"[79]","plainCitation":"[79]"},"citationItems":[{"id":5139,"uris":["http://zotero.org/users/1562642/items/QE9KV8W2"],"uri":["http://zotero.org/users/1562642/items/QE9KV8W2"],"itemData":{"id":5139,"type":"article-journal","title":"A dose-response relation of headers and concussions with cognitive impairment in professional soccer players","container-title":"Journal of Clinical and Experimental Neuropsychology","page":"770-774","volume":"23","issue":"6","source":"EBSCOhost","archive_location":"2002-12708-006","abstract":"Examined the effects of headers and concussions on cognitive impairment in professional soccer players. 84 active professional soccer players from several premier league soccer clubs in the Netherlands underwent neuropsychological evaluations. The dose-response relation between the number of headers in one professional season and the number of soccer-related concussions on cognitive functioning was investigated. It was found that the number of headers in one season was related to poorer results on tests measuring focused attention and visual/verbal memory. Soccer-related concussions were related to poorer results on tests measuring sustained attention and visuoperceptual processing. The findings suggest that headers as well as concussions separately contribute to cognitive impairment. (PsycINFO Database Record (c) 2012 APA, all rights reserved)","DOI":"10.1076/jcen.23.6.770.1029","ISSN":"1380-3395","journalAbbreviation":"Journal of Clinical and Experimental Neuropsychology","author":[{"family":"Matser","given":"J. T."},{"family":"Kessels","given":"A. G. H."},{"family":"Lezak","given":"M. D."},{"family":"Troost","given":"J."}],"issued":{"date-parts":[["2001",12]]}}}],"schema":"https://github.com/citation-style-language/schema/raw/master/csl-citation.json"}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[79]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Netherlands</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Dutch,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251</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Matser</w:t>
            </w:r>
            <w:proofErr w:type="spellEnd"/>
            <w:r w:rsidRPr="00563EB7">
              <w:rPr>
                <w:rFonts w:ascii="Arial" w:hAnsi="Arial" w:cs="Arial"/>
                <w:sz w:val="20"/>
                <w:szCs w:val="20"/>
              </w:rPr>
              <w:t xml:space="preserve">, </w:t>
            </w:r>
            <w:proofErr w:type="spellStart"/>
            <w:r w:rsidRPr="00563EB7">
              <w:rPr>
                <w:rFonts w:ascii="Arial" w:hAnsi="Arial" w:cs="Arial"/>
                <w:sz w:val="20"/>
                <w:szCs w:val="20"/>
              </w:rPr>
              <w:t>Kessels</w:t>
            </w:r>
            <w:proofErr w:type="spellEnd"/>
            <w:r w:rsidRPr="00563EB7">
              <w:rPr>
                <w:rFonts w:ascii="Arial" w:hAnsi="Arial" w:cs="Arial"/>
                <w:sz w:val="20"/>
                <w:szCs w:val="20"/>
              </w:rPr>
              <w:t xml:space="preserve">, </w:t>
            </w:r>
            <w:proofErr w:type="spellStart"/>
            <w:r w:rsidRPr="00563EB7">
              <w:rPr>
                <w:rFonts w:ascii="Arial" w:hAnsi="Arial" w:cs="Arial"/>
                <w:sz w:val="20"/>
                <w:szCs w:val="20"/>
              </w:rPr>
              <w:t>Lezak</w:t>
            </w:r>
            <w:proofErr w:type="spellEnd"/>
            <w:r w:rsidRPr="00563EB7">
              <w:rPr>
                <w:rFonts w:ascii="Arial" w:hAnsi="Arial" w:cs="Arial"/>
                <w:sz w:val="20"/>
                <w:szCs w:val="20"/>
              </w:rPr>
              <w:t xml:space="preserve">, Jordan, &amp; </w:t>
            </w:r>
            <w:proofErr w:type="spellStart"/>
            <w:r w:rsidRPr="00563EB7">
              <w:rPr>
                <w:rFonts w:ascii="Arial" w:hAnsi="Arial" w:cs="Arial"/>
                <w:sz w:val="20"/>
                <w:szCs w:val="20"/>
              </w:rPr>
              <w:t>Troost</w:t>
            </w:r>
            <w:proofErr w:type="spellEnd"/>
            <w:r w:rsidRPr="00563EB7">
              <w:rPr>
                <w:rFonts w:ascii="Arial" w:hAnsi="Arial" w:cs="Arial"/>
                <w:sz w:val="20"/>
                <w:szCs w:val="20"/>
              </w:rPr>
              <w:t>, 1999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11utrc0bj7","properties":{"formattedCitation":"[80]","plainCitation":"[80]"},"citationItems":[{"id":4566,"uris":["http://zotero.org/users/1562642/items/ZGFNW6VA"],"uri":["http://zotero.org/users/1562642/items/ZGFNW6VA"],"itemData":{"id":4566,"type":"article-journal","title":"Neuropsychological impairment in amateur soccer players","container-title":"JAMA: Journal of the American Medical Association","page":"971-973","volume":"282","issue":"10","source":"EBSCOhost","archive_location":"1999-11477-008","abstract":"Investigated whether neuropsychological dysfunction occurs in amateur soccer players as a result of chronic traumatic brain injury (CTBI). 33 amateur soccer players (mean age 24.9 yrs) were compared to 27 control athletes. Each S was interviewed by a neuropsychologist and completed 16 neuropsyological tests, including the Raven Progressive Matrices, the Wisconsin Card Sorting Task, the Benton Facial Recognition Test, and 3 subscales from the Wechsler Memory Scale (WMS). The average duration of the amateur career of the soccer players was 17 yrs, with 20–70 games played annually. The median number of balls headed in a match was 8.5. Nine players incurred 1 soccer-related concussion and 7 players reported 2–5 total soccer-related concussions. Compared to control athletes, soccer players exhibited statistically significant impairment in planning and memory. Soccer-related concussions were inversely correlated with performances on the Digit Span Test, the Facial Recognition Task, the Complex Figure Test (immediate and delayed recall), the Digit Symbol Modalities Test, and the Logical Memory subtest of the WMS. Findings suggest that participation in amateur soccer may be associated with CTBI, as evidence by impaired cognitive functioning on tests of memory and planning. (PsycINFO Database Record (c) 2012 APA, all rights reserved)","DOI":"10.1001/jama.282.10.971","ISSN":"0098-7484","journalAbbreviation":"JAMA: Journal of the American Medical Association","author":[{"family":"Matser","given":"Erik J. T."},{"family":"Kessels","given":"Alphons G."},{"family":"Lezak","given":"Muriel D."},{"family":"Jordan","given":"Barry D."},{"family":"Troost","given":"Jaap"}],"issued":{"date-parts":[["1999",9]]}}}],"schema":"https://github.com/citation-style-language/schema/raw/master/csl-citation.json"}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1999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Netherlands</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Netherlands,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1138</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Matser</w:t>
            </w:r>
            <w:proofErr w:type="spellEnd"/>
            <w:r w:rsidRPr="00563EB7">
              <w:rPr>
                <w:rFonts w:ascii="Arial" w:hAnsi="Arial" w:cs="Arial"/>
                <w:sz w:val="20"/>
                <w:szCs w:val="20"/>
              </w:rPr>
              <w:t xml:space="preserve">, </w:t>
            </w:r>
            <w:proofErr w:type="spellStart"/>
            <w:r w:rsidRPr="00563EB7">
              <w:rPr>
                <w:rFonts w:ascii="Arial" w:hAnsi="Arial" w:cs="Arial"/>
                <w:sz w:val="20"/>
                <w:szCs w:val="20"/>
              </w:rPr>
              <w:t>Kessels</w:t>
            </w:r>
            <w:proofErr w:type="spellEnd"/>
            <w:r w:rsidRPr="00563EB7">
              <w:rPr>
                <w:rFonts w:ascii="Arial" w:hAnsi="Arial" w:cs="Arial"/>
                <w:sz w:val="20"/>
                <w:szCs w:val="20"/>
              </w:rPr>
              <w:t xml:space="preserve">, </w:t>
            </w:r>
            <w:proofErr w:type="spellStart"/>
            <w:r w:rsidRPr="00563EB7">
              <w:rPr>
                <w:rFonts w:ascii="Arial" w:hAnsi="Arial" w:cs="Arial"/>
                <w:sz w:val="20"/>
                <w:szCs w:val="20"/>
              </w:rPr>
              <w:t>Lezak</w:t>
            </w:r>
            <w:proofErr w:type="spellEnd"/>
            <w:r w:rsidRPr="00563EB7">
              <w:rPr>
                <w:rFonts w:ascii="Arial" w:hAnsi="Arial" w:cs="Arial"/>
                <w:sz w:val="20"/>
                <w:szCs w:val="20"/>
              </w:rPr>
              <w:t xml:space="preserve">, </w:t>
            </w:r>
            <w:proofErr w:type="spellStart"/>
            <w:r w:rsidRPr="00563EB7">
              <w:rPr>
                <w:rFonts w:ascii="Arial" w:hAnsi="Arial" w:cs="Arial"/>
                <w:sz w:val="20"/>
                <w:szCs w:val="20"/>
              </w:rPr>
              <w:t>Troost</w:t>
            </w:r>
            <w:proofErr w:type="spellEnd"/>
            <w:r w:rsidRPr="00563EB7">
              <w:rPr>
                <w:rFonts w:ascii="Arial" w:hAnsi="Arial" w:cs="Arial"/>
                <w:sz w:val="20"/>
                <w:szCs w:val="20"/>
              </w:rPr>
              <w:t>, &amp; Jordan, 2000</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192g4rl5hu","properties":{"formattedCitation":"[81]","plainCitation":"[81]"},"citationItems":[{"id":5486,"uris":["http://zotero.org/users/1562642/items/MFA7CVDV"],"uri":["http://zotero.org/users/1562642/items/MFA7CVDV"],"itemData":{"id":5486,"type":"article-journal","title":"Acute traumatic brain injury in amateur boxing","container-title":"The Physician And Sportsmedicine","page":"87-92","volume":"28","issue":"1","source":"EBSCOhost","archive_location":"20086609","abstract":"BACKGROUND: Acute traumatic brain injury (ATBI) represents the neurologic consequence of concussive and subconcussive blows to the head. Evidence suggests that ATBI may be associated with boxing and collision sports such as American football and soccer, thus potentially exposing millions of athletes annually. OBJECTIVE: The objectives of this study were to determine whether significant ATBI occurs in boxers who compete and, if present, the nature of the cognitive impairment. A secondary objective was to determine if headgear could reduce the risk for ATBI in amateur boxing. DESIGN: In this inception cohort study, 38 amateur boxers underwent neuropsychological examination before and shortly after a boxing match and were compared with a control group of 28 amateur boxers who were tested before and after a comparable physical test. The main outcome measures were neuropsychological tests (memory, mental and fine-motor speed, planning, and attention) proven to be sensitive to cognitive changes incurred in contact and collision sports. RESULTS: The boxers who competed exhibited an ATBI pattern of impaired performance in planning, attention, and memory capacity when compared with controls. They had significantly different findings in the Categorization Task Test (P= 0.047); Digit Symbol Test (P= 0.02); Logical Memory: Short Term Memory and Long Term Memory subtests (both tests, P&lt; 0.001); and Visual Reproduction: Short Term Memory subtest (P&lt; 0.001) and Long Term Memory subtest (P&lt; 0.03). CONCLUSION: Participation in amateur boxing matches may diminish neurocognitive functioning despite the use of headgear. The neurocognitive impairment resembles cognitive symptoms due to concussions. Guidelines are needed to reduce the risk for repeated ATBI.","DOI":"10.3810/psm.2000.01.645","ISSN":"0091-3847","journalAbbreviation":"The Physician And Sportsmedicine","author":[{"family":"Matser","given":"Erik J. T."},{"family":"Kessels","given":"Alpohs G.H."},{"family":"Lezak","given":"Muriel D."},{"family":"Troost","given":"Jaap"},{"family":"Jordan","given":"Barry D."}],"issued":{"date-parts":[["2000",1]]}}}],"schema":"https://github.com/citation-style-language/schema/raw/master/csl-citation.json"}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2000</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Netherlands</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Dutch,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273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McAllister et al., 2005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rnnrhtfr","properties":{"formattedCitation":"[82]","plainCitation":"[82]"},"citationItems":[{"id":5147,"uris":["http://zotero.org/users/1562642/items/SNUPU3CE"],"uri":["http://zotero.org/users/1562642/items/SNUPU3CE"],"itemData":{"id":5147,"type":"article-journal","title":"Effect of the dopamine D2 receptor T allele on response latency after mild traumatic brain injury","container-title":"The American Journal of Psychiatry","page":"1749-1751","volume":"162","issue":"9","source":"EBSCOhost","archive_location":"2005-10664-027","abstract":"Objective: The authors tested the hypothesis that the dopamine D2 receptor T allele (formerly described as the A1 allele) would be associated with poorer performance on memory and attention tasks following mild traumatic brain injury. Method: Thirty-nine patients with mild traumatic brain injury and 27 comparison subjects were genotyped. All subjects completed memory and attention tests, including the California Verbal Learning Test recognition task and the Continuous Performance Test. Results: In both groups the T allele was associated with poorer performance on the California Verbal Learning Test recognition task. There was also a significant diagnosis-by-allele interaction on measures of response latency (Continuous Performance Test): the subjects with mild traumatic brain injury and the T allele had the worst performance. Conclusions: Genetic polymorphisms modulating central dopaminergic tone can affect cognitive outcome following mild traumatic brain injury. (PsycINFO Database Record (c) 2012 APA, all rights reserved). (journal abstract)","DOI":"10.1176/appi.ajp.162.9.1749","ISSN":"0002-953X","journalAbbreviation":"The American Journal of Psychiatry","author":[{"family":"McAllister","given":"Thomas W."},{"family":"Rhodes","given":"C. Harker"},{"family":"Flashman","given":"Laura A."},{"family":"McDonald","given":"Brenna C."},{"family":"Belloni","given":"Dorothy"},{"family":"Saykin","given":"Andrew J."}],"issued":{"date-parts":[["2005",9]]}}}],"schema":"https://github.com/citation-style-language/schema/raw/master/csl-citation.json"}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347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McAllister et al.,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livl5t7lf","properties":{"formattedCitation":"[83]","plainCitation":"[83]"},"citationItems":[{"id":4790,"uris":["http://zotero.org/users/1562642/items/AE2PWQ96"],"uri":["http://zotero.org/users/1562642/items/AE2PWQ96"],"itemData":{"id":4790,"type":"article-journal","title":"Polymorphisms in the brain-derived neurotrophic factor gene influence memory and processing speed one month after brain injury","container-title":"Journal of Neurotrauma","page":"1111-1118","volume":"29","issue":"6","source":"EBSCOhost","archive_location":"2012-10436-011","abstract":"Brain-derived neurotrophic factor (BDNF) plays a role in cognition, as well as neural survival and plasticity. There are several common polymorphisms in the BDNF gene, one of which (rs6265) is an extensively studied non-synonymous coding polymorphism (Val66Met) which has been linked to cognitive performance in healthy controls and some clinical populations. We hypothesized that the Met allele of rs6265 would be associated with poorer cognitive performance in individuals with mild-to-moderate traumatic brain injury, and that other polymorphisms in the BDNF gene would also affect cognition. Genotype at 9 single-nucleotide polymorphisms (SNPs) in the BDNF gene, and measures of speed of information processing, learning, and memory were assessed in 75 patients with mTBI and 38 healthy subjects. Consistent with previous reports, the Met allele of rs6265 was associated with cognition (slower processing speed) in the entire group. Two other SNPs were associated with processing speed in the mTBI group, but both are in linkage disequilibrium with rs6265, and neither remained significant after adjustment for rs6265 status. Within the mTBI group, but not the controls, 4 SNPs, but not rs6265, were associated with memory measures. These associations were not affected by adjustment for rs6265 status. Polymorphisms in BDNF influence cognitive performance shortly after mTBI. The results raise the possibility that a functional polymorphism other than rs6265 may contribute to memory function after mTBI. (PsycINFO Database Record (c) 2015 APA, all rights reserved). (journal abstract)","DOI":"10.1089/neu.2011.1930","ISSN":"0897-7151","journalAbbreviation":"Journal of Neurotrauma","author":[{"family":"McAllister","given":"Thomas W."},{"family":"Tyler","given":"Anna L."},{"family":"Flashman","given":"Laura A."},{"family":"Rhodes","given":"C. Harker"},{"family":"McDonald","given":"Brenna C."},{"family":"Saykin","given":"Andrew J."},{"family":"Tosteson","given":"Tor D."},{"family":"Tsongalis","given":"Gregory J."},{"family":"Moore","given":"Jason H."}],"issued":{"date-parts":[["2012",4]]}}}],"schema":"https://github.com/citation-style-language/schema/raw/master/csl-citation.json"}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94.69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513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McCauley et al., 2008</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aorva4u8r","properties":{"formattedCitation":"[84]","plainCitation":"[84]"},"citationItems":[{"id":4436,"uris":["http://zotero.org/users/1562642/items/MJPKXIH7"],"uri":["http://zotero.org/users/1562642/items/MJPKXIH7"],"itemData":{"id":4436,"type":"article-journal","title":"Correlates of persistent postconcussional disorder: DSM-IV criteria versus ICD-10","container-title":"Journal Of Clinical And Experimental Neuropsychology","page":"360-379","volume":"30","issue":"3","source":"EBSCOhost","archive_location":"17852608","abstract":"Controversy surrounding the causation of symptom complaints after mild traumatic brain injury (MTBI) is reflected by the existence of alternative diagnostic criteria for postconcussional syndrome (PCS) in the International Classification of Diseases (ICD) and postconcussional disorder (PCD) in the Diagnostic and Statistical Manual of Mental Disorders-4th edition (DSM-IV). Previous studies of persisting symptoms have employed various symptom checklists rather than uniform criteria-based diagnoses. This is the first prospective study of persisting symptom complaints using the formal diagnostic criteria for PCD and PCS and comparing these criteria sets in terms of prevalence, relationship to potential compensation, and emotional/functional status. In this prospective study, an unselected series of adults with uncomplicated MTBI (N = 139) was assessed at 6 months postinjury with a brief neuropsychological battery and measures of psychiatric symptoms/disorders, social support/community integration, health-related quality of life, and global outcome. In parallel analyses, participants with PCD/PCS were compared to those without the disorder. Potential compensation was an equally significant factor in both criteria sets. Persistent PCS criteria were met 3.1 times more frequently than persistent PCD criteria. Significant racial differences in fulfilling PCD/PCS criteria were found. No differences in emotional/functional status patterns or global outcome were found between the criteria sets except for minor dissimilarities in the social/community integration domain. The results demonstrate that despite large differences in the frequency of patients meeting the two diagnostic criteria sets, a clear basis for preferring either the PCD or PCS criteria remains to be determined.;","ISSN":"1744-411X","shortTitle":"Correlates of persistent postconcussional disorder","journalAbbreviation":"Journal Of Clinical And Experimental Neuropsychology","author":[{"family":"McCauley","given":"Stephen R"},{"family":"Boake","given":"Corwin"},{"family":"Pedroza","given":"Claudia"},{"family":"Brown","given":"Sharon A"},{"family":"Levin","given":"Harvey S"},{"family":"Goodman","given":"Heather S"},{"family":"Merritt","given":"Shirley G"}],"issued":{"date-parts":[["2008",4]]}}}],"schema":"https://github.com/citation-style-language/schema/raw/master/csl-citation.json"}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2008</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139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Hispanic, 39.57</w:t>
            </w:r>
          </w:p>
          <w:p w:rsidR="00F537B6" w:rsidRPr="00563EB7" w:rsidRDefault="00F537B6" w:rsidP="00F537B6">
            <w:pPr>
              <w:rPr>
                <w:rFonts w:ascii="Arial" w:hAnsi="Arial" w:cs="Arial"/>
                <w:sz w:val="20"/>
                <w:szCs w:val="20"/>
              </w:rPr>
            </w:pPr>
            <w:r w:rsidRPr="00563EB7">
              <w:rPr>
                <w:rFonts w:ascii="Arial" w:hAnsi="Arial" w:cs="Arial"/>
                <w:sz w:val="20"/>
                <w:szCs w:val="20"/>
              </w:rPr>
              <w:t>African-American, 38.13</w:t>
            </w:r>
          </w:p>
          <w:p w:rsidR="00F537B6" w:rsidRPr="00563EB7" w:rsidRDefault="00F537B6" w:rsidP="00F537B6">
            <w:pPr>
              <w:rPr>
                <w:rFonts w:ascii="Arial" w:hAnsi="Arial" w:cs="Arial"/>
                <w:sz w:val="20"/>
                <w:szCs w:val="20"/>
              </w:rPr>
            </w:pPr>
            <w:r w:rsidRPr="00563EB7">
              <w:rPr>
                <w:rFonts w:ascii="Arial" w:hAnsi="Arial" w:cs="Arial"/>
                <w:sz w:val="20"/>
                <w:szCs w:val="20"/>
              </w:rPr>
              <w:t>European American, 19.42</w:t>
            </w:r>
          </w:p>
          <w:p w:rsidR="00F537B6" w:rsidRPr="00563EB7" w:rsidRDefault="00F537B6" w:rsidP="00F537B6">
            <w:pPr>
              <w:rPr>
                <w:rFonts w:ascii="Arial" w:hAnsi="Arial" w:cs="Arial"/>
                <w:sz w:val="20"/>
                <w:szCs w:val="20"/>
              </w:rPr>
            </w:pPr>
            <w:r w:rsidRPr="00563EB7">
              <w:rPr>
                <w:rFonts w:ascii="Arial" w:hAnsi="Arial" w:cs="Arial"/>
                <w:sz w:val="20"/>
                <w:szCs w:val="20"/>
              </w:rPr>
              <w:t>Other, 2.88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401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McCauley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205uk403om","properties":{"formattedCitation":"[85]","plainCitation":"[85]"},"citationItems":[{"id":5150,"uris":["http://zotero.org/users/1562642/items/4Q2IAHNZ"],"uri":["http://zotero.org/users/1562642/items/4Q2IAHNZ"],"itemData":{"id":5150,"type":"article-journal","title":"Patterns of early emotional and neuropsychological sequelae after mild traumatic brain injury","container-title":"Journal of Neurotrauma","page":"914-925","volume":"31","issue":"10","source":"EBSCOhost","archive_location":"2014-20061-005","abstract":"Although mild traumatic brain injury (mTBI) is now recognized as a major health issue, there have been relatively few studies of its acute effects. Previous studies of mTBI assessed at 1 week or less post-injury have produced inconsistent results, spanning reports of no ill effects to findings of robust dysfunction. These gross disparities reflect study differences such as the criteria for mTBI diagnosis and selection of comparison groups. In consideration of these issues, this study investigated outcome in the first 96 hours after injury in adolescents and adults ages 12-30 years with mTBI (n = 73) compared with orthopedically injured (01, n = 65) and typically developing controls (TDC, n = 40). The mTBI group reported significantly greater general psychological distress, post-concussion symptom severity, and post-traumatic stress severity than 01 (all p &lt; 0.0001) and TDC (all p &lt; 0.0001); the OI and TDC groups responded similarly on these variables. There was a significant Group × Age interaction on the Total score (p &lt; 0.009), and the Cognitive (p = 0.01) and Somatic (p &lt; 0.032) subscales of the Rivermead Post Concussion Symptoms Questionnaire where increasing symptom severity was associated with increasing age in the mTBI group. On neuropsychological assessment, the mTBI group performed significantly more poorly compared with OI for Verbal Selective Reminding Test (delayed recall, p = 0.0003) and Symbol-Digit Modalities Test (SDMT written p = 0.03; oral, p = 0.001). The TDC group more robustly outperformed the mTBI group on these measures and also on the Brief Visuospatial Memory Test (delayed recall, p &lt; 0.04), Letter Fluency (p &lt; 0.02), and Category Switching (p &lt; 0.04). The TDC group outperformed the OI group on SDMT and Letter Fluency. These findings are consistent with previous reports of acute deficits in episodic memory and processing speed acutely after mTBI. Notably, however, these data also demonstrate the challenges of comparison group selection because differences were also found between the TDC and OI groups. (PsycINFO Database Record (c) 2015 APA, all rights reserved). (journal abstract)","DOI":"10.1089/neu.2012.2826","ISSN":"0897-7151","journalAbbreviation":"Journal of Neurotrauma","author":[{"family":"McCauley","given":"Stephen R."},{"family":"Wilde","given":"Elisabeth A."},{"family":"Barnes","given":"Amanda"},{"family":"Hanten","given":"Gerri"},{"family":"Hunter","given":"Jill V."},{"family":"Levin","given":"Harvey S."},{"family":"Smith","given":"Douglas H."}],"issued":{"date-parts":[["2014",5,15]]}}}],"schema":"https://github.com/citation-style-language/schema/raw/master/csl-citation.json"}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178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Non-Hispanic, 62.36</w:t>
            </w:r>
          </w:p>
          <w:p w:rsidR="00F537B6" w:rsidRPr="00563EB7" w:rsidRDefault="00F537B6" w:rsidP="00F537B6">
            <w:pPr>
              <w:rPr>
                <w:rFonts w:ascii="Arial" w:hAnsi="Arial" w:cs="Arial"/>
                <w:sz w:val="20"/>
                <w:szCs w:val="20"/>
              </w:rPr>
            </w:pPr>
            <w:r w:rsidRPr="00563EB7">
              <w:rPr>
                <w:rFonts w:ascii="Arial" w:hAnsi="Arial" w:cs="Arial"/>
                <w:sz w:val="20"/>
                <w:szCs w:val="20"/>
              </w:rPr>
              <w:t>Hispanic, 37.64</w:t>
            </w:r>
          </w:p>
          <w:p w:rsidR="00F537B6" w:rsidRPr="00563EB7" w:rsidRDefault="00F537B6" w:rsidP="00F537B6">
            <w:pPr>
              <w:rPr>
                <w:rFonts w:ascii="Arial" w:hAnsi="Arial" w:cs="Arial"/>
                <w:sz w:val="20"/>
                <w:szCs w:val="20"/>
              </w:rPr>
            </w:pPr>
          </w:p>
          <w:p w:rsidR="00F537B6" w:rsidRPr="00563EB7" w:rsidRDefault="00F537B6" w:rsidP="00F537B6">
            <w:pPr>
              <w:rPr>
                <w:rFonts w:ascii="Arial" w:hAnsi="Arial" w:cs="Arial"/>
                <w:sz w:val="20"/>
                <w:szCs w:val="20"/>
              </w:rPr>
            </w:pPr>
            <w:r w:rsidRPr="00563EB7">
              <w:rPr>
                <w:rFonts w:ascii="Arial" w:hAnsi="Arial" w:cs="Arial"/>
                <w:sz w:val="20"/>
                <w:szCs w:val="20"/>
              </w:rPr>
              <w:t>European American, 60.67</w:t>
            </w:r>
          </w:p>
          <w:p w:rsidR="00F537B6" w:rsidRPr="00563EB7" w:rsidRDefault="00F537B6" w:rsidP="00F537B6">
            <w:pPr>
              <w:rPr>
                <w:rFonts w:ascii="Arial" w:hAnsi="Arial" w:cs="Arial"/>
                <w:sz w:val="20"/>
                <w:szCs w:val="20"/>
              </w:rPr>
            </w:pPr>
            <w:r w:rsidRPr="00563EB7">
              <w:rPr>
                <w:rFonts w:ascii="Arial" w:hAnsi="Arial" w:cs="Arial"/>
                <w:sz w:val="20"/>
                <w:szCs w:val="20"/>
              </w:rPr>
              <w:t>African-American, 35.39</w:t>
            </w:r>
          </w:p>
          <w:p w:rsidR="00F537B6" w:rsidRPr="00563EB7" w:rsidRDefault="00F537B6" w:rsidP="00F537B6">
            <w:pPr>
              <w:rPr>
                <w:rFonts w:ascii="Arial" w:hAnsi="Arial" w:cs="Arial"/>
                <w:sz w:val="20"/>
                <w:szCs w:val="20"/>
              </w:rPr>
            </w:pPr>
            <w:r w:rsidRPr="00563EB7">
              <w:rPr>
                <w:rFonts w:ascii="Arial" w:hAnsi="Arial" w:cs="Arial"/>
                <w:sz w:val="20"/>
                <w:szCs w:val="20"/>
              </w:rPr>
              <w:t>Biracial or multiracial, 2.81</w:t>
            </w:r>
          </w:p>
          <w:p w:rsidR="00F537B6" w:rsidRPr="00563EB7" w:rsidRDefault="00F537B6" w:rsidP="00F537B6">
            <w:pPr>
              <w:rPr>
                <w:rFonts w:ascii="Arial" w:hAnsi="Arial" w:cs="Arial"/>
                <w:sz w:val="20"/>
                <w:szCs w:val="20"/>
              </w:rPr>
            </w:pPr>
            <w:r w:rsidRPr="00563EB7">
              <w:rPr>
                <w:rFonts w:ascii="Arial" w:hAnsi="Arial" w:cs="Arial"/>
                <w:sz w:val="20"/>
                <w:szCs w:val="20"/>
              </w:rPr>
              <w:t>Asian, 1.12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252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McDonald &amp; </w:t>
            </w:r>
            <w:proofErr w:type="spellStart"/>
            <w:r w:rsidRPr="00563EB7">
              <w:rPr>
                <w:rFonts w:ascii="Arial" w:hAnsi="Arial" w:cs="Arial"/>
                <w:sz w:val="20"/>
                <w:szCs w:val="20"/>
              </w:rPr>
              <w:t>Franzen</w:t>
            </w:r>
            <w:proofErr w:type="spellEnd"/>
            <w:r w:rsidRPr="00563EB7">
              <w:rPr>
                <w:rFonts w:ascii="Arial" w:hAnsi="Arial" w:cs="Arial"/>
                <w:sz w:val="20"/>
                <w:szCs w:val="20"/>
              </w:rPr>
              <w:t>, 1999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jefkjsfvu","properties":{"formattedCitation":"[86]","plainCitation":"[86]"},"citationItems":[{"id":4793,"uris":["http://zotero.org/users/1562642/items/3RFHR668"],"uri":["http://zotero.org/users/1562642/items/3RFHR668"],"itemData":{"id":4793,"type":"article-journal","title":"A validity study of the WAIT in closed head injury","container-title":"Brain Injury","page":"331-346","volume":"13","issue":"5","source":"EBSCOhost","archive_location":"1999-05189-002","abstract":"This study investigated the concurrent, discriminative, and construct validity of an instrument designed to assess the cognitive status of closed head injury (CHI) patients in the acute phase. The Wolinsky Amnesia Information Test (WAIT) is a questionnaire, orally administered and then scored in a standardized format. Interrater reliability has been previously demonstrated. The WAIT was compared to the Galveston Orientation and Amnesia Test (GOAT), CT scans, and the Glasgow Coma Scale (GCS). 75 Ss (aged 18–59 yrs) participated in the study, all hospital trauma patients at an urban regional trauma centre, who had been referred to the neuropsychology consult service for cognitive testing. Patients were screened to rule out preexisting developmental, drug, alcohol, or documented prior loss of consciousness history. A large majority of the patients (81.3%) were diagnosed with a mild level of CHI. Concurrent, discriminative, and construct validity of the WAIT were and found satisfactory. The data were submitted to factor analysis in order to uncover underlying constructs. In addition to the 'orientation' and 'amnesia' factors identified through factor analysis, a third factor was found and labelled: 'personal temporal/continuum memory.' (PsycINFO Database Record (c) 2015 APA, all rights reserved)","DOI":"10.1080/026990599121520","ISSN":"0269-9052","journalAbbreviation":"Brain Injury","author":[{"family":"McDonald","given":"Terry W."},{"family":"Franzen","given":"Michael D."}],"issued":{"date-parts":[["1999",5]]}}}],"schema":"https://github.com/citation-style-language/schema/raw/master/csl-citation.json"}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1999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88</w:t>
            </w:r>
          </w:p>
          <w:p w:rsidR="00F537B6" w:rsidRPr="00563EB7" w:rsidRDefault="00F537B6" w:rsidP="00F537B6">
            <w:pPr>
              <w:rPr>
                <w:rFonts w:ascii="Arial" w:hAnsi="Arial" w:cs="Arial"/>
                <w:sz w:val="20"/>
                <w:szCs w:val="20"/>
              </w:rPr>
            </w:pPr>
            <w:r w:rsidRPr="00563EB7">
              <w:rPr>
                <w:rFonts w:ascii="Arial" w:hAnsi="Arial" w:cs="Arial"/>
                <w:sz w:val="20"/>
                <w:szCs w:val="20"/>
              </w:rPr>
              <w:t>Black, 12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404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McGlinchey</w:t>
            </w:r>
            <w:proofErr w:type="spellEnd"/>
            <w:r w:rsidRPr="00563EB7">
              <w:rPr>
                <w:rFonts w:ascii="Arial" w:hAnsi="Arial" w:cs="Arial"/>
                <w:sz w:val="20"/>
                <w:szCs w:val="20"/>
              </w:rPr>
              <w:t xml:space="preserve">, Fortier, </w:t>
            </w:r>
            <w:proofErr w:type="spellStart"/>
            <w:r w:rsidRPr="00563EB7">
              <w:rPr>
                <w:rFonts w:ascii="Arial" w:hAnsi="Arial" w:cs="Arial"/>
                <w:sz w:val="20"/>
                <w:szCs w:val="20"/>
              </w:rPr>
              <w:t>Venne</w:t>
            </w:r>
            <w:proofErr w:type="spellEnd"/>
            <w:r w:rsidRPr="00563EB7">
              <w:rPr>
                <w:rFonts w:ascii="Arial" w:hAnsi="Arial" w:cs="Arial"/>
                <w:sz w:val="20"/>
                <w:szCs w:val="20"/>
              </w:rPr>
              <w:t xml:space="preserve">, </w:t>
            </w:r>
            <w:proofErr w:type="spellStart"/>
            <w:r w:rsidRPr="00563EB7">
              <w:rPr>
                <w:rFonts w:ascii="Arial" w:hAnsi="Arial" w:cs="Arial"/>
                <w:sz w:val="20"/>
                <w:szCs w:val="20"/>
              </w:rPr>
              <w:t>Maksimovskiy</w:t>
            </w:r>
            <w:proofErr w:type="spellEnd"/>
            <w:r w:rsidRPr="00563EB7">
              <w:rPr>
                <w:rFonts w:ascii="Arial" w:hAnsi="Arial" w:cs="Arial"/>
                <w:sz w:val="20"/>
                <w:szCs w:val="20"/>
              </w:rPr>
              <w:t>, &amp; Milberg,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qrbpt5ete","properties":{"formattedCitation":"[87]","plainCitation":"[87]"},"citationItems":[{"id":4466,"uris":["http://zotero.org/users/1562642/items/AMUKKE5Z"],"uri":["http://zotero.org/users/1562642/items/AMUKKE5Z"],"itemData":{"id":4466,"type":"article-journal","title":"Effects of OEF/OIF-related physical and emotional co-morbidities on associative learning: concurrent delay and trace eyeblink classical conditioning","container-title":"International Journal Of Environmental Research And Public Health","page":"3046-3073","volume":"11","issue":"3","source":"EBSCOhost","archive_location":"24625622","abstract":"This study examined the performance of veterans and active duty personnel who served in Operation Enduring Freedom and/or Operation Iraqi Freedom (OEF/OIF) on a basic associative learning task. Eighty-eight individuals participated in this study. All received a comprehensive clinical evaluation to determine the presence and severity of posttraumatic stress disorder (PTSD) and traumatic brain injury (TBI). The eyeblink conditioning task was composed of randomly intermixed delay and trace conditioned stimulus (CS) and unconditioned stimulus (US) pairs (acquisition) followed by a series of CS only trials (extinction). Results revealed that those with a clinical diagnosis of PTSD or a diagnosis of PTSD with comorbid mTBI acquired delay and trace conditioned responses (CRs) to levels and at rates similar to a deployed control group, thus suggesting intact basic associative learning. Differential extinction impairment was observed in the two clinical groups. Acquisition of CRs for both delay and trace conditioning, as well as extinction of trace CRs, was associated with alcoholic behavior across all participants. These findings help characterize the learning and memory function of individuals with PTSD and mTBI from OEF/OIF and raise the alarming possibility that the use of alcohol in this group may lead to more significant cognitive dysfunction.;","DOI":"10.3390/ijerph110303046","ISSN":"1660-4601","shortTitle":"Effects of OEF/OIF-related physical and emotional co-morbidities on associative learning","journalAbbreviation":"International Journal Of Environmental Research And Public Health","author":[{"family":"McGlinchey","given":"Regina E"},{"family":"Fortier","given":"Catherine B"},{"family":"Venne","given":"Jonathan R"},{"family":"Maksimovskiy","given":"Arkadiy L"},{"family":"Milberg","given":"William P"}],"issued":{"date-parts":[["2014",3,12]]}}}],"schema":"https://github.com/citation-style-language/schema/raw/master/csl-citation.json"}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81.82</w:t>
            </w:r>
          </w:p>
          <w:p w:rsidR="00F537B6" w:rsidRPr="00563EB7" w:rsidRDefault="00F537B6" w:rsidP="00F537B6">
            <w:pPr>
              <w:rPr>
                <w:rFonts w:ascii="Arial" w:hAnsi="Arial" w:cs="Arial"/>
                <w:sz w:val="20"/>
                <w:szCs w:val="20"/>
              </w:rPr>
            </w:pPr>
            <w:r w:rsidRPr="00563EB7">
              <w:rPr>
                <w:rFonts w:ascii="Arial" w:hAnsi="Arial" w:cs="Arial"/>
                <w:sz w:val="20"/>
                <w:szCs w:val="20"/>
              </w:rPr>
              <w:t>Hispanic or Latino, 10.23</w:t>
            </w:r>
          </w:p>
          <w:p w:rsidR="00F537B6" w:rsidRPr="00563EB7" w:rsidRDefault="00F537B6" w:rsidP="00F537B6">
            <w:pPr>
              <w:rPr>
                <w:rFonts w:ascii="Arial" w:hAnsi="Arial" w:cs="Arial"/>
                <w:sz w:val="20"/>
                <w:szCs w:val="20"/>
              </w:rPr>
            </w:pPr>
            <w:r w:rsidRPr="00563EB7">
              <w:rPr>
                <w:rFonts w:ascii="Arial" w:hAnsi="Arial" w:cs="Arial"/>
                <w:sz w:val="20"/>
                <w:szCs w:val="20"/>
              </w:rPr>
              <w:t>Black or African American, 4.54</w:t>
            </w:r>
          </w:p>
          <w:p w:rsidR="00F537B6" w:rsidRPr="00563EB7" w:rsidRDefault="00F537B6" w:rsidP="00F537B6">
            <w:pPr>
              <w:rPr>
                <w:rFonts w:ascii="Arial" w:hAnsi="Arial" w:cs="Arial"/>
                <w:sz w:val="20"/>
                <w:szCs w:val="20"/>
              </w:rPr>
            </w:pPr>
            <w:r w:rsidRPr="00563EB7">
              <w:rPr>
                <w:rFonts w:ascii="Arial" w:hAnsi="Arial" w:cs="Arial"/>
                <w:sz w:val="20"/>
                <w:szCs w:val="20"/>
              </w:rPr>
              <w:t>American Indian, 1.14</w:t>
            </w:r>
          </w:p>
          <w:p w:rsidR="00F537B6" w:rsidRPr="00563EB7" w:rsidRDefault="00F537B6" w:rsidP="00F537B6">
            <w:pPr>
              <w:rPr>
                <w:rFonts w:ascii="Arial" w:hAnsi="Arial" w:cs="Arial"/>
                <w:sz w:val="20"/>
                <w:szCs w:val="20"/>
              </w:rPr>
            </w:pPr>
            <w:r w:rsidRPr="00563EB7">
              <w:rPr>
                <w:rFonts w:ascii="Arial" w:hAnsi="Arial" w:cs="Arial"/>
                <w:sz w:val="20"/>
                <w:szCs w:val="20"/>
              </w:rPr>
              <w:t>Asian, 1.14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576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Merritt &amp; Arnett, 2014</w:t>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757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73.18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20.48</w:t>
            </w:r>
          </w:p>
          <w:p w:rsidR="00F537B6" w:rsidRPr="00563EB7" w:rsidRDefault="00F537B6" w:rsidP="00F537B6">
            <w:pPr>
              <w:rPr>
                <w:rFonts w:ascii="Arial" w:hAnsi="Arial" w:cs="Arial"/>
                <w:sz w:val="20"/>
                <w:szCs w:val="20"/>
              </w:rPr>
            </w:pPr>
            <w:r w:rsidRPr="00563EB7">
              <w:rPr>
                <w:rFonts w:ascii="Arial" w:hAnsi="Arial" w:cs="Arial"/>
                <w:sz w:val="20"/>
                <w:szCs w:val="20"/>
              </w:rPr>
              <w:lastRenderedPageBreak/>
              <w:t>Other, 6.34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451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Meyer &amp; Arnett,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tphac6osh","properties":{"formattedCitation":"[88]","plainCitation":"[88]"},"citationItems":[{"id":1931,"uris":["http://zotero.org/users/1562642/items/IPVBKSA8"],"uri":["http://zotero.org/users/1562642/items/IPVBKSA8"],"itemData":{"id":1931,"type":"article-journal","title":"Validation of the Affective Word List as a measure of verbal learning and memory","container-title":"Journal of Clinical and Experimental Neuropsychology","page":"316-324","volume":"37","issue":"3","source":"EBSCOhost","archive_location":"2015-23889-008","abstract":"Introduction: This study evaluated the Affective Word List (AWL), a measure designed to assess affective bias, as a measure of verbal learning and memory in the context of baseline concussion evaluations. The AWL was developed to assess affective bias in order to circumvent the tendency of some examinees to minimize self-report of depression symptoms. However, because it is designed as a traditional list-learning task, the cognitive indices of the AWL have the added potential to be used as measures of verbal learning and memory. It would be useful to have a performance-based measure that is sensitive to both the affective and cognitive consequences of concussion. Method: Participants from a university-based sports concussion program were used to evaluate the descriptive statistics and distribution of the AWL and its convergent and discriminant validity. A separate sample of undergraduate students, active in intramural or club athletics, served as participants for a delayed alternate-form reliability study. All reliability and validity results were compared with those of the Hopkins Verbal Learning Test–Revised (HVLT–R) and the Immediate Post-Concussion Assessment and Cognitive Testing Verbal Memory Composite (ImPACT-VM). Results: Results of this study showed that the cognitive indices of the AWL have normal distributions, and its four forms are equivalent. The AWL demonstrated moderate delayed alternate-form reliability, moderate convergent validity with other measures of verbal learning and memory, and strong discriminant validity with measures of processing speed and reaction time. Conclusions: Results of this study suggest that the AWL may have clinical utility as a measure of verbal learning and memory in concussion management and research. (PsycINFO Database Record (c) 2015 APA, all rights reserved). (journal abstract)","DOI":"10.1080/13803395.2015.1012486","ISSN":"1380-3395","journalAbbreviation":"Journal of Clinical &amp; Experimental Neuropsychology","author":[{"family":"Meyer","given":"Jessica E."},{"family":"Arnett","given":"Peter A."}],"issued":{"date-parts":[["2015",3]]}}}],"schema":"https://github.com/citation-style-language/schema/raw/master/csl-citation.json"}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462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71.43</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20.13</w:t>
            </w:r>
          </w:p>
          <w:p w:rsidR="00F537B6" w:rsidRPr="00563EB7" w:rsidRDefault="00F537B6" w:rsidP="00F537B6">
            <w:pPr>
              <w:rPr>
                <w:rFonts w:ascii="Arial" w:hAnsi="Arial" w:cs="Arial"/>
                <w:sz w:val="20"/>
                <w:szCs w:val="20"/>
              </w:rPr>
            </w:pPr>
            <w:r w:rsidRPr="00563EB7">
              <w:rPr>
                <w:rFonts w:ascii="Arial" w:hAnsi="Arial" w:cs="Arial"/>
                <w:sz w:val="20"/>
                <w:szCs w:val="20"/>
              </w:rPr>
              <w:t>Biracial or multiracial, 3.25</w:t>
            </w:r>
          </w:p>
          <w:p w:rsidR="00F537B6" w:rsidRPr="00563EB7" w:rsidRDefault="00F537B6" w:rsidP="00F537B6">
            <w:pPr>
              <w:rPr>
                <w:rFonts w:ascii="Arial" w:hAnsi="Arial" w:cs="Arial"/>
                <w:sz w:val="20"/>
                <w:szCs w:val="20"/>
              </w:rPr>
            </w:pPr>
            <w:r w:rsidRPr="00563EB7">
              <w:rPr>
                <w:rFonts w:ascii="Arial" w:hAnsi="Arial" w:cs="Arial"/>
                <w:sz w:val="20"/>
                <w:szCs w:val="20"/>
              </w:rPr>
              <w:t>Hispanic American, 1.73</w:t>
            </w:r>
          </w:p>
          <w:p w:rsidR="00F537B6" w:rsidRPr="00563EB7" w:rsidRDefault="00F537B6" w:rsidP="00F537B6">
            <w:pPr>
              <w:rPr>
                <w:rFonts w:ascii="Arial" w:hAnsi="Arial" w:cs="Arial"/>
                <w:sz w:val="20"/>
                <w:szCs w:val="20"/>
              </w:rPr>
            </w:pPr>
            <w:r w:rsidRPr="00563EB7">
              <w:rPr>
                <w:rFonts w:ascii="Arial" w:hAnsi="Arial" w:cs="Arial"/>
                <w:sz w:val="20"/>
                <w:szCs w:val="20"/>
              </w:rPr>
              <w:t>Asian American, 1.51</w:t>
            </w:r>
          </w:p>
          <w:p w:rsidR="00F537B6" w:rsidRPr="00563EB7" w:rsidRDefault="00F537B6" w:rsidP="00F537B6">
            <w:pPr>
              <w:rPr>
                <w:rFonts w:ascii="Arial" w:hAnsi="Arial" w:cs="Arial"/>
                <w:sz w:val="20"/>
                <w:szCs w:val="20"/>
              </w:rPr>
            </w:pPr>
            <w:r w:rsidRPr="00563EB7">
              <w:rPr>
                <w:rFonts w:ascii="Arial" w:hAnsi="Arial" w:cs="Arial"/>
                <w:sz w:val="20"/>
                <w:szCs w:val="20"/>
              </w:rPr>
              <w:t>Other, 1.08</w:t>
            </w:r>
          </w:p>
          <w:p w:rsidR="00F537B6" w:rsidRPr="00563EB7" w:rsidRDefault="00F537B6" w:rsidP="00F537B6">
            <w:pPr>
              <w:rPr>
                <w:rFonts w:ascii="Arial" w:hAnsi="Arial" w:cs="Arial"/>
                <w:sz w:val="20"/>
                <w:szCs w:val="20"/>
              </w:rPr>
            </w:pPr>
            <w:r w:rsidRPr="00563EB7">
              <w:rPr>
                <w:rFonts w:ascii="Arial" w:hAnsi="Arial" w:cs="Arial"/>
                <w:sz w:val="20"/>
                <w:szCs w:val="20"/>
              </w:rPr>
              <w:t>Latin American, 0.43</w:t>
            </w:r>
          </w:p>
          <w:p w:rsidR="00F537B6" w:rsidRPr="00563EB7" w:rsidRDefault="00F537B6" w:rsidP="00F537B6">
            <w:pPr>
              <w:rPr>
                <w:rFonts w:ascii="Arial" w:hAnsi="Arial" w:cs="Arial"/>
                <w:sz w:val="20"/>
                <w:szCs w:val="20"/>
              </w:rPr>
            </w:pPr>
            <w:r w:rsidRPr="00563EB7">
              <w:rPr>
                <w:rFonts w:ascii="Arial" w:hAnsi="Arial" w:cs="Arial"/>
                <w:sz w:val="20"/>
                <w:szCs w:val="20"/>
              </w:rPr>
              <w:t>Multiracial, 0.43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268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Meyers &amp; </w:t>
            </w:r>
            <w:proofErr w:type="spellStart"/>
            <w:r w:rsidRPr="00563EB7">
              <w:rPr>
                <w:rFonts w:ascii="Arial" w:hAnsi="Arial" w:cs="Arial"/>
                <w:sz w:val="20"/>
                <w:szCs w:val="20"/>
              </w:rPr>
              <w:t>Rohling</w:t>
            </w:r>
            <w:proofErr w:type="spellEnd"/>
            <w:r w:rsidRPr="00563EB7">
              <w:rPr>
                <w:rFonts w:ascii="Arial" w:hAnsi="Arial" w:cs="Arial"/>
                <w:sz w:val="20"/>
                <w:szCs w:val="20"/>
              </w:rPr>
              <w:t>, 2004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h5oo2biqn","properties":{"formattedCitation":"[89]","plainCitation":"[89]"},"citationItems":[{"id":4808,"uris":["http://zotero.org/users/1562642/items/HQK272ZP"],"uri":["http://zotero.org/users/1562642/items/HQK272ZP"],"itemData":{"id":4808,"type":"article-journal","title":"Validation of the Meyers Short Battery on mild TBI patients","container-title":"Archives of Clinical Neuropsychology","page":"637-651","volume":"19","issue":"5","source":"EBSCOhost","archive_location":"2004-17700-003","abstract":"This manuscript reports the results of two studies focusing on patients with mild Traumatic Brain Injury (TBI). The first assesses the validity of the Meyers Short Battery (MSB) of neuropsychological tests. The second study reports on the reliability of the MSB. The groups consisted of normal controls, depressed, chronic pain patients, and patients with mild TBI. Validity was assessed using a discriminant function analysis comparing the non-TBI participants with the TBI participants, which showed a 96.1 % correct classification rate. When patients were assessed at least 6 months post-injury and re-assessment 12-14 months later, an overall reliability of r = .86 was obtained. This indicates that the MSB has adequate psychometric properties for clinical use. The results are consistent with previous published research indicating that the MSB is sensitive not only to the presence of mild TBI but also to the degree of cognitive impairment based on loss of consciousness. (PsycINFO Database Record (c) 2013 APA, all rights reserved). (journal abstract)","DOI":"10.1016/j.acn.2003.08.007","ISSN":"0887-6177","journalAbbreviation":"Archives of Clinical Neuropsychology","author":[{"family":"Meyers","given":"John E."},{"family":"Rohling","given":"Martin L."}],"issued":{"date-parts":[["2004",8]]}}}],"schema":"https://github.com/citation-style-language/schema/raw/master/csl-citation.json"}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[89]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160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96.25</w:t>
            </w:r>
          </w:p>
          <w:p w:rsidR="00F537B6" w:rsidRPr="00563EB7" w:rsidRDefault="00F537B6" w:rsidP="00F537B6">
            <w:pPr>
              <w:rPr>
                <w:rFonts w:ascii="Arial" w:hAnsi="Arial" w:cs="Arial"/>
                <w:sz w:val="20"/>
                <w:szCs w:val="20"/>
              </w:rPr>
            </w:pPr>
            <w:r w:rsidRPr="00563EB7">
              <w:rPr>
                <w:rFonts w:ascii="Arial" w:hAnsi="Arial" w:cs="Arial"/>
                <w:sz w:val="20"/>
                <w:szCs w:val="20"/>
              </w:rPr>
              <w:t>Mixed racial background, 1.88</w:t>
            </w:r>
          </w:p>
          <w:p w:rsidR="00F537B6" w:rsidRPr="00563EB7" w:rsidRDefault="00F537B6" w:rsidP="00F537B6">
            <w:pPr>
              <w:rPr>
                <w:rFonts w:ascii="Arial" w:hAnsi="Arial" w:cs="Arial"/>
                <w:sz w:val="20"/>
                <w:szCs w:val="20"/>
              </w:rPr>
            </w:pPr>
            <w:r w:rsidRPr="00563EB7">
              <w:rPr>
                <w:rFonts w:ascii="Arial" w:hAnsi="Arial" w:cs="Arial"/>
                <w:sz w:val="20"/>
                <w:szCs w:val="20"/>
              </w:rPr>
              <w:t>Native American, 1.25</w:t>
            </w:r>
          </w:p>
          <w:p w:rsidR="00F537B6" w:rsidRPr="00563EB7" w:rsidRDefault="00F537B6" w:rsidP="00F537B6">
            <w:pPr>
              <w:rPr>
                <w:rFonts w:ascii="Arial" w:hAnsi="Arial" w:cs="Arial"/>
                <w:sz w:val="20"/>
                <w:szCs w:val="20"/>
              </w:rPr>
            </w:pPr>
            <w:r w:rsidRPr="00563EB7">
              <w:rPr>
                <w:rFonts w:ascii="Arial" w:hAnsi="Arial" w:cs="Arial"/>
                <w:sz w:val="20"/>
                <w:szCs w:val="20"/>
              </w:rPr>
              <w:t>Hispanic, 0.62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410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Nakayama, </w:t>
            </w:r>
            <w:proofErr w:type="spellStart"/>
            <w:r w:rsidRPr="00563EB7">
              <w:rPr>
                <w:rFonts w:ascii="Arial" w:hAnsi="Arial" w:cs="Arial"/>
                <w:sz w:val="20"/>
                <w:szCs w:val="20"/>
              </w:rPr>
              <w:t>Covassin</w:t>
            </w:r>
            <w:proofErr w:type="spellEnd"/>
            <w:r w:rsidRPr="00563EB7">
              <w:rPr>
                <w:rFonts w:ascii="Arial" w:hAnsi="Arial" w:cs="Arial"/>
                <w:sz w:val="20"/>
                <w:szCs w:val="20"/>
              </w:rPr>
              <w:t xml:space="preserve">, Schatz, </w:t>
            </w:r>
            <w:proofErr w:type="spellStart"/>
            <w:r w:rsidRPr="00563EB7">
              <w:rPr>
                <w:rFonts w:ascii="Arial" w:hAnsi="Arial" w:cs="Arial"/>
                <w:sz w:val="20"/>
                <w:szCs w:val="20"/>
              </w:rPr>
              <w:t>Nogle</w:t>
            </w:r>
            <w:proofErr w:type="spellEnd"/>
            <w:r w:rsidRPr="00563EB7">
              <w:rPr>
                <w:rFonts w:ascii="Arial" w:hAnsi="Arial" w:cs="Arial"/>
                <w:sz w:val="20"/>
                <w:szCs w:val="20"/>
              </w:rPr>
              <w:t xml:space="preserve">, &amp; </w:t>
            </w:r>
            <w:proofErr w:type="spellStart"/>
            <w:r w:rsidRPr="00563EB7">
              <w:rPr>
                <w:rFonts w:ascii="Arial" w:hAnsi="Arial" w:cs="Arial"/>
                <w:sz w:val="20"/>
                <w:szCs w:val="20"/>
              </w:rPr>
              <w:t>Kovan</w:t>
            </w:r>
            <w:proofErr w:type="spellEnd"/>
            <w:r w:rsidRPr="00563EB7">
              <w:rPr>
                <w:rFonts w:ascii="Arial" w:hAnsi="Arial" w:cs="Arial"/>
                <w:sz w:val="20"/>
                <w:szCs w:val="20"/>
              </w:rPr>
              <w:t>,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28js664iro","properties":{"formattedCitation":"[90]","plainCitation":"[90]"},"citationItems":[{"id":2102,"uris":["http://zotero.org/users/1562642/items/224CDTUR"],"uri":["http://zotero.org/users/1562642/items/224CDTUR"],"itemData":{"id":2102,"type":"article-journal","title":"Examination of the Test-Retest Reliability of a Computerized Neurocognitive Test Battery","container-title":"The American Journal of Sports Medicine","page":"2000-2005","volume":"42","issue":"8","source":"EBSCOhost","archive_location":"24907286","abstract":"Background: Test-retest reliability is a critical issue in the utility of computer-based neurocognitive assessment paradigms employing baseline and postconcussion tests. Researchers have reported low test-retest reliability for the Immediate Post Concussion Assessment and Cognitive Testing (ImPACT) across an interval of 45 and 50 days.; Purpose: To re-examine the test-retest reliability of the ImPACT between baseline, 45 days, and 50 days.; Study Design: Descriptive laboratory study.; Methods: Eighty-five physically active college students (51 male, 34 female) volunteered for this study. Participants completed the ImPACT as well as a 15-item memory test at baseline, 45 days, and 50 days. Intraclass correlation coefficients (ICCs) were calculated for ImPACT composite scores, and change scores were calculated using reliable change indices (RCIs) and regression-based methods (RBMs) at 80% and 95% confidence intervals (CIs).; Results: The respective ICCs for baseline to day 45, day 45 to day 50, baseline to day 50, and overall were as follows: verbal memory (0.76, 0.69, 0.65, and 0.78), visual memory (0.72, 0.66, 0.60, and 0.74), visual motor (processing) speed (0.87, 0.88, 0.85, and 0.91), and reaction time (0.67, 0.81, 0.71, and 0.80). All ICCs exceeded the threshold value of 0.60 for acceptable test-retest reliability. All cases fell well within the 80% CI for both the RCI and RBM, while 1% to 5% of cases fell outside the 95% CI for the RCI and 1% for the RBM.; Conclusion: Results suggest that the ImPACT is a reliable neurocognitive test battery at 45 and 50 days after the baseline assessment. The current findings agree with those of other reliability studies that have reported acceptable ICCs across 30-day to 1-year testing intervals, and they support the utility of the ImPACT for the multidisciplinary approach to concussion management.; Clinical Relevance: This study suggests that the computerized neurocognitive test battery, ImPACT, is a reliable test for postconcussion serial assessments. However, when managing concussed athletes, the ImPACT should not be used as a stand-alone measure.; © 2014 The Author(s).","DOI":"10.1177/0363546514535901","ISSN":"1552-3365","journalAbbreviation":"The American Journal of Sports Medicine","author":[{"family":"Nakayama","given":"Yusuke"},{"family":"Covassin","given":"Tracey"},{"family":"Schatz","given":"Philip"},{"family":"Nogle","given":"Sally"},{"family":"Kovan","given":"Jeff"}],"issued":{"date-parts":[["2014",8]]}}}],"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75.29</w:t>
            </w:r>
          </w:p>
          <w:p w:rsidR="00F537B6" w:rsidRPr="00563EB7" w:rsidRDefault="00F537B6" w:rsidP="00F537B6">
            <w:pPr>
              <w:rPr>
                <w:rFonts w:ascii="Arial" w:hAnsi="Arial" w:cs="Arial"/>
                <w:sz w:val="20"/>
                <w:szCs w:val="20"/>
              </w:rPr>
            </w:pPr>
            <w:r w:rsidRPr="00563EB7">
              <w:rPr>
                <w:rFonts w:ascii="Arial" w:hAnsi="Arial" w:cs="Arial"/>
                <w:sz w:val="20"/>
                <w:szCs w:val="20"/>
              </w:rPr>
              <w:t>Unreported, 11.77</w:t>
            </w:r>
          </w:p>
          <w:p w:rsidR="00F537B6" w:rsidRPr="00563EB7" w:rsidRDefault="00F537B6" w:rsidP="00F537B6">
            <w:pPr>
              <w:rPr>
                <w:rFonts w:ascii="Arial" w:hAnsi="Arial" w:cs="Arial"/>
                <w:sz w:val="20"/>
                <w:szCs w:val="20"/>
              </w:rPr>
            </w:pPr>
            <w:r w:rsidRPr="00563EB7">
              <w:rPr>
                <w:rFonts w:ascii="Arial" w:hAnsi="Arial" w:cs="Arial"/>
                <w:sz w:val="20"/>
                <w:szCs w:val="20"/>
              </w:rPr>
              <w:t>African-American, 5.88</w:t>
            </w:r>
          </w:p>
          <w:p w:rsidR="00F537B6" w:rsidRPr="00563EB7" w:rsidRDefault="00F537B6" w:rsidP="00F537B6">
            <w:pPr>
              <w:rPr>
                <w:rFonts w:ascii="Arial" w:hAnsi="Arial" w:cs="Arial"/>
                <w:sz w:val="20"/>
                <w:szCs w:val="20"/>
              </w:rPr>
            </w:pPr>
            <w:r w:rsidRPr="00563EB7">
              <w:rPr>
                <w:rFonts w:ascii="Arial" w:hAnsi="Arial" w:cs="Arial"/>
                <w:sz w:val="20"/>
                <w:szCs w:val="20"/>
              </w:rPr>
              <w:t>Hispanic or Latino, 3.53</w:t>
            </w:r>
          </w:p>
          <w:p w:rsidR="00F537B6" w:rsidRPr="00563EB7" w:rsidRDefault="00F537B6" w:rsidP="00F537B6">
            <w:pPr>
              <w:rPr>
                <w:rFonts w:ascii="Arial" w:hAnsi="Arial" w:cs="Arial"/>
                <w:sz w:val="20"/>
                <w:szCs w:val="20"/>
              </w:rPr>
            </w:pPr>
            <w:r w:rsidRPr="00563EB7">
              <w:rPr>
                <w:rFonts w:ascii="Arial" w:hAnsi="Arial" w:cs="Arial"/>
                <w:sz w:val="20"/>
                <w:szCs w:val="20"/>
              </w:rPr>
              <w:t>Asian American, 2.35</w:t>
            </w:r>
          </w:p>
          <w:p w:rsidR="00F537B6" w:rsidRPr="00563EB7" w:rsidRDefault="00F537B6" w:rsidP="00F537B6">
            <w:pPr>
              <w:rPr>
                <w:rFonts w:ascii="Arial" w:hAnsi="Arial" w:cs="Arial"/>
                <w:sz w:val="20"/>
                <w:szCs w:val="20"/>
              </w:rPr>
            </w:pPr>
            <w:r w:rsidRPr="00563EB7">
              <w:rPr>
                <w:rFonts w:ascii="Arial" w:hAnsi="Arial" w:cs="Arial"/>
                <w:sz w:val="20"/>
                <w:szCs w:val="20"/>
              </w:rPr>
              <w:t>Other, 2.35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324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Nelson et al., 2010</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24b6hdbsf3","properties":{"formattedCitation":"[91]","plainCitation":"[91]"},"citationItems":[{"id":4533,"uris":["http://zotero.org/users/1562642/items/G6ECIHCF"],"uri":["http://zotero.org/users/1562642/items/G6ECIHCF"],"itemData":{"id":4533,"type":"article-journal","title":"Evaluation context impacts neuropsychological performance of OEF/OIF veterans with reported combat-related concussion","container-title":"Archives of Clinical Neuropsychology","page":"713-723","volume":"25","issue":"8","source":"EBSCOhost","archive_location":"2010-24221-002","abstract":"Although soldiers of Operations Iraqi Freedom (OIF) and Enduring Freedom (OEF) encounter combat-related concussion at an unprecedented rate, relatively few studies have examined how evaluation context, insufficient effort, and concussion history impact neuropsychological performances in the years following injury. The current study explores these issues in a sample of 119 U.S. veterans (OEF/OIF forensic concussion, n = 24; non-OEF/OIF forensic concussion, n = 20; OEF/OIF research concussion, n = 38; OEF/OIF research without concussion, n = 37). The OEF/OIF forensic concussion group exhibited significantly higher rates of insufficient effort relative to the OEF/OIF research concussion group, but a comparable rate of insufficient effort relative to the non-OEF/OIF forensic concussion group. After controlling for effort, the research concussion and the research non-concussion groups demonstrated comparable neuropsychological performance. Results highlight the importance of effort assessment among OEF/OIF and other veterans with concussion history, particularly in forensic contexts. (PsycINFO Database Record (c) 2013 APA, all rights reserved). (journal abstract)","DOI":"10.1093/arclin/acq075","ISSN":"0887-6177","journalAbbreviation":"Archives of Clinical Neuropsychology","author":[{"family":"Nelson","given":"Nathaniel W."},{"family":"Hoelzle","given":"James B."},{"family":"Mcguire","given":"Kathryn A."},{"family":"Ferrier-Auerbach","given":"Amanda G."},{"family":"Charlesworth","given":"Molly J."},{"family":"Sponheim","given":"Scott R."}],"issued":{"date-parts":[["2010",12]]}}}],"schema":"https://github.com/citation-style-language/schema/raw/master/csl-citation.json"}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2010</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93.28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350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Nelson et al.,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emjrplf8q","properties":{"formattedCitation":"[92]","plainCitation":"[92]"},"citationItems":[{"id":4829,"uris":["http://zotero.org/users/1562642/items/XN4P8H7T"],"uri":["http://zotero.org/users/1562642/items/XN4P8H7T"],"itemData":{"id":4829,"type":"article-journal","title":"Neuropsychological outcomes of U. S. veterans with report of remote blast-related concussion and current psychopathology","container-title":"Journal of the International Neuropsychological Society","page":"845-855","volume":"18","issue":"5","source":"EBSCOhost","archive_location":"2012-24979-007","abstract":"This study explored whether remote blast-related MTBI and/or current Axis I psychopathology contribute to neuropsychological outcomes among OEF/OIF veterans with varied combat histories. OEF/OIF veterans underwent structured interviews to evaluate history of blast-related MTBI and psychopathology and were assigned to MTBI (n = 18), Axis I (n = 24), Co-morbid MTBI/Axis I (n = 34), or post-deployment control (n = 28) groups. A main effect for Axis I diagnosis on overall neuropsychological performance was identified (F(3,100)54.81; p = .004), with large effect sizes noted for the Axis I only (d = .98) and Co-morbid MTBI/Axis I (d = .95) groups relative to the control group. The latter groups demonstrated primary limitations on measures of learning/memory and processing speed. The MTBI only group demonstrated performances that were not significantly different from the remaining three groups. These findings suggest that a remote history of blast-related MTBI does not contribute to objective cognitive impairment in the late stage of injury. Impairments, when present, are subtle and most likely attributable to PTSD and other psychological conditions. Implications for clinical neuropsychologists and future research are discussed. (PsycINFO Database Record (c) 2012 APA, all rights reserved). (journal abstract)","DOI":"10.1017/S1355617712000616","ISSN":"1355-6177","journalAbbreviation":"Journal of the International Neuropsychological Society","author":[{"family":"Nelson","given":"Nathaniel W."},{"family":"Hoelzle","given":"James B."},{"family":"Doane","given":"Bridget M."},{"family":"McGuire","given":"Kathryn A."},{"family":"Ferrier-Auerbach","given":"Amanda G."},{"family":"Charlesworth","given":"Molly J."},{"family":"Lamberty","given":"Gregory J."},{"family":"Polusny","given":"Melissa A."},{"family":"Arbisi","given":"Paul A."},{"family":"Sponheim","given":"Scott R."}],"issued":{"date-parts":[["2012",9]]}}}],"schema":"https://github.com/citation-style-language/schema/raw/master/csl-citation.json"}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97.11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482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Nelson et al.,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ve3kr7mt1","properties":{"formattedCitation":"[93]","plainCitation":"[93]"},"citationItems":[{"id":4506,"uris":["http://zotero.org/users/1562642/items/P76ZE97J"],"uri":["http://zotero.org/users/1562642/items/P76ZE97J"],"itemData":{"id":4506,"type":"article-journal","title":"Prospective, head-to-head study of three computerized neurocognitive assessment tools (CNTs): Reliability and validity for the assessment of sport-related concussion","container-title":"Journal of the International Neuropsychological Society","page":"24-37","volume":"22","issue":"1","source":"EBSCOhost","archive_location":"2015-59068-002","abstract":"Limited data exist comparing the performance of computerized neurocognitive tests (CNTs) for assessing sport-related concussion. We evaluated the reliability and validity of three CNTs—ANAM, Axon Sports/Cogstate Sport, and ImPACT—in a common sample. High school and collegiate athletes completed two CNTs each at baseline. Concussed (n = 165) and matched non-injured control (n = 166) subjects repeated testing within 24 hr and at 8, 15, and 45 days post-injury. Roughly a quarter of each CNT’s indices had stability coefficients (M = 198 day interval) over .70. Group differences in performance were mostly moderate to large at 24 hr and small by day 8. The sensitivity of reliable change indices (RCIs) was best at 24 hr (67.8%, 60.3%, and 47.6% with one or more significant RCIs for ImPACT, Axon, and ANAM, respectively) but diminished to near the false positive rates thereafter. Across time, the CNTs’ sensitivities were highest in those athletes who became asymptomatic within 1 day before neurocognitive testing but was similar to the tests’ false positive rates when including athletes who became asymptomatic several days earlier. Test–retest reliability was similar among these three CNTs and below optimal standards for clinical use on many subtests. Analyses of group effect sizes, discrimination, and sensitivity and specificity suggested that the CNTs may add incrementally (beyond symptom scores) to the identification of clinical impairment within 24 hr of injury or within a short time period after symptom resolution but do not add significant value over symptom assessment later. The rapid clinical recovery course from concussion and modest stability probably jointly contribute to limited signal detection capabilities of neurocognitive tests outside a brief post-injury window. (PsycINFO Database Record (c) 2016 APA, all rights reserved). (journal abstract)","DOI":"10.1017/S1355617715001101","ISSN":"1355-6177","shortTitle":"Prospective, head-to-head study of three computerized neurocognitive assessment tools (CNTs)","journalAbbreviation":"Journal of the International Neuropsychological Society","author":[{"family":"Nelson","given":"Lindsay D."},{"family":"LaRoche","given":"Ashley A."},{"family":"Pfaller","given":"Adam Y."},{"family":"Lerner","given":"E. Brooke"},{"family":"Hammeke","given":"Thomas A."},{"family":"Randolph","given":"Christopher"},{"family":"Barr","given":"William B."},{"family":"Guskiewicz","given":"Kevin"},{"family":"McCrea","given":"Michael A."}],"issued":{"date-parts":[["2016",1]]}}}],"schema":"https://github.com/citation-style-language/schema/raw/master/csl-citation.json"}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331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85.5</w:t>
            </w:r>
          </w:p>
          <w:p w:rsidR="00F537B6" w:rsidRPr="00563EB7" w:rsidRDefault="00F537B6" w:rsidP="00F537B6">
            <w:pPr>
              <w:rPr>
                <w:rFonts w:ascii="Arial" w:hAnsi="Arial" w:cs="Arial"/>
                <w:sz w:val="20"/>
                <w:szCs w:val="20"/>
              </w:rPr>
            </w:pPr>
            <w:r w:rsidRPr="00563EB7">
              <w:rPr>
                <w:rFonts w:ascii="Arial" w:hAnsi="Arial" w:cs="Arial"/>
                <w:sz w:val="20"/>
                <w:szCs w:val="20"/>
              </w:rPr>
              <w:t>Black, 11.78</w:t>
            </w:r>
          </w:p>
          <w:p w:rsidR="00F537B6" w:rsidRPr="00563EB7" w:rsidRDefault="00F537B6" w:rsidP="00F537B6">
            <w:pPr>
              <w:rPr>
                <w:rFonts w:ascii="Arial" w:hAnsi="Arial" w:cs="Arial"/>
                <w:sz w:val="20"/>
                <w:szCs w:val="20"/>
              </w:rPr>
            </w:pPr>
            <w:r w:rsidRPr="00563EB7">
              <w:rPr>
                <w:rFonts w:ascii="Arial" w:hAnsi="Arial" w:cs="Arial"/>
                <w:sz w:val="20"/>
                <w:szCs w:val="20"/>
              </w:rPr>
              <w:t>Other, 1.21</w:t>
            </w:r>
          </w:p>
          <w:p w:rsidR="00F537B6" w:rsidRPr="00563EB7" w:rsidRDefault="00F537B6" w:rsidP="00F537B6">
            <w:pPr>
              <w:rPr>
                <w:rFonts w:ascii="Arial" w:hAnsi="Arial" w:cs="Arial"/>
                <w:sz w:val="20"/>
                <w:szCs w:val="20"/>
              </w:rPr>
            </w:pPr>
            <w:r w:rsidRPr="00563EB7">
              <w:rPr>
                <w:rFonts w:ascii="Arial" w:hAnsi="Arial" w:cs="Arial"/>
                <w:sz w:val="20"/>
                <w:szCs w:val="20"/>
              </w:rPr>
              <w:t>Asian, 0.91</w:t>
            </w:r>
          </w:p>
          <w:p w:rsidR="00F537B6" w:rsidRPr="00563EB7" w:rsidRDefault="00F537B6" w:rsidP="00F537B6">
            <w:pPr>
              <w:rPr>
                <w:rFonts w:ascii="Arial" w:hAnsi="Arial" w:cs="Arial"/>
                <w:sz w:val="20"/>
                <w:szCs w:val="20"/>
              </w:rPr>
            </w:pPr>
            <w:r w:rsidRPr="00563EB7">
              <w:rPr>
                <w:rFonts w:ascii="Arial" w:hAnsi="Arial" w:cs="Arial"/>
                <w:sz w:val="20"/>
                <w:szCs w:val="20"/>
              </w:rPr>
              <w:t>Native Hawaiian or Pacific</w:t>
            </w:r>
            <w:r w:rsidRPr="00563EB7">
              <w:rPr>
                <w:rFonts w:ascii="Arial" w:hAnsi="Arial" w:cs="Arial"/>
                <w:sz w:val="20"/>
                <w:szCs w:val="20"/>
              </w:rPr>
              <w:br/>
              <w:t>Islander, 0.6</w:t>
            </w:r>
          </w:p>
        </w:tc>
      </w:tr>
      <w:tr w:rsidR="00F537B6" w:rsidRPr="00563EB7" w:rsidTr="00E85C0E">
        <w:trPr>
          <w:trHeight w:val="300"/>
        </w:trPr>
        <w:tc>
          <w:tcPr>
            <w:tcW w:w="2160" w:type="dxa"/>
            <w:noWrap/>
          </w:tcPr>
          <w:p w:rsidR="00F537B6" w:rsidRPr="00563EB7" w:rsidRDefault="00F537B6" w:rsidP="00F537B6">
            <w:pPr>
              <w:rPr>
                <w:rFonts w:ascii="Arial" w:hAnsi="Arial" w:cs="Arial"/>
                <w:sz w:val="20"/>
                <w:szCs w:val="20"/>
              </w:rPr>
            </w:pPr>
            <w:r w:rsidRPr="00563EB7">
              <w:rPr>
                <w:rFonts w:ascii="Arial" w:hAnsi="Arial" w:cs="Arial"/>
                <w:sz w:val="20"/>
                <w:szCs w:val="20"/>
              </w:rPr>
              <w:t>1115</w:t>
            </w:r>
          </w:p>
        </w:tc>
        <w:tc>
          <w:tcPr>
            <w:tcW w:w="2160" w:type="dxa"/>
            <w:noWrap/>
          </w:tcPr>
          <w:p w:rsidR="00F537B6" w:rsidRPr="00563EB7" w:rsidRDefault="00F537B6" w:rsidP="00F537B6">
            <w:pPr>
              <w:rPr>
                <w:rFonts w:ascii="Arial" w:hAnsi="Arial" w:cs="Arial"/>
                <w:sz w:val="20"/>
                <w:szCs w:val="20"/>
              </w:rPr>
            </w:pPr>
            <w:r w:rsidRPr="00563EB7">
              <w:rPr>
                <w:rFonts w:ascii="Arial" w:hAnsi="Arial" w:cs="Arial"/>
                <w:sz w:val="20"/>
                <w:szCs w:val="20"/>
              </w:rPr>
              <w:t>Nelson et al.,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q7cchqtl3","properties":{"formattedCitation":"[94]","plainCitation":"[94]"},"citationItems":[{"id":4006,"uris":["http://zotero.org/users/1562642/items/43TKWJ4I"],"uri":["http://zotero.org/users/1562642/items/43TKWJ4I"],"itemData":{"id":4006,"type":"article-journal","title":"Multiple self-reported concussions are more prevalent in athletes with ADHD and learning disability","container-title":"Clinical Journal of Sport Medicine","page":"120–127","volume":"26","issue":"2","source":"Google Scholar","abstract":"Objective: We evaluated how attention deficit-hyperactivity disorder (ADHD) and learning disability (LD) are associated with concussion history and performance on standard concussion assessment measures. Based on previous reports that developmental disorders are associated with increased injury proneness and poorer cognitive performance, we anticipated that ADHD and LD would be associated with increased history of concussion and poorer baseline performance on assessment measures.; Design: Cross-sectional study.; Setting: Clinical research center.; Participants: The study sample aggregated data from two separate projects: the National Collegiate Athletic Association Concussion Study and Project Sideline.; Interventions: We analyzed preseason baseline data from 8056 high school and collegiate athletes (predominantly male football players) enrolled in prior studies of sport-related concussion.; Main Outcome Measures: Measures included demographic/health history, symptoms, and cognitive performance.; Results: Attention deficit-hyperactivity disorder and LD were associated with 2.93 and 2.08 times the prevalence, respectively, of 3+ historical concussions (for comorbid ADHD/LD the prevalence ratio was 3.38). In players without histories of concussion, individuals with ADHD reported more baseline symptoms, and ADHD and LD were associated with poorer performance on baseline cognitive tests. Interactive effects were present between ADHD/LD status and concussion history for self-reported symptoms.; Conclusions: Neurodevelopmental disorders and concussion history should be jointly considered in evaluating concussed players.; Clinical Relevance: Clinical judgments of self-reported symptoms and cognitive performance should be adjusted based on athletes' individual preinjury baselines or comparison with appropriate normative samples.;","author":[{"family":"Nelson","given":"Lindsay D."},{"family":"Guskiewicz","given":"Kevin M."},{"family":"Marshall","given":"Stephen W."},{"family":"Hammeke","given":"Thomas"},{"family":"Barr","given":"William"},{"family":"Randolph","given":"Christopher"},{"family":"McCrea","given":"Michael A."}],"issued":{"date-parts":[["2016"]]}}}],"schema":"https://github.com/citation-style-language/schema/raw/master/csl-citation.json"}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tcPr>
          <w:p w:rsidR="00F537B6" w:rsidRPr="00563EB7" w:rsidRDefault="00F537B6" w:rsidP="00F537B6">
            <w:pPr>
              <w:rPr>
                <w:rFonts w:ascii="Arial" w:hAnsi="Arial" w:cs="Arial"/>
                <w:sz w:val="20"/>
                <w:szCs w:val="20"/>
              </w:rPr>
            </w:pPr>
            <w:r w:rsidRPr="00563EB7">
              <w:rPr>
                <w:rFonts w:ascii="Arial" w:hAnsi="Arial" w:cs="Arial"/>
                <w:sz w:val="20"/>
                <w:szCs w:val="20"/>
              </w:rPr>
              <w:t>8056</w:t>
            </w:r>
          </w:p>
        </w:tc>
        <w:tc>
          <w:tcPr>
            <w:tcW w:w="2160" w:type="dxa"/>
            <w:noWrap/>
          </w:tcPr>
          <w:p w:rsidR="00F537B6" w:rsidRPr="00563EB7" w:rsidRDefault="00F537B6" w:rsidP="00F537B6">
            <w:pPr>
              <w:rPr>
                <w:rFonts w:ascii="Arial" w:hAnsi="Arial" w:cs="Arial"/>
                <w:sz w:val="20"/>
                <w:szCs w:val="20"/>
              </w:rPr>
            </w:pPr>
            <w:r w:rsidRPr="00563EB7">
              <w:rPr>
                <w:rFonts w:ascii="Arial" w:hAnsi="Arial" w:cs="Arial"/>
                <w:sz w:val="20"/>
                <w:szCs w:val="20"/>
              </w:rPr>
              <w:t>White, 73.5</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21.5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609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Nelson, </w:t>
            </w:r>
            <w:proofErr w:type="spellStart"/>
            <w:r w:rsidRPr="00563EB7">
              <w:rPr>
                <w:rFonts w:ascii="Arial" w:hAnsi="Arial" w:cs="Arial"/>
                <w:sz w:val="20"/>
                <w:szCs w:val="20"/>
              </w:rPr>
              <w:t>Pfaller</w:t>
            </w:r>
            <w:proofErr w:type="spellEnd"/>
            <w:r w:rsidRPr="00563EB7">
              <w:rPr>
                <w:rFonts w:ascii="Arial" w:hAnsi="Arial" w:cs="Arial"/>
                <w:sz w:val="20"/>
                <w:szCs w:val="20"/>
              </w:rPr>
              <w:t>, Rein, &amp; McCrea,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cakabb03n","properties":{"formattedCitation":"[95]","plainCitation":"[95]"},"citationItems":[{"id":4828,"uris":["http://zotero.org/users/1562642/items/ABDDRS8Q"],"uri":["http://zotero.org/users/1562642/items/ABDDRS8Q"],"itemData":{"id":4828,"type":"article-journal","title":"Rates and Predictors of Invalid Baseline Test Performance in High School and Collegiate Athletes for 3 Computerized Neurocognitive Tests","container-title":"American Journal of Sports Medicine","page":"2018-2026","volume":"43","issue":"8","source":"EBSCOhost","abstract":"Background:Preseason baseline testing using computerized neurocognitive tests (CNTs) is increasingly performed on athletes. Adequate effort is critical to establish valid estimates of ability, but many users do not evaluate performance validity, and the conditions that affect validity are not well understood across the available CNTs.Purpose:To examine the rates and predictors of invalid baseline performance for 3 popular CNTs: Automated Neuropsychological Assessment Metrics (ANAM), Axon Sports, and Immediate Post-Concussion and Cognitive Testing (ImPACT).Study Design:Controlled laboratory study.Methods:High school and collegiate athletes (N = 2063) completed 2 of 3 CNTs each during preseason evaluations. All possible pairings were present across the sample, and the order of administration was randomized. Examiners provided 1-on-1, scripted pretest instructions, emphasizing the importance of good effort. Profile validity was determined by the manufacturers’ standard criteria.Results:The overall percentage of tests flagged as of questionable validity was lowest for ImPACT (2.7%) and higher for ANAM and Axon (10.7% and 11.3%, respectively). The majority of invalid baseline profiles were flagged as such because of failure on only 1 validity criterion. Several athlete and testing factors (eg, attention deficit hyperactivity disorder [ADHD], estimated general intellectual ability, administration order) predicted validity status for 1 or more CNTs. Considering only first CNT administrations and participants without ADHD and/or a learning disability (n = 1835) brought the rates of invalid baseline performances to 2.1%, 8.8%, and 7.0% for ImPACT, ANAM, and Axon, respectively. Invalid profiles on the Medical Symptom Validity Test (MSVT) were rare (1.8% of participants) and demonstrated poor correspondence to CNT validity outcomes.Conclusion:The validity criteria for these CNTs may not identify the same causes of invalidity or be equally sensitive to effort. The validity indicators may not be equally appropriate for some athletes (eg, those with neurodevelopmental disorders).Clinical Relevance:The data suggest that athletes do not put forth widespread low effort or that some validity criteria are more sensitive to invalid performance than others. It is important for examiners to be aware of the conditions that maximize the quality of baseline assessments and to understand what sources of invalid performance are captured by the validity criteria that they obtain.","DOI":"10.1177/0363546515587714","ISSN":"03635465","journalAbbreviation":"American Journal of Sports Medicine","author":[{"family":"Nelson","given":"Lindsay D."},{"family":"Pfaller","given":"Adam Y."},{"family":"Rein","given":"Lisa E."},{"family":"McCrea","given":"Michael A."}],"issued":{"date-parts":[["2015",8]]}}}],"schema":"https://github.com/citation-style-language/schema/raw/master/csl-citation.json"}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2063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83.42</w:t>
            </w:r>
          </w:p>
          <w:p w:rsidR="00F537B6" w:rsidRPr="00563EB7" w:rsidRDefault="00F537B6" w:rsidP="00F537B6">
            <w:pPr>
              <w:rPr>
                <w:rFonts w:ascii="Arial" w:hAnsi="Arial" w:cs="Arial"/>
                <w:sz w:val="20"/>
                <w:szCs w:val="20"/>
              </w:rPr>
            </w:pPr>
            <w:r w:rsidRPr="00563EB7">
              <w:rPr>
                <w:rFonts w:ascii="Arial" w:hAnsi="Arial" w:cs="Arial"/>
                <w:sz w:val="20"/>
                <w:szCs w:val="20"/>
              </w:rPr>
              <w:t>Black, 12.12</w:t>
            </w:r>
          </w:p>
          <w:p w:rsidR="00F537B6" w:rsidRPr="00563EB7" w:rsidRDefault="00F537B6" w:rsidP="00F537B6">
            <w:pPr>
              <w:rPr>
                <w:rFonts w:ascii="Arial" w:hAnsi="Arial" w:cs="Arial"/>
                <w:sz w:val="20"/>
                <w:szCs w:val="20"/>
              </w:rPr>
            </w:pPr>
            <w:r w:rsidRPr="00563EB7">
              <w:rPr>
                <w:rFonts w:ascii="Arial" w:hAnsi="Arial" w:cs="Arial"/>
                <w:sz w:val="20"/>
                <w:szCs w:val="20"/>
              </w:rPr>
              <w:t>Unknown, 2.08</w:t>
            </w:r>
          </w:p>
          <w:p w:rsidR="00F537B6" w:rsidRPr="00563EB7" w:rsidRDefault="00F537B6" w:rsidP="00F537B6">
            <w:pPr>
              <w:rPr>
                <w:rFonts w:ascii="Arial" w:hAnsi="Arial" w:cs="Arial"/>
                <w:sz w:val="20"/>
                <w:szCs w:val="20"/>
              </w:rPr>
            </w:pPr>
            <w:r w:rsidRPr="00563EB7">
              <w:rPr>
                <w:rFonts w:ascii="Arial" w:hAnsi="Arial" w:cs="Arial"/>
                <w:sz w:val="20"/>
                <w:szCs w:val="20"/>
              </w:rPr>
              <w:t>Asian, 1.21</w:t>
            </w:r>
          </w:p>
          <w:p w:rsidR="00F537B6" w:rsidRPr="00563EB7" w:rsidRDefault="00F537B6" w:rsidP="00F537B6">
            <w:pPr>
              <w:rPr>
                <w:rFonts w:ascii="Arial" w:hAnsi="Arial" w:cs="Arial"/>
                <w:sz w:val="20"/>
                <w:szCs w:val="20"/>
              </w:rPr>
            </w:pPr>
            <w:r w:rsidRPr="00563EB7">
              <w:rPr>
                <w:rFonts w:ascii="Arial" w:hAnsi="Arial" w:cs="Arial"/>
                <w:sz w:val="20"/>
                <w:szCs w:val="20"/>
              </w:rPr>
              <w:t>Native Hawaiian or Pacific</w:t>
            </w:r>
            <w:r w:rsidRPr="00563EB7">
              <w:rPr>
                <w:rFonts w:ascii="Arial" w:hAnsi="Arial" w:cs="Arial"/>
                <w:sz w:val="20"/>
                <w:szCs w:val="20"/>
              </w:rPr>
              <w:br/>
              <w:t>Islander, 0.58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375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Newman, </w:t>
            </w:r>
            <w:proofErr w:type="spellStart"/>
            <w:r w:rsidRPr="00563EB7">
              <w:rPr>
                <w:rFonts w:ascii="Arial" w:hAnsi="Arial" w:cs="Arial"/>
                <w:sz w:val="20"/>
                <w:szCs w:val="20"/>
              </w:rPr>
              <w:t>Reesman</w:t>
            </w:r>
            <w:proofErr w:type="spellEnd"/>
            <w:r w:rsidRPr="00563EB7">
              <w:rPr>
                <w:rFonts w:ascii="Arial" w:hAnsi="Arial" w:cs="Arial"/>
                <w:sz w:val="20"/>
                <w:szCs w:val="20"/>
              </w:rPr>
              <w:t xml:space="preserve">, Vaughan, &amp; </w:t>
            </w:r>
            <w:proofErr w:type="spellStart"/>
            <w:r w:rsidRPr="00563EB7">
              <w:rPr>
                <w:rFonts w:ascii="Arial" w:hAnsi="Arial" w:cs="Arial"/>
                <w:sz w:val="20"/>
                <w:szCs w:val="20"/>
              </w:rPr>
              <w:t>Gioia</w:t>
            </w:r>
            <w:proofErr w:type="spellEnd"/>
            <w:r w:rsidRPr="00563EB7">
              <w:rPr>
                <w:rFonts w:ascii="Arial" w:hAnsi="Arial" w:cs="Arial"/>
                <w:sz w:val="20"/>
                <w:szCs w:val="20"/>
              </w:rPr>
              <w:t>,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22826oab47","properties":{"formattedCitation":"[96]","plainCitation":"[96]"},"citationItems":[{"id":4830,"uris":["http://zotero.org/users/1562642/items/BJ5PAF2R"],"uri":["http://zotero.org/users/1562642/items/BJ5PAF2R"],"itemData":{"id":4830,"type":"article-journal","title":"Assessment of processing speed in children with mild TBI: A 'first look' at the validity of pediatric ImPACT","container-title":"The Clinical Neuropsychologist","page":"779-793","volume":"27","issue":"5","source":"EBSCOhost","archive_location":"2013-23099-006","abstract":"Deficit in the speed of cognitive processing is a commonly identified neuropsychological change in children recovering from a mild TBI. However, there are few validated child assessment instruments that allow for serial assessment over the course of recovery in this population. Pediatric ImPACT is a novel measure that purports to assess cognitive speed, learning, and efficiency in this population. The current study sought to validate the use of this new measure by comparing it to traditional paper and pencil measures of processing speed. Method: One hundred and sixty-four children (71% male) age 5–12 with mild TBI evaluated in an outpatient concussion clinic were administered Pediatric ImPACT and other neuropsychological test measures as part of a flexible test battery. Results: Performance on the Response Speed Composite of Pediatric ImPACT was more strongly associated with other measures of cognitive processing speed, than with measures of immediate/working memory and learning/memory in this sample of injured children. Conclusions: There is preliminary support for convergent and discriminant validity of Pediatric ImPACT as a measure for use in post-concussion evaluations of processing speed in children. (PsycINFO Database Record (c) 2013 APA, all rights reserved). (journal abstract)","DOI":"10.1080/13854046.2013.789552","ISSN":"1385-4046","shortTitle":"Assessment of processing speed in children with mild TBI","journalAbbreviation":"The Clinical Neuropsychologist","author":[{"family":"Newman","given":"Julie B."},{"family":"Reesman","given":"Jennifer H."},{"family":"Vaughan","given":"Christopher G."},{"family":"Gioia","given":"Gerard A."}],"issued":{"date-parts":[["2013",7]]}}}],"schema":"https://github.com/citation-style-language/schema/raw/master/csl-citation.json"}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184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22.28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14.13</w:t>
            </w:r>
          </w:p>
          <w:p w:rsidR="00F537B6" w:rsidRPr="00563EB7" w:rsidRDefault="00F537B6" w:rsidP="00F537B6">
            <w:pPr>
              <w:rPr>
                <w:rFonts w:ascii="Arial" w:hAnsi="Arial" w:cs="Arial"/>
                <w:sz w:val="20"/>
                <w:szCs w:val="20"/>
              </w:rPr>
            </w:pPr>
            <w:r w:rsidRPr="00563EB7">
              <w:rPr>
                <w:rFonts w:ascii="Arial" w:hAnsi="Arial" w:cs="Arial"/>
                <w:sz w:val="20"/>
                <w:szCs w:val="20"/>
              </w:rPr>
              <w:t>Mixed or multiple, 4.35</w:t>
            </w:r>
          </w:p>
          <w:p w:rsidR="00F537B6" w:rsidRPr="00563EB7" w:rsidRDefault="00F537B6" w:rsidP="00F537B6">
            <w:pPr>
              <w:rPr>
                <w:rFonts w:ascii="Arial" w:hAnsi="Arial" w:cs="Arial"/>
                <w:sz w:val="20"/>
                <w:szCs w:val="20"/>
              </w:rPr>
            </w:pPr>
            <w:r w:rsidRPr="00563EB7">
              <w:rPr>
                <w:rFonts w:ascii="Arial" w:hAnsi="Arial" w:cs="Arial"/>
                <w:sz w:val="20"/>
                <w:szCs w:val="20"/>
              </w:rPr>
              <w:t>Asian or Pacific Islander, 0.54</w:t>
            </w:r>
          </w:p>
          <w:p w:rsidR="00F537B6" w:rsidRPr="00563EB7" w:rsidRDefault="00F537B6" w:rsidP="00F537B6">
            <w:pPr>
              <w:rPr>
                <w:rFonts w:ascii="Arial" w:hAnsi="Arial" w:cs="Arial"/>
                <w:sz w:val="20"/>
                <w:szCs w:val="20"/>
              </w:rPr>
            </w:pPr>
            <w:r w:rsidRPr="00563EB7">
              <w:rPr>
                <w:rFonts w:ascii="Arial" w:hAnsi="Arial" w:cs="Arial"/>
                <w:sz w:val="20"/>
                <w:szCs w:val="20"/>
              </w:rPr>
              <w:t>Hispanic, 0.54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325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Ord, Boettcher, </w:t>
            </w:r>
            <w:proofErr w:type="spellStart"/>
            <w:r w:rsidRPr="00563EB7">
              <w:rPr>
                <w:rFonts w:ascii="Arial" w:hAnsi="Arial" w:cs="Arial"/>
                <w:sz w:val="20"/>
                <w:szCs w:val="20"/>
              </w:rPr>
              <w:t>Greve</w:t>
            </w:r>
            <w:proofErr w:type="spellEnd"/>
            <w:r w:rsidRPr="00563EB7">
              <w:rPr>
                <w:rFonts w:ascii="Arial" w:hAnsi="Arial" w:cs="Arial"/>
                <w:sz w:val="20"/>
                <w:szCs w:val="20"/>
              </w:rPr>
              <w:t xml:space="preserve">, &amp; </w:t>
            </w:r>
            <w:proofErr w:type="spellStart"/>
            <w:r w:rsidRPr="00563EB7">
              <w:rPr>
                <w:rFonts w:ascii="Arial" w:hAnsi="Arial" w:cs="Arial"/>
                <w:sz w:val="20"/>
                <w:szCs w:val="20"/>
              </w:rPr>
              <w:t>Bianchini</w:t>
            </w:r>
            <w:proofErr w:type="spellEnd"/>
            <w:r w:rsidRPr="00563EB7">
              <w:rPr>
                <w:rFonts w:ascii="Arial" w:hAnsi="Arial" w:cs="Arial"/>
                <w:sz w:val="20"/>
                <w:szCs w:val="20"/>
              </w:rPr>
              <w:t>, 2010</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f6haq8n0f","properties":{"formattedCitation":"[97]","plainCitation":"[97]"},"citationItems":[{"id":4514,"uris":["http://zotero.org/users/1562642/items/4AT9IX5S"],"uri":["http://zotero.org/users/1562642/items/4AT9IX5S"],"itemData":{"id":4514,"type":"article-journal","title":"Detection of malingering in mild traumatic brain injury with the Conners' Continuous Performance Test-II","container-title":"Journal of Clinical and Experimental Neuropsychology","page":"380-387","volume":"32","issue":"4","source":"EBSCOhost","archive_location":"2010-07814-005","abstract":"Classification accuracy for the detection of malingered neurocognitive dysfunction (MND) in mild traumatic brain injury (TBI) is examined for two selected measures from the Conners' Continuous Performance Test-II (CPT-II) using criterion-groups validation. Individual and joint classification accuracies are presented for Omissions and Hit Reaction Time Standard Error across a range of scores comparing mild TBI malingering (n = 27), mild TBI not-malingering (n = 31), and moderate-to-severe (M/S) TBI not-malingering (n = 24) groups. At cutoffs associated with at least 95% specificity in both mild and M/S TBI, sensitivity to MND in mild TBI was 30% for Omissions, 41% for Hit Reaction Time Standard Error, and 44% using both indicators. These results support the use of the CPT-II as a reliable indicator for the detection of malingering in TBI when used as part of a comprehensive diagnostic system. (PsycINFO Database Record (c) 2014 APA, all rights reserved). (journal abstract)","DOI":"10.1080/13803390903066881","ISSN":"1380-3395","journalAbbreviation":"Journal of Clinical and Experimental Neuropsychology","author":[{"family":"Ord","given":"Jonathan S."},{"family":"Boettcher","given":"Anneliese C."},{"family":"Greve","given":"Kevin W."},{"family":"Bianchini","given":"Kevin J."}],"issued":{"date-parts":[["2010",4]]}}}],"schema":"https://github.com/citation-style-language/schema/raw/master/csl-citation.json"}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2010</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71.43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416</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Ott</w:t>
            </w:r>
            <w:proofErr w:type="spellEnd"/>
            <w:r w:rsidRPr="00563EB7">
              <w:rPr>
                <w:rFonts w:ascii="Arial" w:hAnsi="Arial" w:cs="Arial"/>
                <w:sz w:val="20"/>
                <w:szCs w:val="20"/>
              </w:rPr>
              <w:t>, Schatz, Solomon, &amp; Ryan,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lgj2r1h0a","properties":{"formattedCitation":"[98]","plainCitation":"[98]"},"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23775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Hispanic, 49.72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456</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Panenka</w:t>
            </w:r>
            <w:proofErr w:type="spellEnd"/>
            <w:r w:rsidRPr="00563EB7">
              <w:rPr>
                <w:rFonts w:ascii="Arial" w:hAnsi="Arial" w:cs="Arial"/>
                <w:sz w:val="20"/>
                <w:szCs w:val="20"/>
              </w:rPr>
              <w:t xml:space="preserve">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18gteget6i","properties":{"formattedCitation":"[99]","plainCitation":"[99]"},"citationItems":[{"id":4841,"uris":["http://zotero.org/users/1562642/items/28ZABURW"],"uri":["http://zotero.org/users/1562642/items/28ZABURW"],"itemData":{"id":4841,"type":"article-journal","title":"Neuropsychological outcome and diffusion tensor imaging in complicated versus uncomplicated mild traumatic brain injury","container-title":"PLoS ONE","page":"e0122746","volume":"10","issue":"4","source":"EBSCOhost","archive_location":"2015-21947-001","abstract":"This study examined whether intracranial neuroimaging abnormalities in those with mild traumatic brain injury (MTBI) (i.e., “complicated” MTBIs) are associated with worse subacute outcomes as measured by cognitive testing, symptom ratings, and/or diffusion tensor imaging (DTI). We hypothesized that (i) as a group, participants with complicated MTBIs would report greater symptoms and have worse neurocognitive outcomes than those with uncomplicated MTBI, and (ii) as a group, participants with complicated MTBIs would show more Diffusion Tensor Imaging (DTI) abnormalities. Participants were 62 adults with MTBIs (31 complicated and 31 uncomplicated) who completed neurocognitive testing, symptom ratings, and DTI on a 3T MRI scanner approximately 6-8 weeks post injury. There were no statistically significant differences between groups on symptom ratings or on a broad range of neuropsychological tests. When comparing the groups using tract-based spatial statistics for DTI, no significant difference was found for axial diffusivity or mean diffusivity. However, several brain regions demonstrated increased radial diffusivity (purported to measure myelin integrity), and decreased fractional anisotropy in the complicated group compared with the uncomplicated group. Finally, when we extended the DTI analysis, using a multivariate atlas based approach, to 32 orthopedic trauma controls (TC), the findings did not reveal significantly more areas of abnormal DTI signal in the complicated vs. uncomplicated groups, although both MTBI groups had a greater number of areas with increased radial diffusivity compared with the trauma controls. This study illustrates that macrostructural neuroimaging changes following MTBI are associated with measurable changes in DTI signal. Of note, however, the division of MTBI into complicated and uncomplicated subtypes did not predict worse clinical outcome at 6-8 weeks post injury. (PsycINFO Database Record (c) 2015 APA, all rights reserved). (journal abstract)","DOI":"10.1371/journal.pone.0122746","ISSN":"1932-6203","journalAbbreviation":"PLoS ONE","author":[{"family":"Panenka","given":"William J."},{"family":"Lange","given":"Rael T."},{"family":"Bouix","given":"Sylvain"},{"family":"Shewchuk","given":"Jason R."},{"family":"Heran","given":"Manraj K. S."},{"family":"Brubacher","given":"Jeffrey R."},{"family":"Eckbo","given":"Ryan"},{"family":"Shenton","given":"Martha E."},{"family":"Iverson","given":"Grant L."}],"issued":{"date-parts":[["2015"]]}}}],"schema":"https://github.com/citation-style-language/schema/raw/master/csl-citation.json"}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[99]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Canada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55.32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315</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Paré</w:t>
            </w:r>
            <w:proofErr w:type="spellEnd"/>
            <w:r w:rsidRPr="00563EB7">
              <w:rPr>
                <w:rFonts w:ascii="Arial" w:hAnsi="Arial" w:cs="Arial"/>
                <w:sz w:val="20"/>
                <w:szCs w:val="20"/>
              </w:rPr>
              <w:t xml:space="preserve">, Rabin, </w:t>
            </w:r>
            <w:proofErr w:type="spellStart"/>
            <w:r w:rsidRPr="00563EB7">
              <w:rPr>
                <w:rFonts w:ascii="Arial" w:hAnsi="Arial" w:cs="Arial"/>
                <w:sz w:val="20"/>
                <w:szCs w:val="20"/>
              </w:rPr>
              <w:t>Fogel</w:t>
            </w:r>
            <w:proofErr w:type="spellEnd"/>
            <w:r w:rsidRPr="00563EB7">
              <w:rPr>
                <w:rFonts w:ascii="Arial" w:hAnsi="Arial" w:cs="Arial"/>
                <w:sz w:val="20"/>
                <w:szCs w:val="20"/>
              </w:rPr>
              <w:t xml:space="preserve">, &amp; </w:t>
            </w:r>
            <w:proofErr w:type="spellStart"/>
            <w:r w:rsidRPr="00563EB7">
              <w:rPr>
                <w:rFonts w:ascii="Arial" w:hAnsi="Arial" w:cs="Arial"/>
                <w:sz w:val="20"/>
                <w:szCs w:val="20"/>
              </w:rPr>
              <w:t>Pépin</w:t>
            </w:r>
            <w:proofErr w:type="spellEnd"/>
            <w:r w:rsidRPr="00563EB7">
              <w:rPr>
                <w:rFonts w:ascii="Arial" w:hAnsi="Arial" w:cs="Arial"/>
                <w:sz w:val="20"/>
                <w:szCs w:val="20"/>
              </w:rPr>
              <w:t>, 2009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ai30bnjbb","properties":{"formattedCitation":"[100]","plainCitation":"[100]"},"citationItems":[{"id":5169,"uris":["http://zotero.org/users/1562642/items/UFZ7RWUC"],"uri":["http://zotero.org/users/1562642/items/UFZ7RWUC"],"itemData":{"id":5169,"type":"article-journal","title":"Mild traumatic brain injury and its sequelae: Characterisation of divided attention deficits","container-title":"Neuropsychological Rehabilitation","page":"110-137","volume":"19","issue":"1","source":"EBSCOhost","archive_location":"2008-19140-007","abstract":"Deficits in divided attention occur after a mild traumatic brain injury (MTBI) but many extant tasks lack sensitivity for detecting subtle cognitive difficulties. We use the Test d’Attention Partagée Informatisé (TAPI), a novel dual-task paradigm, to investigate the impact of MTBI on the ability to divide attention between two stimuli sources. Individuals with MTBI (n = 37) were evaluated within the first week following head trauma and at three months post-injury. A healthy control (HC) group (n = 79) was also assessed. The primary outcome was reaction time and there were three different conditions that included visual target detection and auditory digit span tasks. Analyses utilized repeated measures ANOVA and ANCOVA models that adjusted for relevant variables including post-concussive and affective symptoms. Results indicated that at both baseline and follow-up, the MTBI group had significantly slower reaction time than the HC group. Also, both the MTBI and HC groups had slower reaction times as participants progressed through each of the more challenging TAPI conditions. This study supports the usefulness of this novel instrument and allows clinicians and researchers to assess for subtle divided attention deficits that may persist in those with MTBI even three months post-injury. (PsycINFO Database Record (c) 2015 APA, all rights reserved). (journal abstract)","DOI":"10.1080/09602010802106486","ISSN":"0960-2011","shortTitle":"Mild traumatic brain injury and its sequelae","journalAbbreviation":"Neuropsychological Rehabilitation","author":[{"family":"Paré","given":"Nadia"},{"family":"Rabin","given":"Laura A."},{"family":"Fogel","given":"Joshua"},{"family":"Pépin","given":"Michel"}],"issued":{"date-parts":[["2009",1]]}}}],"schema":"https://github.com/citation-style-language/schema/raw/master/csl-citation.json"}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Canada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339</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Ponsford</w:t>
            </w:r>
            <w:proofErr w:type="spellEnd"/>
            <w:r w:rsidRPr="00563EB7">
              <w:rPr>
                <w:rFonts w:ascii="Arial" w:hAnsi="Arial" w:cs="Arial"/>
                <w:sz w:val="20"/>
                <w:szCs w:val="20"/>
              </w:rPr>
              <w:t xml:space="preserve">, Cameron, Fitzgerald, Grant, &amp; </w:t>
            </w:r>
            <w:proofErr w:type="spellStart"/>
            <w:r w:rsidRPr="00563EB7">
              <w:rPr>
                <w:rFonts w:ascii="Arial" w:hAnsi="Arial" w:cs="Arial"/>
                <w:sz w:val="20"/>
                <w:szCs w:val="20"/>
              </w:rPr>
              <w:t>Mikocka-Walus</w:t>
            </w:r>
            <w:proofErr w:type="spellEnd"/>
            <w:r w:rsidRPr="00563EB7">
              <w:rPr>
                <w:rFonts w:ascii="Arial" w:hAnsi="Arial" w:cs="Arial"/>
                <w:sz w:val="20"/>
                <w:szCs w:val="20"/>
              </w:rPr>
              <w:t>, 2011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qed4hsusd","properties":{"formattedCitation":"[101]","plainCitation":"[101]"},"citationItems":[{"id":5177,"uris":["http://zotero.org/users/1562642/items/TPAZUUWB"],"uri":["http://zotero.org/users/1562642/items/TPAZUUWB"],"itemData":{"id":5177,"type":"article-journal","title":"Long-term outcomes after uncomplicated mild traumatic brain injury: A comparison with trauma controls","container-title":"Journal of Neurotrauma","page":"937-946","volume":"28","issue":"6","source":"EBSCOhost","archive_location":"2011-18481-008","abstract":"The question as to whether mild traumatic brain injury (mTBI) results in persisting sequelae over and above those experienced by individuals sustaining general trauma remains controversial. This prospective study aimed to document outcomes 1 week and 3 months post-injury following mTBI assessed in the emergency department (ED) of a major adult trauma center. One hundred and twenty-three patients presenting with uncomplicated mTBI and 100 matched trauma controls completed measures of post-concussive symptoms and cognitive performance (Immediate Post-Concussion Assessment and Cognitive Testing battery; ImPACT) and pre-injury health-related quality of life (SF-36) in the ED. These measures together with measures of psychiatric status (the Mini-International Neuropsychiatric Interview [MINI]) pre- and post-injury, the Hospital Anxiety and Depression Scale, Visual Analogue Scale for Pain, Functional Assessment Questionnaire, and PTSD Checklist-Specific, were re-administered at follow-up. Participants with mTBI showed significantly more severe post-concussive symptoms in the ED and at 1 week post-injury. They performed more poorly than controls on the Visual Memory subtest of the ImPACT at 1 week and 3 months post-injury. Both the mTBI and control groups recovered well physically, and most were employed 3 months post-injury. There were no significant group differences in psychiatric function. However, the group with mild TBI was more likely to report ongoing memory and concentration problems in daily activities. Further investigation of factors associated with these ongoing problems is warranted. (PsycINFO Database Record (c) 2015 APA, all rights reserved). (journal abstract)","DOI":"10.1089/neu.2010.1516","ISSN":"0897-7151","shortTitle":"Long-term outcomes after uncomplicated mild traumatic brain injury","journalAbbreviation":"Journal of Neurotrauma","author":[{"family":"Ponsford","given":"Jennie L."},{"family":"Cameron","given":"Peter"},{"family":"Fitzgerald","given":"Mark"},{"family":"Grant","given":"Michele"},{"family":"Mikocka-Walus","given":"Antonina"}],"issued":{"date-parts":[["2011"]]}}}],"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Australia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223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Australia or New Zealand, 82.06</w:t>
            </w:r>
          </w:p>
          <w:p w:rsidR="00F537B6" w:rsidRPr="00563EB7" w:rsidRDefault="00F537B6" w:rsidP="00F537B6">
            <w:pPr>
              <w:rPr>
                <w:rFonts w:ascii="Arial" w:hAnsi="Arial" w:cs="Arial"/>
                <w:sz w:val="20"/>
                <w:szCs w:val="20"/>
              </w:rPr>
            </w:pPr>
            <w:r w:rsidRPr="00563EB7">
              <w:rPr>
                <w:rFonts w:ascii="Arial" w:hAnsi="Arial" w:cs="Arial"/>
                <w:sz w:val="20"/>
                <w:szCs w:val="20"/>
              </w:rPr>
              <w:t>United Kingdom, 4.48</w:t>
            </w:r>
          </w:p>
          <w:p w:rsidR="00F537B6" w:rsidRPr="00563EB7" w:rsidRDefault="00F537B6" w:rsidP="00F537B6">
            <w:pPr>
              <w:rPr>
                <w:rFonts w:ascii="Arial" w:hAnsi="Arial" w:cs="Arial"/>
                <w:sz w:val="20"/>
                <w:szCs w:val="20"/>
              </w:rPr>
            </w:pPr>
            <w:r w:rsidRPr="00563EB7">
              <w:rPr>
                <w:rFonts w:ascii="Arial" w:hAnsi="Arial" w:cs="Arial"/>
                <w:sz w:val="20"/>
                <w:szCs w:val="20"/>
              </w:rPr>
              <w:t>India, 3.14</w:t>
            </w:r>
          </w:p>
          <w:p w:rsidR="00F537B6" w:rsidRPr="00563EB7" w:rsidRDefault="00F537B6" w:rsidP="00F537B6">
            <w:pPr>
              <w:rPr>
                <w:rFonts w:ascii="Arial" w:hAnsi="Arial" w:cs="Arial"/>
                <w:sz w:val="20"/>
                <w:szCs w:val="20"/>
              </w:rPr>
            </w:pPr>
            <w:r w:rsidRPr="00563EB7">
              <w:rPr>
                <w:rFonts w:ascii="Arial" w:hAnsi="Arial" w:cs="Arial"/>
                <w:sz w:val="20"/>
                <w:szCs w:val="20"/>
              </w:rPr>
              <w:t>Other European, 2.24</w:t>
            </w:r>
          </w:p>
          <w:p w:rsidR="00F537B6" w:rsidRPr="00563EB7" w:rsidRDefault="00F537B6" w:rsidP="00F537B6">
            <w:pPr>
              <w:rPr>
                <w:rFonts w:ascii="Arial" w:hAnsi="Arial" w:cs="Arial"/>
                <w:sz w:val="20"/>
                <w:szCs w:val="20"/>
              </w:rPr>
            </w:pPr>
            <w:r w:rsidRPr="00563EB7">
              <w:rPr>
                <w:rFonts w:ascii="Arial" w:hAnsi="Arial" w:cs="Arial"/>
                <w:sz w:val="20"/>
                <w:szCs w:val="20"/>
              </w:rPr>
              <w:t>Brazil, 0.45</w:t>
            </w:r>
          </w:p>
          <w:p w:rsidR="00F537B6" w:rsidRPr="00563EB7" w:rsidRDefault="00F537B6" w:rsidP="00F537B6">
            <w:pPr>
              <w:rPr>
                <w:rFonts w:ascii="Arial" w:hAnsi="Arial" w:cs="Arial"/>
                <w:sz w:val="20"/>
                <w:szCs w:val="20"/>
              </w:rPr>
            </w:pPr>
            <w:r w:rsidRPr="00563EB7">
              <w:rPr>
                <w:rFonts w:ascii="Arial" w:hAnsi="Arial" w:cs="Arial"/>
                <w:sz w:val="20"/>
                <w:szCs w:val="20"/>
              </w:rPr>
              <w:t>Egypt, 0.45</w:t>
            </w:r>
          </w:p>
          <w:p w:rsidR="00F537B6" w:rsidRPr="00563EB7" w:rsidRDefault="00F537B6" w:rsidP="00F537B6">
            <w:pPr>
              <w:rPr>
                <w:rFonts w:ascii="Arial" w:hAnsi="Arial" w:cs="Arial"/>
                <w:sz w:val="20"/>
                <w:szCs w:val="20"/>
              </w:rPr>
            </w:pPr>
            <w:r w:rsidRPr="00563EB7">
              <w:rPr>
                <w:rFonts w:ascii="Arial" w:hAnsi="Arial" w:cs="Arial"/>
                <w:sz w:val="20"/>
                <w:szCs w:val="20"/>
              </w:rPr>
              <w:t>Indonesia, 0.45</w:t>
            </w:r>
          </w:p>
          <w:p w:rsidR="00F537B6" w:rsidRPr="00563EB7" w:rsidRDefault="00F537B6" w:rsidP="00F537B6">
            <w:pPr>
              <w:rPr>
                <w:rFonts w:ascii="Arial" w:hAnsi="Arial" w:cs="Arial"/>
                <w:sz w:val="20"/>
                <w:szCs w:val="20"/>
              </w:rPr>
            </w:pPr>
            <w:r w:rsidRPr="00563EB7">
              <w:rPr>
                <w:rFonts w:ascii="Arial" w:hAnsi="Arial" w:cs="Arial"/>
                <w:sz w:val="20"/>
                <w:szCs w:val="20"/>
              </w:rPr>
              <w:t>Lebanon, 0.45</w:t>
            </w:r>
          </w:p>
          <w:p w:rsidR="00F537B6" w:rsidRPr="00563EB7" w:rsidRDefault="00F537B6" w:rsidP="00F537B6">
            <w:pPr>
              <w:rPr>
                <w:rFonts w:ascii="Arial" w:hAnsi="Arial" w:cs="Arial"/>
                <w:sz w:val="20"/>
                <w:szCs w:val="20"/>
              </w:rPr>
            </w:pPr>
            <w:r w:rsidRPr="00563EB7">
              <w:rPr>
                <w:rFonts w:ascii="Arial" w:hAnsi="Arial" w:cs="Arial"/>
                <w:sz w:val="20"/>
                <w:szCs w:val="20"/>
              </w:rPr>
              <w:t>Singapore, 0.45</w:t>
            </w:r>
          </w:p>
          <w:p w:rsidR="00F537B6" w:rsidRPr="00563EB7" w:rsidRDefault="00F537B6" w:rsidP="00F537B6">
            <w:pPr>
              <w:rPr>
                <w:rFonts w:ascii="Arial" w:hAnsi="Arial" w:cs="Arial"/>
                <w:sz w:val="20"/>
                <w:szCs w:val="20"/>
              </w:rPr>
            </w:pPr>
            <w:r w:rsidRPr="00563EB7">
              <w:rPr>
                <w:rFonts w:ascii="Arial" w:hAnsi="Arial" w:cs="Arial"/>
                <w:sz w:val="20"/>
                <w:szCs w:val="20"/>
              </w:rPr>
              <w:t>South African, 0.45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422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Proto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dhhruomam","properties":{"formattedCitation":"[102]","plainCitation":"[102]"},"citationItems":[{"id":5183,"uris":["http://zotero.org/users/1562642/items/RI7K9I8V"],"uri":["http://zotero.org/users/1562642/items/RI7K9I8V"],"itemData":{"id":5183,"type":"article-journal","title":"The dangers of failing one or more performance validity tests in individuals claiming mild traumatic brain injury-related postconcussive symptoms","container-title":"Archives of Clinical Neuropsychology","page":"614-624","volume":"29","issue":"7","source":"EBSCOhost","archive_location":"2014-45123-002","abstract":"Evaluating performance validity is important in any neuropsychological assessment, and prior research recommends a threshold for invalid performance of two or more performance validity test (PVT) failures. However, extant findings also indicate that failing a single PVT is associated with significant changes in neuropsychological performance. The current study sought to determine if there is an appreciable difference in neuropsychological testing results between individuals failing different numbers of PVTs. In a sample of veterans with reported histories of mild traumatic brain injury (mTBI; N = 178), analyses revealed that individuals failing only one PVT performed significantly worse than individuals failing no PVTs on measures of verbal learning and memory, processing speed, and cognitive flexibility. Additionally, individuals failing one versus two PVTs significantly differed only on delayed free recall scores. The current findings suggest that failure of even one PVT should elicit consideration of performance invalidity, particularly in individuals with histories of mTBI. (PsycINFO Database Record (c) 2014 APA, all rights reserved). (journal abstract)","DOI":"10.1093/arclin/acu044","ISSN":"0887-6177","journalAbbreviation":"Archives of Clinical Neuropsychology","author":[{"family":"Proto","given":"Daniel A."},{"family":"Pastorek","given":"Nicholas J."},{"family":"Miller","given":"Brian I."},{"family":"Romesser","given":"Jennifer M."},{"family":"Sim","given":"Anita H."},{"family":"Linck","given":"John F."}],"issued":{"date-parts":[["2014"]]}}}],"schema":"https://github.com/citation-style-language/schema/raw/master/csl-citation.json"}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178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67.42</w:t>
            </w:r>
          </w:p>
          <w:p w:rsidR="00F537B6" w:rsidRPr="00563EB7" w:rsidRDefault="00F537B6" w:rsidP="00F537B6">
            <w:pPr>
              <w:rPr>
                <w:rFonts w:ascii="Arial" w:hAnsi="Arial" w:cs="Arial"/>
                <w:sz w:val="20"/>
                <w:szCs w:val="20"/>
              </w:rPr>
            </w:pPr>
            <w:r w:rsidRPr="00563EB7">
              <w:rPr>
                <w:rFonts w:ascii="Arial" w:hAnsi="Arial" w:cs="Arial"/>
                <w:sz w:val="20"/>
                <w:szCs w:val="20"/>
              </w:rPr>
              <w:t>Latino, 15.73</w:t>
            </w:r>
          </w:p>
          <w:p w:rsidR="00F537B6" w:rsidRPr="00563EB7" w:rsidRDefault="00F537B6" w:rsidP="00F537B6">
            <w:pPr>
              <w:rPr>
                <w:rFonts w:ascii="Arial" w:hAnsi="Arial" w:cs="Arial"/>
                <w:sz w:val="20"/>
                <w:szCs w:val="20"/>
              </w:rPr>
            </w:pPr>
            <w:r w:rsidRPr="00563EB7">
              <w:rPr>
                <w:rFonts w:ascii="Arial" w:hAnsi="Arial" w:cs="Arial"/>
                <w:sz w:val="20"/>
                <w:szCs w:val="20"/>
              </w:rPr>
              <w:t>Black, 12.92</w:t>
            </w:r>
          </w:p>
          <w:p w:rsidR="00F537B6" w:rsidRPr="00563EB7" w:rsidRDefault="00F537B6" w:rsidP="00F537B6">
            <w:pPr>
              <w:rPr>
                <w:rFonts w:ascii="Arial" w:hAnsi="Arial" w:cs="Arial"/>
                <w:sz w:val="20"/>
                <w:szCs w:val="20"/>
              </w:rPr>
            </w:pPr>
            <w:r w:rsidRPr="00563EB7">
              <w:rPr>
                <w:rFonts w:ascii="Arial" w:hAnsi="Arial" w:cs="Arial"/>
                <w:sz w:val="20"/>
                <w:szCs w:val="20"/>
              </w:rPr>
              <w:t>Asian, 2.81</w:t>
            </w:r>
          </w:p>
          <w:p w:rsidR="00F537B6" w:rsidRPr="00563EB7" w:rsidRDefault="00F537B6" w:rsidP="00F537B6">
            <w:pPr>
              <w:rPr>
                <w:rFonts w:ascii="Arial" w:hAnsi="Arial" w:cs="Arial"/>
                <w:sz w:val="20"/>
                <w:szCs w:val="20"/>
              </w:rPr>
            </w:pPr>
            <w:r w:rsidRPr="00563EB7">
              <w:rPr>
                <w:rFonts w:ascii="Arial" w:hAnsi="Arial" w:cs="Arial"/>
                <w:sz w:val="20"/>
                <w:szCs w:val="20"/>
              </w:rPr>
              <w:t>Other, 1.12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423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Provance</w:t>
            </w:r>
            <w:proofErr w:type="spellEnd"/>
            <w:r w:rsidRPr="00563EB7">
              <w:rPr>
                <w:rFonts w:ascii="Arial" w:hAnsi="Arial" w:cs="Arial"/>
                <w:sz w:val="20"/>
                <w:szCs w:val="20"/>
              </w:rPr>
              <w:t xml:space="preserve">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51307q28","properties":{"formattedCitation":"[103]","plainCitation":"[103]"},"citationItems":[{"id":1938,"uris":["http://zotero.org/users/1562642/items/FJA45RDQ"],"uri":["http://zotero.org/users/1562642/items/FJA45RDQ"],"itemData":{"id":1938,"type":"article-journal","title":"The relationship between initial physical examination findings and failure on objective validity testing during neuropsychological evaluation after pediatric mild traumatic brain injury","container-title":"Sports Health","page":"410-415","volume":"6","issue":"5","source":"EBSCOhost","archive_location":"25177417","abstract":"Background: The symptomatology after mild traumatic brain injury (mTBI) is complex as symptoms are subjective and nonspecific. It is important to differentiate symptoms as neurologically based or caused by noninjury factors. Symptom exaggeration has been found to influence postinjury presentation, and objective validity tests are used to help differentiate these cases. This study examines how concussed patients seen for initial medical workup may present with noncredible effort during follow-up neuropsychological examination and identifies physical findings during evaluation that best predict noncredible performance.; Hypothesis: A portion of pediatric patients will demonstrate noncredible effort during neuropsychological testing after mTBI, predicted by failure of certain vestibular and cognitive tests during initial examination.; Study Design: Retrospective cohort.; Level Of Evidence: Level 4.; Methods: Participants (n = 80) underwent evaluation by a sports medicine physician ≤3 months from injury, were subsequently seen for a neuropsychological examination, and completed the Medical Symptom Validity Test (MSVT). Variables included results of a mental status examination (orientation), serial 7s examination, Romberg test, and heel-to-toe walking test. The primary outcome variable of interest was pass/fail of the MSVT.; Results: Of the participants, 51% were male and 49% were female. Eighteen of 80 (23%) failed the MSVT. Based on univariable logistic regression analysis, the outcomes of the Romberg test (P = 0.0037) and heel-to-toe walking test(P = 0.0066) were identified as significant independent predictors of MSVT failure. In a multivariable model, outcome of Romberg test was the only significant predictor of MSVT failure. The probability of MSVT failure was 66.7% (95% CI, 33.3% to 88.9%) when a subject failed the Romberg test.; Conclusion: A meaningful percentage of pediatric subjects present evidence of noncredible performance during neuropsychological examination after mTBI. Initial examination findings in some cases may represent symptom exaggeration.;","DOI":"10.1177/1941738114544444","ISSN":"1941-7381","journalAbbreviation":"Sports Health","author":[{"family":"Provance","given":"Aaron J."},{"family":"Terhune","given":"E. Bailey"},{"family":"Cooley","given":"Christine"},{"family":"Carry","given":"Patrick M."},{"family":"Connery","given":"Amy K."},{"family":"Engelman","given":"Glenn H."},{"family":"Kirkwood","given":"Michael W."}],"issued":{"date-parts":[["2014"]]}}}],"schema":"https://github.com/citation-style-language/schema/raw/master/csl-citation.json"}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68.75</w:t>
            </w:r>
          </w:p>
          <w:p w:rsidR="00F537B6" w:rsidRPr="00563EB7" w:rsidRDefault="00F537B6" w:rsidP="00F537B6">
            <w:pPr>
              <w:rPr>
                <w:rFonts w:ascii="Arial" w:hAnsi="Arial" w:cs="Arial"/>
                <w:sz w:val="20"/>
                <w:szCs w:val="20"/>
              </w:rPr>
            </w:pPr>
            <w:r w:rsidRPr="00563EB7">
              <w:rPr>
                <w:rFonts w:ascii="Arial" w:hAnsi="Arial" w:cs="Arial"/>
                <w:sz w:val="20"/>
                <w:szCs w:val="20"/>
              </w:rPr>
              <w:t>Unknown, 18.75</w:t>
            </w:r>
          </w:p>
          <w:p w:rsidR="00F537B6" w:rsidRPr="00563EB7" w:rsidRDefault="00F537B6" w:rsidP="00F537B6">
            <w:pPr>
              <w:rPr>
                <w:rFonts w:ascii="Arial" w:hAnsi="Arial" w:cs="Arial"/>
                <w:sz w:val="20"/>
                <w:szCs w:val="20"/>
              </w:rPr>
            </w:pPr>
            <w:r w:rsidRPr="00563EB7">
              <w:rPr>
                <w:rFonts w:ascii="Arial" w:hAnsi="Arial" w:cs="Arial"/>
                <w:sz w:val="20"/>
                <w:szCs w:val="20"/>
              </w:rPr>
              <w:t>Black, 6.25</w:t>
            </w:r>
          </w:p>
          <w:p w:rsidR="00F537B6" w:rsidRPr="00563EB7" w:rsidRDefault="00F537B6" w:rsidP="00F537B6">
            <w:pPr>
              <w:rPr>
                <w:rFonts w:ascii="Arial" w:hAnsi="Arial" w:cs="Arial"/>
                <w:sz w:val="20"/>
                <w:szCs w:val="20"/>
              </w:rPr>
            </w:pPr>
            <w:r w:rsidRPr="00563EB7">
              <w:rPr>
                <w:rFonts w:ascii="Arial" w:hAnsi="Arial" w:cs="Arial"/>
                <w:sz w:val="20"/>
                <w:szCs w:val="20"/>
              </w:rPr>
              <w:t>Other, 5</w:t>
            </w:r>
          </w:p>
          <w:p w:rsidR="00F537B6" w:rsidRPr="00563EB7" w:rsidRDefault="00F537B6" w:rsidP="00F537B6">
            <w:pPr>
              <w:rPr>
                <w:rFonts w:ascii="Arial" w:hAnsi="Arial" w:cs="Arial"/>
                <w:sz w:val="20"/>
                <w:szCs w:val="20"/>
              </w:rPr>
            </w:pPr>
            <w:r w:rsidRPr="00563EB7">
              <w:rPr>
                <w:rFonts w:ascii="Arial" w:hAnsi="Arial" w:cs="Arial"/>
                <w:sz w:val="20"/>
                <w:szCs w:val="20"/>
              </w:rPr>
              <w:t>Asian, 1.25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354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Rabinowitz &amp; Arnett,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14a35nqnv7","properties":{"formattedCitation":"[104]","plainCitation":"[104]"},"citationItems":[{"id":4856,"uris":["http://zotero.org/users/1562642/items/4XA2XX6V"],"uri":["http://zotero.org/users/1562642/items/4XA2XX6V"],"itemData":{"id":4856,"type":"article-journal","title":"Reading based IQ estimates and actual premorbid cognitive performance: Discrepancies in a college athlete sample","container-title":"Journal of the International Neuropsychological Society","page":"139-143","volume":"18","issue":"1","source":"EBSCOhost","archive_location":"2011-30117-015","abstract":"The present study sought to evaluate the Wechsler Test of Adult Reading (WTAR) Full-Scale IQ (FSIQ) estimate as an index of premorbid ability in a sample 574 of healthy college athletes participating in a sports concussion management program. We compared baseline neuropsychological test performance with the WTAR FSIQ estimate obtained at baseline. Results revealed that the discrepancy between actual neuropsychological test scores and the WTAR FSIQ estimate was greatest for those with estimated FSIQs greater than 107. The clinical implication of this finding was evaluated in the 51 participants who went on to sustain a concussion. For individuals with higher IQ estimates, the WTAR estimate obtained post-concussion suggested greater post-concussion decline than that indicated by comparison with actual baseline neuropsychological performance. (PsycINFO Database Record (c) 2013 APA, all rights reserved). (journal abstract)","DOI":"10.1017/S1355617711001275","ISSN":"1355-6177","shortTitle":"Reading based IQ estimates and actual premorbid cognitive performance","journalAbbreviation":"Journal of the International Neuropsychological Society","author":[{"family":"Rabinowitz","given":"Amanda R."},{"family":"Arnett","given":"Peter A."}],"issued":{"date-parts":[["2012",1]]}}}],"schema":"https://github.com/citation-style-language/schema/raw/master/csl-citation.json"}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574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74.91</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17.94</w:t>
            </w:r>
          </w:p>
          <w:p w:rsidR="00F537B6" w:rsidRPr="00563EB7" w:rsidRDefault="00F537B6" w:rsidP="00F537B6">
            <w:pPr>
              <w:rPr>
                <w:rFonts w:ascii="Arial" w:hAnsi="Arial" w:cs="Arial"/>
                <w:sz w:val="20"/>
                <w:szCs w:val="20"/>
              </w:rPr>
            </w:pPr>
            <w:r w:rsidRPr="00563EB7">
              <w:rPr>
                <w:rFonts w:ascii="Arial" w:hAnsi="Arial" w:cs="Arial"/>
                <w:sz w:val="20"/>
                <w:szCs w:val="20"/>
              </w:rPr>
              <w:t>Asian American, 1.04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567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Rabinowitz &amp; Arnett,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a57tt0i4g","properties":{"formattedCitation":"[105]","plainCitation":"[105]"},"citationItems":[{"id":4857,"uris":["http://zotero.org/users/1562642/items/86X96TDZ"],"uri":["http://zotero.org/users/1562642/items/86X96TDZ"],"itemData":{"id":4857,"type":"article-journal","title":"Intraindividual cognitive variability before and after sports-related concussion","container-title":"Neuropsychology","page":"481-490","volume":"27","issue":"4","source":"EBSCOhost","archive_location":"2013-25138-008","abstract":"Objective: Inconsistent performance is associated with cognitive dysfunction in a number of clinical populations. However, intraindividual cognitive variability in healthy individuals is poorly understood. Inconsistency poses a challenge to clinicians when interpreting change over time. This study examined intraindividual cognitive variability within a sample of college athletes tested at baseline and postconcussion. Method: Athletes (n = 71) and control participants (n = 42) were tested with a comprehensive neuropsychological battery at baseline and postconcussion (athletes) or one month later (controls). A subset of indices with high internal consistency was used to calculate overall performance and performance variability. A k-means cluster analysis of baseline and postconcussion performance variability examined heterogeneity within the sample. Results: In the athlete sample, performance variability was significantly greater than zero, and was negatively correlated with overall performance at both time points (p &lt; .001). Wechsler Test of Adult Reading Full Scale IQ estimate was significantly correlated with overall performance (p &lt; .01), but not with performance variability. Cluster analysis revealed low-variability (n = 46) and high-variability (n = 25) cluster groups. Whereas the low-variability cluster group exhibited a pattern of performance similar to that of control participants, membership in the high-variability cluster group was associated with postconcussion cognitive dysfunction. Conclusion: These findings suggest that normative cognitive performance in college athletes is characterized by significant intraindividual variation across tests. Cross-test intraindividual variability may impart clinically meaningful information, as higher levels of variability were related to poorer overall performance and postconcussion cognitive dysfunction. (PsycINFO Database Record (c) 2013 APA, all rights reserved). (journal abstract)","DOI":"10.1037/a0033023","ISSN":"0894-4105","journalAbbreviation":"Neuropsychology","author":[{"family":"Rabinowitz","given":"Amanda R."},{"family":"Arnett","given":"Peter A."}],"issued":{"date-parts":[["2013",7]]}}}],"schema":"https://github.com/citation-style-language/schema/raw/master/csl-citation.json"}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80.53</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15.93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461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Rabinowitz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vpnjtj6uo","properties":{"formattedCitation":"[106]","plainCitation":"[106]"},"citationItems":[{"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167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Black, 37.13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462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Rabinowitz, Merritt, &amp; Arnett,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11me7enn8k","properties":{"formattedCitation":"[107]","plainCitation":"[107]"},"citationItems":[{"id":1939,"uris":["http://zotero.org/users/1562642/items/2TI5DE9F"],"uri":["http://zotero.org/users/1562642/items/2TI5DE9F"],"itemData":{"id":1939,"type":"article-journal","title":"The return-to-play incentive and the effect of motivation on neuropsychological test-performance: Implications for baseline concussion testing","container-title":"Developmental Neuropsychology","page":"29-33","volume":"40","issue":"1","source":"EBSCOhost","archive_location":"2015-05628-006","abstract":"Athletes may be less engaged in baseline cognitive testing in the absence of a powerful return-to-play incentive. The present study sought to evaluate whether athletes’ level of motivation (1) influences baseline test performance and (2) changes across pre- and post-injury assessments. We found a significant relationship between examiners’ ratings of athletes motivation toward testing and baseline cognitive test performance. Athletes, but not controls, demonstrated increased motivation between tests. These findings suggest that baseline test performance may underestimate true premorbid abilities for a subset of athletes. (PsycINFO Database Record (c) 2015 APA, all rights reserved). (journal abstract)","DOI":"10.1080/87565641.2014.1001066","ISSN":"8756-5641","shortTitle":"The return-to-play incentive and the effect of motivation on neuropsychological test-performance","journalAbbreviation":"Developmental Neuropsychology","author":[{"family":"Rabinowitz","given":"Amanda R."},{"family":"Merritt","given":"Victoria C."},{"family":"Arnett","given":"Peter A."}],"issued":{"date-parts":[["2015",1]]}}}],"schema":"https://github.com/citation-style-language/schema/raw/master/csl-citation.json"}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655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73.44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261</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Ravdin</w:t>
            </w:r>
            <w:proofErr w:type="spellEnd"/>
            <w:r w:rsidRPr="00563EB7">
              <w:rPr>
                <w:rFonts w:ascii="Arial" w:hAnsi="Arial" w:cs="Arial"/>
                <w:sz w:val="20"/>
                <w:szCs w:val="20"/>
              </w:rPr>
              <w:t xml:space="preserve">, Barr, Jordan, Lathan, &amp; </w:t>
            </w:r>
            <w:proofErr w:type="spellStart"/>
            <w:r w:rsidRPr="00563EB7">
              <w:rPr>
                <w:rFonts w:ascii="Arial" w:hAnsi="Arial" w:cs="Arial"/>
                <w:sz w:val="20"/>
                <w:szCs w:val="20"/>
              </w:rPr>
              <w:t>Relkin</w:t>
            </w:r>
            <w:proofErr w:type="spellEnd"/>
            <w:r w:rsidRPr="00563EB7">
              <w:rPr>
                <w:rFonts w:ascii="Arial" w:hAnsi="Arial" w:cs="Arial"/>
                <w:sz w:val="20"/>
                <w:szCs w:val="20"/>
              </w:rPr>
              <w:t>, 2003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hpuh821sn","properties":{"formattedCitation":"[108]","plainCitation":"[108]"},"citationItems":[{"id":1940,"uris":["http://zotero.org/users/1562642/items/KE2X48AQ"],"uri":["http://zotero.org/users/1562642/items/KE2X48AQ"],"itemData":{"id":1940,"type":"article-journal","title":"Assessment of cognitive recovery following sports related head trauma in boxers","container-title":"Clinical Journal of Sport Medicine","page":"21-27","volume":"13","issue":"1","source":"EBSCOhost","archive_location":"12544160","abstract":"Objective: To prospectively examine recovery of cognitive function within one month following subconcussive sports related head trauma.; Design: A prospective study of New York State licensed professional boxers who underwent testing of cognitive functioning before and after (within days, one week, and one month) a professional bout.; Setting: Male professional athletes recruited from the New York State Athletic Commission and local boxing gyms.; Participants: Twenty-six licensed professional boxers were enrolled in the protocol. Data is presented on the 18 participants who completed testing on at least three of the four time points.; Interventions: Serial neuropsychological assessment before and after the athletes engaged in competition.; Main Outcome Measures: Neuropsychological measures of cognitive functioning, including new learning and memory, information processing speed, and mental flexibility.; Results: A series of repeated measures MANOVAS revealed significant within subject differences across testing on complex information processing and verbal fluency. Post hoc analyses indicated significant differences between time 1 (baseline) and time 4 (one month post), with scores one month following the bout indicating significantly improved performance. Memory scores did not change significantly across testing; however, prior boxing exposure measured by total number of professional bouts was associated with poorer memory performance.; Conclusions: Cognitive testing one month following participation in a professional boxing bout yielded scores suggestive of recovery to a level above the baseline. We conclude that baseline assessment taken during periods of intense training are likely confounded by other pre-bout conditions (i.e., sparring, rapid weight loss, pre-bout anxiety) and do not represent true baseline abilities. Instability of performance associated with mild head injury may complicate the interpretation of post-injury assessments. Practice effects may also confound the interpretation of serial assessments, leading to underestimation of the effects of sports related head trauma. Poorer cognitive performance was evident during the presumed recovery period in boxers with greater exposure to the sport (&gt;12 professional bouts). This finding is consistent with reports of a cumulative effect of repetitive head trauma and the subsequent development of chronic traumatic brain injury. These data have implications for assessing recovery of function following head injury in players of other contact sports as well as determination of return-to-play following an injury.;","ISSN":"1050-642X","journalAbbreviation":"Clinical Journal of Sport Medicine","author":[{"family":"Ravdin","given":"Lisa D"},{"family":"Barr","given":"William B"},{"family":"Jordan","given":"Barry"},{"family":"Lathan","given":"William E"},{"family":"Relkin","given":"Norman R"}],"issued":{"date-parts":[["2003",1]]}}}],"schema":"https://github.com/citation-style-language/schema/raw/master/csl-citation.json"}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44.44</w:t>
            </w:r>
          </w:p>
          <w:p w:rsidR="00F537B6" w:rsidRPr="00563EB7" w:rsidRDefault="00F537B6" w:rsidP="00F537B6">
            <w:pPr>
              <w:rPr>
                <w:rFonts w:ascii="Arial" w:hAnsi="Arial" w:cs="Arial"/>
                <w:sz w:val="20"/>
                <w:szCs w:val="20"/>
              </w:rPr>
            </w:pPr>
            <w:r w:rsidRPr="00563EB7">
              <w:rPr>
                <w:rFonts w:ascii="Arial" w:hAnsi="Arial" w:cs="Arial"/>
                <w:sz w:val="20"/>
                <w:szCs w:val="20"/>
              </w:rPr>
              <w:t>Hispanic, 38.89</w:t>
            </w:r>
          </w:p>
          <w:p w:rsidR="00F537B6" w:rsidRPr="00563EB7" w:rsidRDefault="00F537B6" w:rsidP="00F537B6">
            <w:pPr>
              <w:rPr>
                <w:rFonts w:ascii="Arial" w:hAnsi="Arial" w:cs="Arial"/>
                <w:sz w:val="20"/>
                <w:szCs w:val="20"/>
              </w:rPr>
            </w:pPr>
            <w:r w:rsidRPr="00563EB7">
              <w:rPr>
                <w:rFonts w:ascii="Arial" w:hAnsi="Arial" w:cs="Arial"/>
                <w:sz w:val="20"/>
                <w:szCs w:val="20"/>
              </w:rPr>
              <w:t>Black, 16.67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1124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Register-</w:t>
            </w:r>
            <w:proofErr w:type="spellStart"/>
            <w:r w:rsidRPr="00563EB7">
              <w:rPr>
                <w:rFonts w:ascii="Arial" w:hAnsi="Arial" w:cs="Arial"/>
                <w:sz w:val="20"/>
                <w:szCs w:val="20"/>
              </w:rPr>
              <w:t>Mihalik</w:t>
            </w:r>
            <w:proofErr w:type="spellEnd"/>
            <w:r w:rsidRPr="00563EB7">
              <w:rPr>
                <w:rFonts w:ascii="Arial" w:hAnsi="Arial" w:cs="Arial"/>
                <w:sz w:val="20"/>
                <w:szCs w:val="20"/>
              </w:rPr>
              <w:t xml:space="preserve">, De </w:t>
            </w:r>
            <w:proofErr w:type="spellStart"/>
            <w:r w:rsidRPr="00563EB7">
              <w:rPr>
                <w:rFonts w:ascii="Arial" w:hAnsi="Arial" w:cs="Arial"/>
                <w:sz w:val="20"/>
                <w:szCs w:val="20"/>
              </w:rPr>
              <w:t>Maio</w:t>
            </w:r>
            <w:proofErr w:type="spellEnd"/>
            <w:r w:rsidRPr="00563EB7">
              <w:rPr>
                <w:rFonts w:ascii="Arial" w:hAnsi="Arial" w:cs="Arial"/>
                <w:sz w:val="20"/>
                <w:szCs w:val="20"/>
              </w:rPr>
              <w:t xml:space="preserve">, </w:t>
            </w:r>
            <w:proofErr w:type="spellStart"/>
            <w:r w:rsidRPr="00563EB7">
              <w:rPr>
                <w:rFonts w:ascii="Arial" w:hAnsi="Arial" w:cs="Arial"/>
                <w:sz w:val="20"/>
                <w:szCs w:val="20"/>
              </w:rPr>
              <w:t>Tibbo-Valeriote</w:t>
            </w:r>
            <w:proofErr w:type="spellEnd"/>
            <w:r w:rsidRPr="00563EB7">
              <w:rPr>
                <w:rFonts w:ascii="Arial" w:hAnsi="Arial" w:cs="Arial"/>
                <w:sz w:val="20"/>
                <w:szCs w:val="20"/>
              </w:rPr>
              <w:t>, &amp; Wooten,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jgu0g9moj","properties":{"formattedCitation":"[109]","plainCitation":"[109]"},"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[109]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245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71.02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Resch, Driscoll,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pkic5ac7i","properties":{"formattedCitation":"[110]","plainCitation":"[110]"},"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Multiple countries</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Irish, 50</w:t>
            </w:r>
          </w:p>
          <w:p w:rsidR="00F537B6" w:rsidRPr="00563EB7" w:rsidRDefault="00F537B6" w:rsidP="00F537B6">
            <w:pPr>
              <w:rPr>
                <w:rFonts w:ascii="Arial" w:hAnsi="Arial" w:cs="Arial"/>
                <w:sz w:val="20"/>
                <w:szCs w:val="20"/>
              </w:rPr>
            </w:pPr>
            <w:r w:rsidRPr="00563EB7">
              <w:rPr>
                <w:rFonts w:ascii="Arial" w:hAnsi="Arial" w:cs="Arial"/>
                <w:sz w:val="20"/>
                <w:szCs w:val="20"/>
              </w:rPr>
              <w:t>US or Canada, 50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382</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Rieger</w:t>
            </w:r>
            <w:proofErr w:type="spellEnd"/>
            <w:r w:rsidRPr="00563EB7">
              <w:rPr>
                <w:rFonts w:ascii="Arial" w:hAnsi="Arial" w:cs="Arial"/>
                <w:sz w:val="20"/>
                <w:szCs w:val="20"/>
              </w:rPr>
              <w:t xml:space="preserve">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n642ig49o","properties":{"formattedCitation":"[111]","plainCitation":"[111]"},"citationItems":[{"id":4868,"uris":["http://zotero.org/users/1562642/items/UNTNVTT4"],"uri":["http://zotero.org/users/1562642/items/UNTNVTT4"],"itemData":{"id":4868,"type":"article-journal","title":"A prospective study of symptoms and neurocognitive outcomes in youth with concussion vs orthopaedic injuries","container-title":"Brain Injury","page":"169-178","volume":"27","issue":"2","source":"EBSCOhost","archive_location":"2013-04167-005","abstract":"Background: This study examined symptom reports and neurocognitive outcomes in children (8–17 years) with mild traumatic brain injury (mTBI) or orthopaedic injury (OI). Method: Children and parents were initially assessed upon presentation in the Emergency Department of a local hospital and again at 3 months. Children completed the Immediate Post-Concussion Assessment and Cognitive Testing battery (ImPACT) and parents completed the Behavior Rating Inventory of Executive Function (BRIEF). The Peabody Picture Vocabulary Test, 3rd edition (PPVT-III) was completed by the children at the 3-month assessment. Results: Children with mTBI reported more symptoms than the OI group initially, but did not differ from the OI group at 3 months. Both groups reported a higher than expected number of symptoms at 3 months. On the ImPACT, children with mTBI performed significantly worse than the OI on a visual memory test at both assessments. The OI group had higher levels of parent-reported executive dysfunction on the BRIEF at initial and 3-month assessments. Discussion: As expected, more post-concussion symptoms were initially reported by children and adolescents with mTBI vs orthopaedic injury, but there was no difference at 3 months. The BRIEF and ImPACT cognitive measures did not differentiate concussed subjects from controls, with the exception of concussed subjects’ lower performance on a visual memory test at both initial assessment and at 3 months. (PsycINFO Database Record (c) 2015 APA, all rights reserved). (journal abstract)","DOI":"10.3109/02699052.2012.729290","ISSN":"0269-9052","journalAbbreviation":"Brain Injury","author":[{"family":"Rieger","given":"Brian P."},{"family":"Lewandowski","given":"Lawrence J."},{"family":"Callahan","given":"James M."},{"family":"Spenceley","given":"Laura"},{"family":"Truckenmiller","given":"Adrea"},{"family":"Gathje","given":"Rebecca"},{"family":"Miller","given":"Laura A."}],"issued":{"date-parts":[["2013",2]]}}}],"schema":"https://github.com/citation-style-language/schema/raw/master/csl-citation.json"}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76.81</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11.59</w:t>
            </w:r>
          </w:p>
          <w:p w:rsidR="00F537B6" w:rsidRPr="00563EB7" w:rsidRDefault="00F537B6" w:rsidP="00F537B6">
            <w:pPr>
              <w:rPr>
                <w:rFonts w:ascii="Arial" w:hAnsi="Arial" w:cs="Arial"/>
                <w:sz w:val="20"/>
                <w:szCs w:val="20"/>
              </w:rPr>
            </w:pPr>
            <w:r w:rsidRPr="00563EB7">
              <w:rPr>
                <w:rFonts w:ascii="Arial" w:hAnsi="Arial" w:cs="Arial"/>
                <w:sz w:val="20"/>
                <w:szCs w:val="20"/>
              </w:rPr>
              <w:lastRenderedPageBreak/>
              <w:t>Native American, 4.35</w:t>
            </w:r>
          </w:p>
          <w:p w:rsidR="00F537B6" w:rsidRPr="00563EB7" w:rsidRDefault="00F537B6" w:rsidP="00F537B6">
            <w:pPr>
              <w:rPr>
                <w:rFonts w:ascii="Arial" w:hAnsi="Arial" w:cs="Arial"/>
                <w:sz w:val="20"/>
                <w:szCs w:val="20"/>
              </w:rPr>
            </w:pPr>
            <w:r w:rsidRPr="00563EB7">
              <w:rPr>
                <w:rFonts w:ascii="Arial" w:hAnsi="Arial" w:cs="Arial"/>
                <w:sz w:val="20"/>
                <w:szCs w:val="20"/>
              </w:rPr>
              <w:t>Asian American, 2.9</w:t>
            </w:r>
          </w:p>
          <w:p w:rsidR="00F537B6" w:rsidRPr="00563EB7" w:rsidRDefault="00F537B6" w:rsidP="00F537B6">
            <w:pPr>
              <w:rPr>
                <w:rFonts w:ascii="Arial" w:hAnsi="Arial" w:cs="Arial"/>
                <w:sz w:val="20"/>
                <w:szCs w:val="20"/>
              </w:rPr>
            </w:pPr>
            <w:r w:rsidRPr="00563EB7">
              <w:rPr>
                <w:rFonts w:ascii="Arial" w:hAnsi="Arial" w:cs="Arial"/>
                <w:sz w:val="20"/>
                <w:szCs w:val="20"/>
              </w:rPr>
              <w:t>Multi-ethnic, 2.9</w:t>
            </w:r>
          </w:p>
          <w:p w:rsidR="00F537B6" w:rsidRPr="00563EB7" w:rsidRDefault="00F537B6" w:rsidP="00F537B6">
            <w:pPr>
              <w:rPr>
                <w:rFonts w:ascii="Arial" w:hAnsi="Arial" w:cs="Arial"/>
                <w:sz w:val="20"/>
                <w:szCs w:val="20"/>
              </w:rPr>
            </w:pPr>
            <w:r w:rsidRPr="00563EB7">
              <w:rPr>
                <w:rFonts w:ascii="Arial" w:hAnsi="Arial" w:cs="Arial"/>
                <w:sz w:val="20"/>
                <w:szCs w:val="20"/>
              </w:rPr>
              <w:t>Latin American, 1.45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293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Ruocco</w:t>
            </w:r>
            <w:proofErr w:type="spellEnd"/>
            <w:r w:rsidRPr="00563EB7">
              <w:rPr>
                <w:rFonts w:ascii="Arial" w:hAnsi="Arial" w:cs="Arial"/>
                <w:sz w:val="20"/>
                <w:szCs w:val="20"/>
              </w:rPr>
              <w:t xml:space="preserve"> &amp; </w:t>
            </w:r>
            <w:proofErr w:type="spellStart"/>
            <w:r w:rsidRPr="00563EB7">
              <w:rPr>
                <w:rFonts w:ascii="Arial" w:hAnsi="Arial" w:cs="Arial"/>
                <w:sz w:val="20"/>
                <w:szCs w:val="20"/>
              </w:rPr>
              <w:t>Swirsky-Sacchetti</w:t>
            </w:r>
            <w:proofErr w:type="spellEnd"/>
            <w:r w:rsidRPr="00563EB7">
              <w:rPr>
                <w:rFonts w:ascii="Arial" w:hAnsi="Arial" w:cs="Arial"/>
                <w:sz w:val="20"/>
                <w:szCs w:val="20"/>
              </w:rPr>
              <w:t>, 2007</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214kmkq78a","properties":{"formattedCitation":"[112]","plainCitation":"[112]"},"citationItems":[{"id":4875,"uris":["http://zotero.org/users/1562642/items/FVH85PHX"],"uri":["http://zotero.org/users/1562642/items/FVH85PHX"],"itemData":{"id":4875,"type":"article-journal","title":"Personality disorder symptomatology and neuropsychological functioning in closed head injury","container-title":"The Journal of Neuropsychiatry and Clinical Neurosciences","page":"27-35","volume":"19","issue":"1","source":"EBSCOhost","archive_location":"2007-02804-004","abstract":"Despite an emerging literature characterizing the neuropsychological profiles of borderline, antisocial, and schizotypal personality disorders, relations between personality disorder traits and neurocognitive domains remain unknown. The authors examined associations among Millon Clinical Multiaxial Inventory-III personality disorder scales and eight neuropsychological domains in 161 patients referred for neuropsychological evaluation following closed head injury. Most personality disorder scales were associated with some decrement in cognitive function, particularly speeded processing, executive function, and language, while histrionic and narcissistic scales had positive relations with neuropsychological functioning. Results suggest that many personality disorder traits are related to neurocognitive function, particularly those functions subserved by frontal and temporal regions. (PsycINFO Database Record (c) 2012 APA, all rights reserved). (journal abstract)","DOI":"10.1176/appi.neuropsych.19.1.27","ISSN":"0895-0172","author":[{"family":"Ruocco","given":"Anthony C."},{"family":"Swirsky-Sacchetti","given":"Thomas"}],"issued":{"date-parts":[["2007"]]}}}],"schema":"https://github.com/citation-style-language/schema/raw/master/csl-citation.json"}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2007</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161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86.96</w:t>
            </w:r>
          </w:p>
          <w:p w:rsidR="00F537B6" w:rsidRPr="00563EB7" w:rsidRDefault="00F537B6" w:rsidP="00F537B6">
            <w:pPr>
              <w:rPr>
                <w:rFonts w:ascii="Arial" w:hAnsi="Arial" w:cs="Arial"/>
                <w:sz w:val="20"/>
                <w:szCs w:val="20"/>
              </w:rPr>
            </w:pPr>
            <w:r w:rsidRPr="00563EB7">
              <w:rPr>
                <w:rFonts w:ascii="Arial" w:hAnsi="Arial" w:cs="Arial"/>
                <w:sz w:val="20"/>
                <w:szCs w:val="20"/>
              </w:rPr>
              <w:t>African-American, 9.32</w:t>
            </w:r>
          </w:p>
          <w:p w:rsidR="00F537B6" w:rsidRPr="00563EB7" w:rsidRDefault="00F537B6" w:rsidP="00F537B6">
            <w:pPr>
              <w:rPr>
                <w:rFonts w:ascii="Arial" w:hAnsi="Arial" w:cs="Arial"/>
                <w:sz w:val="20"/>
                <w:szCs w:val="20"/>
              </w:rPr>
            </w:pPr>
            <w:r w:rsidRPr="00563EB7">
              <w:rPr>
                <w:rFonts w:ascii="Arial" w:hAnsi="Arial" w:cs="Arial"/>
                <w:sz w:val="20"/>
                <w:szCs w:val="20"/>
              </w:rPr>
              <w:t>Hispanic, 1.86</w:t>
            </w:r>
          </w:p>
          <w:p w:rsidR="00F537B6" w:rsidRPr="00563EB7" w:rsidRDefault="00F537B6" w:rsidP="00F537B6">
            <w:pPr>
              <w:rPr>
                <w:rFonts w:ascii="Arial" w:hAnsi="Arial" w:cs="Arial"/>
                <w:sz w:val="20"/>
                <w:szCs w:val="20"/>
              </w:rPr>
            </w:pPr>
            <w:r w:rsidRPr="00563EB7">
              <w:rPr>
                <w:rFonts w:ascii="Arial" w:hAnsi="Arial" w:cs="Arial"/>
                <w:sz w:val="20"/>
                <w:szCs w:val="20"/>
              </w:rPr>
              <w:t>Other, 1.24</w:t>
            </w:r>
          </w:p>
          <w:p w:rsidR="00F537B6" w:rsidRPr="00563EB7" w:rsidRDefault="00F537B6" w:rsidP="00F537B6">
            <w:pPr>
              <w:rPr>
                <w:rFonts w:ascii="Arial" w:hAnsi="Arial" w:cs="Arial"/>
                <w:sz w:val="20"/>
                <w:szCs w:val="20"/>
              </w:rPr>
            </w:pPr>
            <w:r w:rsidRPr="00563EB7">
              <w:rPr>
                <w:rFonts w:ascii="Arial" w:hAnsi="Arial" w:cs="Arial"/>
                <w:sz w:val="20"/>
                <w:szCs w:val="20"/>
              </w:rPr>
              <w:t>Native American, 0.62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561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Schatz &amp; </w:t>
            </w:r>
            <w:proofErr w:type="spellStart"/>
            <w:r w:rsidRPr="00563EB7">
              <w:rPr>
                <w:rFonts w:ascii="Arial" w:hAnsi="Arial" w:cs="Arial"/>
                <w:sz w:val="20"/>
                <w:szCs w:val="20"/>
              </w:rPr>
              <w:t>Maerlender</w:t>
            </w:r>
            <w:proofErr w:type="spellEnd"/>
            <w:r w:rsidRPr="00563EB7">
              <w:rPr>
                <w:rFonts w:ascii="Arial" w:hAnsi="Arial" w:cs="Arial"/>
                <w:sz w:val="20"/>
                <w:szCs w:val="20"/>
              </w:rPr>
              <w:t>,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a3vjn9bnt","properties":{"formattedCitation":"[113]","plainCitation":"[113]"},"citationItems":[{"id":1827,"uris":["http://zotero.org/users/1562642/items/A7FBZQ9G"],"uri":["http://zotero.org/users/1562642/items/A7FBZQ9G"],"itemData":{"id":1827,"type":"article-journal","title":"A two-factor theory for concussion assessment using ImPACT: Memory and speed","container-title":"Archives of Clinical Neuropsychology","page":"791-797","volume":"28","issue":"8","source":"EBSCOhost","archive_location":"2013-41736-005","abstract":"We present the initial validation of a two-factor structure of Immediate Post-Concussion Assessment and Cognitive Testing (ImPACT) using ImPACT composite scores and document the reliability and validity of this factor structure. Factor analyses were conducted for baseline (N = 21,537) and post-concussion (N = 560) data, yielding “Memory” (Verbal and Visual) and “Speed” (Visual Motor Speed and Reaction Time) Factors; inclusion of Total Symptom Scores resulted in a third discrete factor. Speed and Memory z-scores were calculated, and test–retest reliability (using intra-class correlation coefficients) at 1 month (0.88/0.81), 1 year (0.85/0.75), and 2 years (0.76/0.74) were higher than published data using Composite scores. Speed and Memory scores yielded 89% sensitivity and 70% specificity, which was higher than composites (80%/62%) and comparable with subscales (91%/69%). This emergent two-factor structure has improved test–retest reliability with no loss of sensitivity/specificity and may improve understanding and interpretability of ImPACT test results. (PsycINFO Database Record (c) 2014 APA, all rights reserved). (journal abstract)","DOI":"10.1093/arclin/act077","ISSN":"0887-6177","shortTitle":"A two-factor theory for concussion assessment using ImPACT","journalAbbreviation":"Archives of Clinical Neuropsychology","author":[{"family":"Schatz","given":"Philip"},{"family":"Maerlender","given":"Arthur"}],"issued":{"date-parts":[["2013",12]]}}}],"schema":"https://github.com/citation-style-language/schema/raw/master/csl-citation.json"}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21917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United States,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562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Schatz &amp; </w:t>
            </w:r>
            <w:proofErr w:type="spellStart"/>
            <w:r w:rsidRPr="00563EB7">
              <w:rPr>
                <w:rFonts w:ascii="Arial" w:hAnsi="Arial" w:cs="Arial"/>
                <w:sz w:val="20"/>
                <w:szCs w:val="20"/>
              </w:rPr>
              <w:t>Sandel</w:t>
            </w:r>
            <w:proofErr w:type="spellEnd"/>
            <w:r w:rsidRPr="00563EB7">
              <w:rPr>
                <w:rFonts w:ascii="Arial" w:hAnsi="Arial" w:cs="Arial"/>
                <w:sz w:val="20"/>
                <w:szCs w:val="20"/>
              </w:rPr>
              <w:t>,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u076noo0c","properties":{"formattedCitation":"[114]","plainCitation":"[114]"},"citationItems":[{"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236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United States,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358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Schnabel &amp; </w:t>
            </w:r>
            <w:proofErr w:type="spellStart"/>
            <w:r w:rsidRPr="00563EB7">
              <w:rPr>
                <w:rFonts w:ascii="Arial" w:hAnsi="Arial" w:cs="Arial"/>
                <w:sz w:val="20"/>
                <w:szCs w:val="20"/>
              </w:rPr>
              <w:t>Kydd</w:t>
            </w:r>
            <w:proofErr w:type="spellEnd"/>
            <w:r w:rsidRPr="00563EB7">
              <w:rPr>
                <w:rFonts w:ascii="Arial" w:hAnsi="Arial" w:cs="Arial"/>
                <w:sz w:val="20"/>
                <w:szCs w:val="20"/>
              </w:rPr>
              <w:t>,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huct4j1fa","properties":{"formattedCitation":"[115]","plainCitation":"[115]"},"citationItems":[{"id":4887,"uris":["http://zotero.org/users/1562642/items/QFK7V8BB"],"uri":["http://zotero.org/users/1562642/items/QFK7V8BB"],"itemData":{"id":4887,"type":"article-journal","title":"Neuropsychological assessment of distractibility in mild traumatic brain injury and depression","container-title":"The Clinical Neuropsychologist","page":"769-789","volume":"26","issue":"5","source":"EBSCOhost","archive_location":"22694212","abstract":"Traditional neuropsychological assessments are conducted exclusively in a quiet, distraction-free environment; clients' abilities to operate under busy and distracting conditions remain untested. Environmental distractions, however, are typical for a multitude of real-life situations and present a challenge to clients with frontal-temporal brain injury. In an effort to improve ecological validity, an extension of the traditional neuropsychological assessment was developed, comprising a standardized distraction condition. This allowed cognitive functions to be tested both in the traditional setting and with exposure to a specified audio-visual distraction. The present study (n = 240) investigated how clients with mild Traumatic Brain Injury (mTBI) (n = 80), Major Depression (MDE) (n = 80), and a healthy control sample (n = 80) performed on sub-tests of the Wechsler Adult Intelligence Scale-IV and the Wechsler Memory Scale-IV both in the standard and the distraction conditions. Test effort was controlled. Significant deterioration of performance in the distraction setting was observed among clients with mTBI. In contrast the performance of a healthy control sample remained unchanged. Significant improvement of performance in the distraction setting was documented for clients with MDE. Contrary to their improved performance, depressed clients experienced the distraction setting as more distressing than the control and mTBI group.;","DOI":"10.1080/13854046.2012.693541","ISSN":"1744-4144","journalAbbreviation":"The Clinical Neuropsychologist","author":[{"family":"Schnabel","given":"Ralf"},{"family":"Kydd","given":"Rob"}],"issued":{"date-parts":[["2012"]]}}}],"schema":"https://github.com/citation-style-language/schema/raw/master/csl-citation.json"}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New Zealand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240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73.33</w:t>
            </w:r>
          </w:p>
          <w:p w:rsidR="00F537B6" w:rsidRPr="00563EB7" w:rsidRDefault="00F537B6" w:rsidP="00F537B6">
            <w:pPr>
              <w:rPr>
                <w:rFonts w:ascii="Arial" w:hAnsi="Arial" w:cs="Arial"/>
                <w:sz w:val="20"/>
                <w:szCs w:val="20"/>
              </w:rPr>
            </w:pPr>
            <w:r w:rsidRPr="00563EB7">
              <w:rPr>
                <w:rFonts w:ascii="Arial" w:hAnsi="Arial" w:cs="Arial"/>
                <w:sz w:val="20"/>
                <w:szCs w:val="20"/>
              </w:rPr>
              <w:t>Maori, 15</w:t>
            </w:r>
          </w:p>
          <w:p w:rsidR="00F537B6" w:rsidRPr="00563EB7" w:rsidRDefault="00F537B6" w:rsidP="00F537B6">
            <w:pPr>
              <w:rPr>
                <w:rFonts w:ascii="Arial" w:hAnsi="Arial" w:cs="Arial"/>
                <w:sz w:val="20"/>
                <w:szCs w:val="20"/>
              </w:rPr>
            </w:pPr>
            <w:r w:rsidRPr="00563EB7">
              <w:rPr>
                <w:rFonts w:ascii="Arial" w:hAnsi="Arial" w:cs="Arial"/>
                <w:sz w:val="20"/>
                <w:szCs w:val="20"/>
              </w:rPr>
              <w:t>Asian, 6.25</w:t>
            </w:r>
          </w:p>
          <w:p w:rsidR="00F537B6" w:rsidRPr="00563EB7" w:rsidRDefault="00F537B6" w:rsidP="00F537B6">
            <w:pPr>
              <w:rPr>
                <w:rFonts w:ascii="Arial" w:hAnsi="Arial" w:cs="Arial"/>
                <w:sz w:val="20"/>
                <w:szCs w:val="20"/>
              </w:rPr>
            </w:pPr>
            <w:r w:rsidRPr="00563EB7">
              <w:rPr>
                <w:rFonts w:ascii="Arial" w:hAnsi="Arial" w:cs="Arial"/>
                <w:sz w:val="20"/>
                <w:szCs w:val="20"/>
              </w:rPr>
              <w:t>Other, 5.42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1009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Schroeder, Ruff, &amp; </w:t>
            </w:r>
            <w:proofErr w:type="spellStart"/>
            <w:r w:rsidRPr="00563EB7">
              <w:rPr>
                <w:rFonts w:ascii="Arial" w:hAnsi="Arial" w:cs="Arial"/>
                <w:sz w:val="20"/>
                <w:szCs w:val="20"/>
              </w:rPr>
              <w:t>Jäncke</w:t>
            </w:r>
            <w:proofErr w:type="spellEnd"/>
            <w:r w:rsidRPr="00563EB7">
              <w:rPr>
                <w:rFonts w:ascii="Arial" w:hAnsi="Arial" w:cs="Arial"/>
                <w:sz w:val="20"/>
                <w:szCs w:val="20"/>
              </w:rPr>
              <w:t>,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1013o0u6tu","properties":{"formattedCitation":"[116]","plainCitation":"[116]"},"citationItems":[{"id":5354,"uris":["http://zotero.org/users/1562642/items/626CUV3W"],"uri":["http://zotero.org/users/1562642/items/626CUV3W"],"itemData":{"id":5354,"type":"article-journal","title":"Posttraumatic stress disorder exacerbates emotional complaints but not cognitive impairments in individuals suffering from postconcussional disorder after mild traumatic brain injury","container-title":"Zeitschrift für Neuropsychologie","page":"35-50","volume":"26","issue":"1","source":"EBSCOhost","archive_location":"2015-11451-004","abstract":"The aim of this study was to examine the effect of posttraumatic stress disorder (PTSD) on (a) neuropsychological test performance and (b) self-reported emotional complaints within individuals suffering from postconcussional disorder (PCD) after a mild traumatic brain injury (MTBI). A two-group comparative research design was employed. Two MTBI samples with and without PTSD were assessed with a neuropsychological test battery and the Ruff Neurobehavioral Inventory (RNBI). On the neurocognitive test performances no significant between group differences were found, but the MTBI group with PTSD endorsed a significantly greater number of emotional complaints, especially in the RNBI subscales of anxiety and depression. The patients with PTSD also endorsed a significantly greater number of premorbid sequelae in the RNBI emotional composite scale as well as the RNBI premorbid subscales of pain, anxiety and abuse. In sum, PTSD has a negative impact on emotional but not cognitive functioning within individuals suffering from PCD after a mild TBI. (PsycINFO Database Record (c) 2015 APA, all rights reserved). (journal abstract)","DOI":"10.1024/1016-264X/a000132","ISSN":"1016-264X","journalAbbreviation":"Zeitschrift für Neuropsychologie","author":[{"family":"Schroeder","given":"Sara C."},{"family":"Ruff","given":"Ronald M."},{"family":"Jäncke","given":"Lutz"}],"issued":{"date-parts":[["2015",3]]}}}],"schema":"https://github.com/citation-style-language/schema/raw/master/csl-citation.json"}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79.12</w:t>
            </w:r>
          </w:p>
          <w:p w:rsidR="00F537B6" w:rsidRPr="00563EB7" w:rsidRDefault="00F537B6" w:rsidP="00F537B6">
            <w:pPr>
              <w:rPr>
                <w:rFonts w:ascii="Arial" w:hAnsi="Arial" w:cs="Arial"/>
                <w:sz w:val="20"/>
                <w:szCs w:val="20"/>
              </w:rPr>
            </w:pPr>
            <w:r w:rsidRPr="00563EB7">
              <w:rPr>
                <w:rFonts w:ascii="Arial" w:hAnsi="Arial" w:cs="Arial"/>
                <w:sz w:val="20"/>
                <w:szCs w:val="20"/>
              </w:rPr>
              <w:t>Asian American, 7.69</w:t>
            </w:r>
          </w:p>
          <w:p w:rsidR="00F537B6" w:rsidRPr="00563EB7" w:rsidRDefault="00F537B6" w:rsidP="00F537B6">
            <w:pPr>
              <w:rPr>
                <w:rFonts w:ascii="Arial" w:hAnsi="Arial" w:cs="Arial"/>
                <w:sz w:val="20"/>
                <w:szCs w:val="20"/>
              </w:rPr>
            </w:pPr>
            <w:r w:rsidRPr="00563EB7">
              <w:rPr>
                <w:rFonts w:ascii="Arial" w:hAnsi="Arial" w:cs="Arial"/>
                <w:sz w:val="20"/>
                <w:szCs w:val="20"/>
              </w:rPr>
              <w:t>African-American, 5.5</w:t>
            </w:r>
          </w:p>
          <w:p w:rsidR="00F537B6" w:rsidRPr="00563EB7" w:rsidRDefault="00F537B6" w:rsidP="00F537B6">
            <w:pPr>
              <w:rPr>
                <w:rFonts w:ascii="Arial" w:hAnsi="Arial" w:cs="Arial"/>
                <w:sz w:val="20"/>
                <w:szCs w:val="20"/>
              </w:rPr>
            </w:pPr>
            <w:r w:rsidRPr="00563EB7">
              <w:rPr>
                <w:rFonts w:ascii="Arial" w:hAnsi="Arial" w:cs="Arial"/>
                <w:sz w:val="20"/>
                <w:szCs w:val="20"/>
              </w:rPr>
              <w:t>Latino, 5.5</w:t>
            </w:r>
          </w:p>
          <w:p w:rsidR="00F537B6" w:rsidRPr="00563EB7" w:rsidRDefault="00F537B6" w:rsidP="00F537B6">
            <w:pPr>
              <w:rPr>
                <w:rFonts w:ascii="Arial" w:hAnsi="Arial" w:cs="Arial"/>
                <w:sz w:val="20"/>
                <w:szCs w:val="20"/>
              </w:rPr>
            </w:pPr>
            <w:r w:rsidRPr="00563EB7">
              <w:rPr>
                <w:rFonts w:ascii="Arial" w:hAnsi="Arial" w:cs="Arial"/>
                <w:sz w:val="20"/>
                <w:szCs w:val="20"/>
              </w:rPr>
              <w:t>Biracial, 2.2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385</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Shandera-Ochsner</w:t>
            </w:r>
            <w:proofErr w:type="spellEnd"/>
            <w:r w:rsidRPr="00563EB7">
              <w:rPr>
                <w:rFonts w:ascii="Arial" w:hAnsi="Arial" w:cs="Arial"/>
                <w:sz w:val="20"/>
                <w:szCs w:val="20"/>
              </w:rPr>
              <w:t xml:space="preserve">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itjr97k6r","properties":{"formattedCitation":"[117]","plainCitation":"[117]"},"citationItems":[{"id":1947,"uris":["http://zotero.org/users/1562642/items/6SDMG94F"],"uri":["http://zotero.org/users/1562642/items/6SDMG94F"],"itemData":{"id":1947,"type":"article-journal","title":"Neuropsychological effects of self-reported deployment-related mild TBI and current PTSD in OIF/OEF veterans","container-title":"The Clinical Neuropsychologist","page":"881-907","volume":"27","issue":"6","source":"EBSCOhost","archive_location":"2013-29196-001","abstract":"Current combat veterans are exposed to many incidents that may result in mild traumatic brain injury (mTBI) and/or posttraumatic stress disorder (PTSD). While there is literature on the neuropsychological consequences of PTSD only (PTSD-o) and mTBI alone (mTBI-o), less has been done to explore their combined (mTBI+PTSD) effect. The goal of this study was to determine whether Operation Iraqi Freedom (OIF) and Operation Enduring Freedom (OEF) veterans with mTBI+PTSD have poorer cognitive and psychological outcomes than veterans with PTSD-o, mTBI-o, or combat exposure-only. The final sample included 20 OIF/OEF veterans with histories of self-reported deployment mTBI (mTBI-o), 19 with current PTSD (PTSD-o), 21 with PTSD and self-reported mTBI (mTBI+PTSD), and 21 combat controls (CC) (no PTSD and no reported mTBI). Groups were formed using structured interviews for mTBI and PTSD. All participants underwent comprehensive neuropsychological testing, including neurocognitive and psychiatric feigning tests. Results of cognitive tests revealed significant differences in performance in the mTBI+PTSD and PTSD-o groups relative to mTBI-o and CC. Consistent with previous PTSD literature, significant differences were found on executive (switching) tasks, verbal fluency, and verbal memory. Effect sizes tended to be large in both groups with PTSD. Thus, PTSD seems to be an important variable affecting neuropsychological profiles in the post-deployment time period. Consistent with literature on civilian mTBI, the current study did not find evidence that combat-related mTBI in and of itself contributes to objective cognitive impairment in the late stage of injury. (PsycINFO Database Record (c) 2015 APA, all rights reserved). (journal abstract)","DOI":"10.1080/13854046.2013.802017","ISSN":"1385-4046","journalAbbreviation":"The Clinical Neuropsychologist","author":[{"family":"Shandera-Ochsner","given":"Anne L."},{"family":"Berry","given":"David T. R."},{"family":"Harp","given":"Jordan P."},{"family":"Edmundson","given":"Maryanne"},{"family":"Graue","given":"Lili O."},{"family":"Roach","given":"Abbey"},{"family":"High","given":"Walter M. Jr."}],"issued":{"date-parts":[["2013",8]]}}}],"schema":"https://github.com/citation-style-language/schema/raw/master/csl-citation.json"}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85.19</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12.35</w:t>
            </w:r>
          </w:p>
          <w:p w:rsidR="00F537B6" w:rsidRPr="00563EB7" w:rsidRDefault="00F537B6" w:rsidP="00F537B6">
            <w:pPr>
              <w:rPr>
                <w:rFonts w:ascii="Arial" w:hAnsi="Arial" w:cs="Arial"/>
                <w:sz w:val="20"/>
                <w:szCs w:val="20"/>
              </w:rPr>
            </w:pPr>
            <w:r w:rsidRPr="00563EB7">
              <w:rPr>
                <w:rFonts w:ascii="Arial" w:hAnsi="Arial" w:cs="Arial"/>
                <w:sz w:val="20"/>
                <w:szCs w:val="20"/>
              </w:rPr>
              <w:t>Hispanic, 2.47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1148</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Shuttleworth</w:t>
            </w:r>
            <w:proofErr w:type="spellEnd"/>
            <w:r w:rsidRPr="00563EB7">
              <w:rPr>
                <w:rFonts w:ascii="Arial" w:hAnsi="Arial" w:cs="Arial"/>
                <w:sz w:val="20"/>
                <w:szCs w:val="20"/>
              </w:rPr>
              <w:t xml:space="preserve">-Edwards, </w:t>
            </w:r>
            <w:proofErr w:type="spellStart"/>
            <w:r w:rsidRPr="00563EB7">
              <w:rPr>
                <w:rFonts w:ascii="Arial" w:hAnsi="Arial" w:cs="Arial"/>
                <w:sz w:val="20"/>
                <w:szCs w:val="20"/>
              </w:rPr>
              <w:t>Radloff</w:t>
            </w:r>
            <w:proofErr w:type="spellEnd"/>
            <w:r w:rsidRPr="00563EB7">
              <w:rPr>
                <w:rFonts w:ascii="Arial" w:hAnsi="Arial" w:cs="Arial"/>
                <w:sz w:val="20"/>
                <w:szCs w:val="20"/>
              </w:rPr>
              <w:t xml:space="preserve">, Whitefield-Alexander, Smith, &amp; </w:t>
            </w:r>
            <w:proofErr w:type="spellStart"/>
            <w:r w:rsidRPr="00563EB7">
              <w:rPr>
                <w:rFonts w:ascii="Arial" w:hAnsi="Arial" w:cs="Arial"/>
                <w:sz w:val="20"/>
                <w:szCs w:val="20"/>
              </w:rPr>
              <w:t>Horsman</w:t>
            </w:r>
            <w:proofErr w:type="spellEnd"/>
            <w:r w:rsidRPr="00563EB7">
              <w:rPr>
                <w:rFonts w:ascii="Arial" w:hAnsi="Arial" w:cs="Arial"/>
                <w:sz w:val="20"/>
                <w:szCs w:val="20"/>
              </w:rPr>
              <w:t>,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p7rpfkujc","properties":{"formattedCitation":"[118]","plainCitation":"[118]"},"citationItems":[{"id":1913,"uris":["http://zotero.org/users/1562642/items/QANVMIVS"],"uri":["http://zotero.org/users/1562642/items/QANVMIVS"],"itemData":{"id":1913,"type":"article-journal","title":"Practice effects reveal visuomotor vulnerability in school and university rugby players","container-title":"Archives of Clinical Neuropsychology","page":"86-99","volume":"29","issue":"1","source":"EBSCOhost","archive_location":"2014-03514-010","abstract":"This article reports on three pre-versus post-season prospective studies in which male university and high school contact sport players predominantly of Rugby Union (hereafter rugby) were compared with age, education, and IQ equivalent non-contact sport controls on the ImPACT (Immediate Postconcussion Assessment and Cognitive Testing) test. All analyses revealed a relative absence of practice effects on the Visual Motor Speed (VMS) composite for contact sport groups compared with controls. The VMS data for rugby players from each study were pooled and subjected to additional analysis (Rugby, n = 145; Controls, n = 106). Controls revealed significant improvement over the season (p &lt; .001), whereas no learning effect was in evidence for rugby players whose performance remained the same (interaction effect, p = .028). It is apparent that practice effects have diagnostic potential in this context, implicating vulnerability on speeded visuomotor processing in association with participation in rugby. Pointers for further research and concussion management in the individual case are explored. (PsycINFO Database Record (c) 2014 APA, all rights reserved). (journal abstract)","DOI":"10.1093/arclin/act061","ISSN":"0887-6177","journalAbbreviation":"Archives of Clinical Neuropsychology","author":[{"family":"Shuttleworth-Edwards","given":"Ann B."},{"family":"Radloff","given":"Sarah E."},{"family":"Whitefield-Alexander","given":"Victoria J."},{"family":"Smith","given":"Ian P."},{"family":"Horsman","given":"Mark"}],"issued":{"date-parts":[["2014",2]]}}}],"schema":"https://github.com/citation-style-language/schema/raw/master/csl-citation.json"}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South Africa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251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South African,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304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Shuttleworth</w:t>
            </w:r>
            <w:proofErr w:type="spellEnd"/>
            <w:r w:rsidRPr="00563EB7">
              <w:rPr>
                <w:rFonts w:ascii="Arial" w:hAnsi="Arial" w:cs="Arial"/>
                <w:sz w:val="20"/>
                <w:szCs w:val="20"/>
              </w:rPr>
              <w:t xml:space="preserve">-Edwards, Smith, &amp; </w:t>
            </w:r>
            <w:proofErr w:type="spellStart"/>
            <w:r w:rsidRPr="00563EB7">
              <w:rPr>
                <w:rFonts w:ascii="Arial" w:hAnsi="Arial" w:cs="Arial"/>
                <w:sz w:val="20"/>
                <w:szCs w:val="20"/>
              </w:rPr>
              <w:t>Radloff</w:t>
            </w:r>
            <w:proofErr w:type="spellEnd"/>
            <w:r w:rsidRPr="00563EB7">
              <w:rPr>
                <w:rFonts w:ascii="Arial" w:hAnsi="Arial" w:cs="Arial"/>
                <w:sz w:val="20"/>
                <w:szCs w:val="20"/>
              </w:rPr>
              <w:t>, 2008</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163hs20bof","properties":{"formattedCitation":"[119]","plainCitation":"[119]"},"citationItems":[{"id":4894,"uris":["http://zotero.org/users/1562642/items/5GJFEXWH"],"uri":["http://zotero.org/users/1562642/items/5GJFEXWH"],"itemData":{"id":4894,"type":"article-journal","title":"Neurocognitive vulnerability amongst university rugby players versus noncontact sport controls","container-title":"Journal of Clinical and Experimental Neuropsychology","page":"870-884","volume":"30","issue":"8","source":"EBSCOhost","archive_location":"2008-15558-002","abstract":"University rugby players were compared with IQ-equivalent noncontact sports controls on memory and attentional tasks at the pre- and postseason intervals. Results revealed significant lowering for rugby players relative to controls at the postseason interval for attentional tasks with a speeded visuomotor component (ImPACT Visual Motor Speed; Trail Making Test, TMT, A and B). There was a practice effect for controls only between the pre- and postseason intervals for attentional tasks that commonly reveal improvements after a long retest interval (TMT A and B; Digits Backwards). Medium to large effect sizes implicate clinically relevant cognitive vulnerability for university-level rugby players in association with years of exposure to repetitive concussive injury. (PsycINFO Database Record (c) 2012 APA, all rights reserved). (journal abstract)","DOI":"10.1080/13803390701846914","ISSN":"1380-3395","journalAbbreviation":"Journal of Clinical and Experimental Neuropsychology","author":[{"family":"Shuttleworth-Edwards","given":"Ann B."},{"family":"Smith","given":"Ian"},{"family":"Radloff","given":"Sarah E."}],"issued":{"date-parts":[["2008"]]}}}],"schema":"https://github.com/citation-style-language/schema/raw/master/csl-citation.json"} </w:instrText>
            </w:r>
            <w:r>
              <w:rPr>
                <w:rFonts w:ascii="Arial" w:hAnsi="Arial" w:cs="Arial"/>
                <w:sz w:val="20"/>
                <w:szCs w:val="20"/>
              </w:rPr>
              <w:fldChar w:fldCharType="separate"/>
            </w:r>
            <w:r w:rsidRPr="00A3442C">
              <w:rPr>
                <w:rFonts w:ascii="Arial" w:hAnsi="Arial" w:cs="Arial"/>
                <w:sz w:val="20"/>
              </w:rPr>
              <w:t>[119]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2008</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South Africa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91.11</w:t>
            </w:r>
          </w:p>
          <w:p w:rsidR="00F537B6" w:rsidRPr="00563EB7" w:rsidRDefault="00F537B6" w:rsidP="00F537B6">
            <w:pPr>
              <w:rPr>
                <w:rFonts w:ascii="Arial" w:hAnsi="Arial" w:cs="Arial"/>
                <w:sz w:val="20"/>
                <w:szCs w:val="20"/>
              </w:rPr>
            </w:pPr>
            <w:r w:rsidRPr="00563EB7">
              <w:rPr>
                <w:rFonts w:ascii="Arial" w:hAnsi="Arial" w:cs="Arial"/>
                <w:sz w:val="20"/>
                <w:szCs w:val="20"/>
              </w:rPr>
              <w:t>Zimbabwean, 8.89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319</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Shuttleworth</w:t>
            </w:r>
            <w:proofErr w:type="spellEnd"/>
            <w:r w:rsidRPr="00563EB7">
              <w:rPr>
                <w:rFonts w:ascii="Arial" w:hAnsi="Arial" w:cs="Arial"/>
                <w:sz w:val="20"/>
                <w:szCs w:val="20"/>
              </w:rPr>
              <w:t xml:space="preserve">-Edwards, Whitefield-Alexander, </w:t>
            </w:r>
            <w:proofErr w:type="spellStart"/>
            <w:r w:rsidRPr="00563EB7">
              <w:rPr>
                <w:rFonts w:ascii="Arial" w:hAnsi="Arial" w:cs="Arial"/>
                <w:sz w:val="20"/>
                <w:szCs w:val="20"/>
              </w:rPr>
              <w:t>Radloff</w:t>
            </w:r>
            <w:proofErr w:type="spellEnd"/>
            <w:r w:rsidRPr="00563EB7">
              <w:rPr>
                <w:rFonts w:ascii="Arial" w:hAnsi="Arial" w:cs="Arial"/>
                <w:sz w:val="20"/>
                <w:szCs w:val="20"/>
              </w:rPr>
              <w:t>, Taylor, &amp; Lovell, 2009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nrjnd2u65","properties":{"formattedCitation":"[120]","plainCitation":"[120]"},"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Multiple countries</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11257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100</w:t>
            </w:r>
          </w:p>
          <w:p w:rsidR="00F537B6" w:rsidRPr="00563EB7" w:rsidRDefault="00F537B6" w:rsidP="00F537B6">
            <w:pPr>
              <w:rPr>
                <w:rFonts w:ascii="Arial" w:hAnsi="Arial" w:cs="Arial"/>
                <w:sz w:val="20"/>
                <w:szCs w:val="20"/>
              </w:rPr>
            </w:pPr>
            <w:r w:rsidRPr="00563EB7">
              <w:rPr>
                <w:rFonts w:ascii="Arial" w:hAnsi="Arial" w:cs="Arial"/>
                <w:sz w:val="20"/>
                <w:szCs w:val="20"/>
              </w:rPr>
              <w:t>United States, 85.64</w:t>
            </w:r>
          </w:p>
          <w:p w:rsidR="00F537B6" w:rsidRPr="00563EB7" w:rsidRDefault="00F537B6" w:rsidP="00F537B6">
            <w:pPr>
              <w:rPr>
                <w:rFonts w:ascii="Arial" w:hAnsi="Arial" w:cs="Arial"/>
                <w:sz w:val="20"/>
                <w:szCs w:val="20"/>
              </w:rPr>
            </w:pPr>
            <w:r w:rsidRPr="00563EB7">
              <w:rPr>
                <w:rFonts w:ascii="Arial" w:hAnsi="Arial" w:cs="Arial"/>
                <w:sz w:val="20"/>
                <w:szCs w:val="20"/>
              </w:rPr>
              <w:t>South African, 14.36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428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Silverberg, </w:t>
            </w:r>
            <w:proofErr w:type="spellStart"/>
            <w:r w:rsidRPr="00563EB7">
              <w:rPr>
                <w:rFonts w:ascii="Arial" w:hAnsi="Arial" w:cs="Arial"/>
                <w:sz w:val="20"/>
                <w:szCs w:val="20"/>
              </w:rPr>
              <w:t>Luoto</w:t>
            </w:r>
            <w:proofErr w:type="spellEnd"/>
            <w:r w:rsidRPr="00563EB7">
              <w:rPr>
                <w:rFonts w:ascii="Arial" w:hAnsi="Arial" w:cs="Arial"/>
                <w:sz w:val="20"/>
                <w:szCs w:val="20"/>
              </w:rPr>
              <w:t xml:space="preserve">, </w:t>
            </w:r>
            <w:proofErr w:type="spellStart"/>
            <w:r w:rsidRPr="00563EB7">
              <w:rPr>
                <w:rFonts w:ascii="Arial" w:hAnsi="Arial" w:cs="Arial"/>
                <w:sz w:val="20"/>
                <w:szCs w:val="20"/>
              </w:rPr>
              <w:t>Öhman</w:t>
            </w:r>
            <w:proofErr w:type="spellEnd"/>
            <w:r w:rsidRPr="00563EB7">
              <w:rPr>
                <w:rFonts w:ascii="Arial" w:hAnsi="Arial" w:cs="Arial"/>
                <w:sz w:val="20"/>
                <w:szCs w:val="20"/>
              </w:rPr>
              <w:t>, &amp; Iverson,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4250bbjja","properties":{"formattedCitation":"[121]","plainCitation":"[121]"},"citationItems":[{"id":4895,"uris":["http://zotero.org/users/1562642/items/FQVFQ7EU"],"uri":["http://zotero.org/users/1562642/items/FQVFQ7EU"],"itemData":{"id":4895,"type":"article-journal","title":"Assessment of mild traumatic brain injury with the King-Devick Test® in an emergency department sample","container-title":"Brain Injury","page":"1590-1593","volume":"28","issue":"12","source":"EBSCOhost","archive_location":"2014-43693-010","abstract":"Objective: The King-Devick Test® (K-D) is a brief measure of cognitive processing speed and rapid gaze shifting that appears sensitive to the effects of sport-related concussion. This study evaluated its diagnostic and incremental validity in civilian patients with mild traumatic brain injury (MTBI). Methods: Participants with MTBI (n = 26) and controls with non-head injuries (n = 33) were prospectively recruited from an Emergency Department (ED). They underwent a clinical evaluation including the K-D test and the Sport Concussion Assessment Tool 2 (SCAT2). Magnetic resonance imaging (MRI) was conducted within 10 days post-injury. Results: The patients with MTBI differed from those without MTBI on components of the SCAT2, including the Symptom Scale (Cohen’s d = 1.02–1.15, p &lt; 0.001) and Standardized Assessment of Concussion (d = 0.81, p = 0.004), but not the K-D test (d = 0.40, p = 0.148). In a logistic regression analysis, the K-D Test did not contribute over and above these two measures in predicting group membership (MTBI vs. control), p = 0.191. Low K-D Test scores in the MTBI group (&lt;1 SD below controls) were not associated with poor SCAT2 performance, loss of consciousness or traumatic abnormalities on MRI, suggesting these cases may have been false positives. Conclusions: The present findings do not support the K-D Test for the assessment of civilian MTBI in an ED setting. (PsycINFO Database Record (c) 2015 APA, all rights reserved). (journal abstract)","DOI":"10.3109/02699052.2014.943287","ISSN":"0269-9052","journalAbbreviation":"Brain Injury","author":[{"family":"Silverberg","given":"Noah D."},{"family":"Luoto","given":"Teemu M."},{"family":"Öhman","given":"Juha"},{"family":"Iverson","given":"Grant L."}],"issued":{"date-parts":[["2014",11]]}}}],"schema":"https://github.com/citation-style-language/schema/raw/master/csl-citation.json"}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Finland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386</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Siman</w:t>
            </w:r>
            <w:proofErr w:type="spellEnd"/>
            <w:r w:rsidRPr="00563EB7">
              <w:rPr>
                <w:rFonts w:ascii="Arial" w:hAnsi="Arial" w:cs="Arial"/>
                <w:sz w:val="20"/>
                <w:szCs w:val="20"/>
              </w:rPr>
              <w:t xml:space="preserve">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mtqshshab","properties":{"formattedCitation":"[122]","plainCitation":"[122]"},"citationItems":[{"id":5257,"uris":["http://zotero.org/users/1562642/items/U7E369WI"],"uri":["http://zotero.org/users/1562642/items/U7E369WI"],"itemData":{"id":5257,"type":"article-journal","title":"Evidence that the blood biomarker SNTF predicts brain imaging changes and persistent cognitive dysfunction in mild TBI patients","container-title":"Frontiers in Neurology","page":"190","volume":"4","source":"EBSCOhost","abstract":"Although mild traumatic brain injury (mTBI), or concussion, is not typically associated with abnormalities on computed tomography (CT), it nevertheless causes persistent cognitive dysfunction for many patients. Consequently, new prognostic methods for mTBI are needed to identify at risk cases, especially at an early and potentially treatable stage. Here, we quantified plasma levels of the neurodegeneration biomarker calpain-cleaved αII-spectrin N-terminal fragment (SNTF) from 38 participants with CT-negative mTBI, orthopedic injury (OI), and normal uninjured controls (UCs) (age range 12-30 years), and compared them with findings from diffusion tensor imaging (DTI) and long-term cognitive assessment. SNTF levels were at least twice the lower limit of detection in 7 of 17 mTBI cases and in 3 of 13 OI cases, but in none of the UCs. An elevation in plasma SNTF corresponded with significant differences in fractional anisotropy and the apparent diffusion coefficient in the corpus callosum and uncinate fasciculus measured by DTI. Furthermore, increased plasma SNTF on the day of injury correlated significantly with cognitive impairment that persisted for at least 3 months, both across all study participants and also among the mTBI cases by themselves. The elevation in plasma SNTF in the subset of OI cases, accompanied by corresponding white matter and cognitive abnormalities, raises the possibility of identifying undiagnosed cases of mTBI. These data suggest that the blood level of SNTF on the day of a CT-negative mTBI may identify a subset of patients at risk of white matter damage and persistent disability. SNTF could have prognostic and diagnostic utilities in the assessment and treatment of mTBI.","DOI":"10.3389/fneur.2013.00190","ISSN":"16642295","journalAbbreviation":"Frontiers in Neurology","author":[{"family":"Siman","given":"Robert"},{"family":"Giovannone","given":"Nicholas"},{"family":"Hanten","given":"Gerri"},{"family":"Wilde","given":"Elisabeth A."},{"family":"McCauley","given":"Stephen R."},{"family":"Hunter","given":"Jill V."},{"literal":"Xiaoqi Li"},{"family":"Levin","given":"Harvey S."},{"family":"Smith","given":"Douglas H."}],"issued":{"date-parts":[["2013",11]]}}}],"schema":"https://github.com/citation-style-language/schema/raw/master/csl-citation.json"}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Non-Black, 60.53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387</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Soble</w:t>
            </w:r>
            <w:proofErr w:type="spellEnd"/>
            <w:r w:rsidRPr="00563EB7">
              <w:rPr>
                <w:rFonts w:ascii="Arial" w:hAnsi="Arial" w:cs="Arial"/>
                <w:sz w:val="20"/>
                <w:szCs w:val="20"/>
              </w:rPr>
              <w:t xml:space="preserve">, </w:t>
            </w:r>
            <w:proofErr w:type="spellStart"/>
            <w:r w:rsidRPr="00563EB7">
              <w:rPr>
                <w:rFonts w:ascii="Arial" w:hAnsi="Arial" w:cs="Arial"/>
                <w:sz w:val="20"/>
                <w:szCs w:val="20"/>
              </w:rPr>
              <w:t>Spanierman</w:t>
            </w:r>
            <w:proofErr w:type="spellEnd"/>
            <w:r w:rsidRPr="00563EB7">
              <w:rPr>
                <w:rFonts w:ascii="Arial" w:hAnsi="Arial" w:cs="Arial"/>
                <w:sz w:val="20"/>
                <w:szCs w:val="20"/>
              </w:rPr>
              <w:t>, &amp; Smith,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5mc8clt5v","properties":{"formattedCitation":"[123]","plainCitation":"[123]"},"citationItems":[{"id":4900,"uris":["http://zotero.org/users/1562642/items/5X7NJZJH"],"uri":["http://zotero.org/users/1562642/items/5X7NJZJH"],"itemData":{"id":4900,"type":"article-journal","title":"Neuropsychological functioning of combat veterans with posttraumatic stress disorder and mild traumatic brain injury","container-title":"Journal of Clinical and Experimental Neuropsychology","page":"551-561","volume":"35","issue":"5","source":"EBSCOhost","archive_location":"2013-20945-011","abstract":"This study examined the neuropsychological performance of 125 outpatient Operation Enduring Freedom/Operation Iraqi Freedom combat veterans with posttraumatic stress disorder (PTSD) and nonacute mild traumatic brain injury (TBI) (n = 66) and PTSD (n = 59) across multiple cognitive domains to determine whether mild TBI results in greater impairment among those with PTSD. Profile analyses revealed that veterans with PTSD and mild TBI did not differ significantly from those with just PTSD across domains, suggesting that comorbid mild TBI does not result in an additive effect. A norms-based comparison also revealed that neither group demonstrated impaired performance on any of the objective neuropsychological measures examined. However, both groups endorsed moderately elevated symptoms of depression and anxiety, indicating that comorbid psychopathology may contribute to subjective cognitive complaints. (PsycINFO Database Record (c) 2014 APA, all rights reserved). (journal abstract)","DOI":"10.1080/13803395.2013.798398","ISSN":"1380-3395","journalAbbreviation":"Journal of Clinical and Experimental Neuropsychology","author":[{"family":"Soble","given":"Jason R."},{"family":"Spanierman","given":"Lisa B."},{"family":"Smith","given":"Julie Fitzgerald"}],"issued":{"date-parts":[["2013",6]]}}}],"schema":"https://github.com/citation-style-language/schema/raw/master/csl-citation.json"}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91.2</w:t>
            </w:r>
          </w:p>
          <w:p w:rsidR="00F537B6" w:rsidRPr="00563EB7" w:rsidRDefault="00F537B6" w:rsidP="00F537B6">
            <w:pPr>
              <w:rPr>
                <w:rFonts w:ascii="Arial" w:hAnsi="Arial" w:cs="Arial"/>
                <w:sz w:val="20"/>
                <w:szCs w:val="20"/>
              </w:rPr>
            </w:pPr>
            <w:r w:rsidRPr="00563EB7">
              <w:rPr>
                <w:rFonts w:ascii="Arial" w:hAnsi="Arial" w:cs="Arial"/>
                <w:sz w:val="20"/>
                <w:szCs w:val="20"/>
              </w:rPr>
              <w:t>African-American, 4</w:t>
            </w:r>
          </w:p>
          <w:p w:rsidR="00F537B6" w:rsidRPr="00563EB7" w:rsidRDefault="00F537B6" w:rsidP="00F537B6">
            <w:pPr>
              <w:rPr>
                <w:rFonts w:ascii="Arial" w:hAnsi="Arial" w:cs="Arial"/>
                <w:sz w:val="20"/>
                <w:szCs w:val="20"/>
              </w:rPr>
            </w:pPr>
            <w:r w:rsidRPr="00563EB7">
              <w:rPr>
                <w:rFonts w:ascii="Arial" w:hAnsi="Arial" w:cs="Arial"/>
                <w:sz w:val="20"/>
                <w:szCs w:val="20"/>
              </w:rPr>
              <w:t>Hispanic or Latino, 4</w:t>
            </w:r>
          </w:p>
          <w:p w:rsidR="00F537B6" w:rsidRPr="00563EB7" w:rsidRDefault="00F537B6" w:rsidP="00F537B6">
            <w:pPr>
              <w:rPr>
                <w:rFonts w:ascii="Arial" w:hAnsi="Arial" w:cs="Arial"/>
                <w:sz w:val="20"/>
                <w:szCs w:val="20"/>
              </w:rPr>
            </w:pPr>
            <w:r w:rsidRPr="00563EB7">
              <w:rPr>
                <w:rFonts w:ascii="Arial" w:hAnsi="Arial" w:cs="Arial"/>
                <w:sz w:val="20"/>
                <w:szCs w:val="20"/>
              </w:rPr>
              <w:t>Other, 0.8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534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Sponheim</w:t>
            </w:r>
            <w:proofErr w:type="spellEnd"/>
            <w:r w:rsidRPr="00563EB7">
              <w:rPr>
                <w:rFonts w:ascii="Arial" w:hAnsi="Arial" w:cs="Arial"/>
                <w:sz w:val="20"/>
                <w:szCs w:val="20"/>
              </w:rPr>
              <w:t xml:space="preserve"> et al., 2011</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20pjh0jg51","properties":{"formattedCitation":"[124]","plainCitation":"[124]"},"citationItems":[{"id":4907,"uris":["http://zotero.org/users/1562642/items/NWMDJRJQ"],"uri":["http://zotero.org/users/1562642/items/NWMDJRJQ"],"itemData":{"id":4907,"type":"article-journal","title":"Evidence of disrupted functional connectivity in the brain after combat-related blast injury","container-title":"NeuroImage","page":"S21-S29","volume":"54","issue":"Suppl 1","source":"EBSCOhost","archive_location":"2010-21283-001","abstract":"Non-impact blast-related mild traumatic brain injury (mTBI) appears to be present in soldiers returning from deployments to Afghanistan and Iraq. Although mTBI typically results in cognitive deficits that last less than a month, there is evidence that disrupted coordination of brain activity can persist for at least several months following injury ([Thatcher et al., 1989] and [Thatcher et al., 2001]). In the present study we examined whether neural communication may be affected in soldiers months after blast-related mTBI, and whether coordination of neural function is associated with underlying white matter integrity. The investigation included an application of a new time–frequency based method for measuring electroencephalogram (EEG) phase synchronization (Aviyente et al., 2010) as well as fractional anisotropy measures of axonal tracts derived from diffusion tensor imaging (DTI). Nine soldiers who incurred a blast-related mTBI during deployments to Afghanistan or Iraq were compared with eight demographically similar control subjects. Despite an absence of cognitive deficits, the blast-related mTBI group exhibited diminished EEG phase synchrony of lateral frontal sites with contralateral frontal brain regions suggesting diminished interhemispheric coordination of brain activity as a result of blast injury. For blast injured (i.e., blast-related mTBI) soldiers we found that EEG phase synchrony was associated with the structural integrity of white matter tracts of the frontal lobe (left anterior thalamic radiations and the forceps minor including the anterior corpus callosum). Analyses revealed that diminished EEG phase synchrony was not the consequence of combat-stress symptoms (e.g., post-traumatic stress and depression) and commonly prescribed medications. Results provide evidence for poor coordination of frontal neural function after blast injury that may be the consequence of damaged anterior white matter tracts. (PsycINFO Database Record (c) 2012 APA, all rights reserved). (journal abstract)","DOI":"10.1016/j.neuroimage.2010.09.007","ISSN":"1053-8119","journalAbbreviation":"NeuroImage","author":[{"family":"Sponheim","given":"Scott R."},{"family":"McGuire","given":"Kathryn A."},{"family":"Kang","given":"Seung Suk"},{"family":"Davenport","given":"Nicholas D."},{"family":"Aviyente","given":"Selin"},{"family":"Bernat","given":"Edward M."},{"family":"Lim","given":"Kelvin O."}],"issued":{"date-parts":[["2011",1]]}}}],"schema":"https://github.com/citation-style-language/schema/raw/master/csl-citation.json"}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2011</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1127</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Stamm</w:t>
            </w:r>
            <w:proofErr w:type="spellEnd"/>
            <w:r w:rsidRPr="00563EB7">
              <w:rPr>
                <w:rFonts w:ascii="Arial" w:hAnsi="Arial" w:cs="Arial"/>
                <w:sz w:val="20"/>
                <w:szCs w:val="20"/>
              </w:rPr>
              <w:t xml:space="preserve">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tvj5e6hto","properties":{"formattedCitation":"[125]","plainCitation":"[125]"},"citationItems":[{"id":5475,"uris":["http://zotero.org/users/1562642/items/H3TUJEMV"],"uri":["http://zotero.org/users/1562642/items/H3TUJEMV"],"itemData":{"id":5475,"type":"article-journal","title":"Age of first exposure to football and later-life cognitive impairment in former NFL players","container-title":"Neurology","page":"1114-1120","volume":"84","issue":"11","source":"EBSCOhost","archive_location":"25632088","abstract":"Objective: To determine the relationship between exposure to repeated head impacts through tackle football prior to age 12, during a key period of brain development, and later-life executive function, memory, and estimated verbal IQ.; Methods: Forty-two former National Football League (NFL) players ages 40-69 from the Diagnosing and Evaluating Traumatic Encephalopathy using Clinical Tests (DETECT) study were matched by age and divided into 2 groups based on their age of first exposure (AFE) to tackle football: AFE &lt;12 and AFE ≥12. Participants completed the Wisconsin Card Sort Test (WCST), Neuropsychological Assessment Battery List Learning test (NAB-LL), and Wide Range Achievement Test, 4th edition (WRAT-4) Reading subtest as part of a larger neuropsychological testing battery.; Results: Former NFL players in the AFE &lt;12 group performed significantly worse than the AFE ≥12 group on all measures of the WCST, NAB-LL, and WRAT-4 Reading tests after controlling for total number of years of football played and age at the time of evaluation, indicating executive dysfunction, memory impairment, and lower estimated verbal IQ.; Conclusions: There is an association between participation in tackle football prior to age 12 and greater later-life cognitive impairment measured using objective neuropsychological tests. These findings suggest that incurring repeated head impacts during a critical neurodevelopmental period may increase the risk of later-life cognitive impairment. If replicated with larger samples and longitudinal designs, these findings may have implications for safety recommendations for youth sports.; © 2015 American Academy of Neurology.","DOI":"10.1212/WNL.0000000000001358","ISSN":"1526-632X","journalAbbreviation":"Neurology","author":[{"family":"Stamm","given":"Julie M"},{"family":"Bourlas","given":"Alexandra P"},{"family":"Baugh","given":"Christine M"},{"family":"Fritts","given":"Nathan G"},{"family":"Daneshvar","given":"Daniel H"},{"family":"Martin","given":"Brett M"},{"family":"McClean","given":"Michael D"},{"family":"Tripodis","given":"Yorghos"},{"family":"Stern","given":"Robert A"}],"issued":{"date-parts":[["2015",3,17]]}}}],"schema":"https://github.com/citation-style-language/schema/raw/master/csl-citation.json"}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African-American, 42.86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469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Strain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qpked1pe5","properties":{"formattedCitation":"[126]","plainCitation":"[126]"},"citationItems":[{"id":4912,"uris":["http://zotero.org/users/1562642/items/EXZ6KTTP"],"uri":["http://zotero.org/users/1562642/items/EXZ6KTTP"],"itemData":{"id":4912,"type":"article-journal","title":"Imaging correlates of memory and concussion history in retired National Football League athletes","container-title":"JAMA Neurology","page":"773-780","volume":"72","issue":"7","source":"EBSCOhost","archive_location":"2015-52479-010","abstract":"Importance: To our knowledge, this is the first study to show an association between concussion, cognition, and anatomical structural brain changes across the age spectrum in former National Football League athletes. Objective: To assess the relationship of hippocampal volume, memory performance, and the influence of concussion history in retired National Football League athletes with and without mild cognitive impairment (MCI). Design, Setting, and Participants: This retrospective cohort study assessed differences between groups, mean hippocampal volumes, and memory performance by computing age quintiles based on group-specific linear regression models corrected for multiple comparisons for both athletes and control participants. The study was conducted starting in November 2010 and is ongoing at a research center in the northern region of Texas. This current analysis was conducted from October 9, 2013, to August 21, 2014. Participants included 28 retired National Football League athletes, 8 of whom had MCI and a history of concussion, 21 cognitively healthy control participants, and 6 control participants with MCI without concussion. Main Outcomes and Measures: Hippocampal volume, age, California Verbal Learning Test scores, and the number of grade 3 (G3) concussions. In addition, the number of games played was examined as an Objective: variable pertaining to football history. Results: The mean (SD) age was 58.1 (13) years for the 28 former athletes and 59.0 (12) years for the 27 control participants. Retired athletes with concussion history but without cognitive impairment had normal but significantly lower California Verbal Learning Test scores compared with control participants (mean [SD], 52.5 [8] vs 60.24 [7]; P = .002); those with a concussion history and MCI performed worse (mean [SD], 37 [8.62]) compared with both control participants (P &lt; .001) and athletes without memory impairment (P &lt; .001). Among the athletes, 17 had a G3 concussion and 11 did not. Older retired athletes with at least 1 G3 concussion had significantly smaller bilateral hippocampal volumes compared with control participants at the 40th age percentile (left, P = .04; right, P = .03), 60th percentile (left, P = .009; right, P = .01), and 80th percentile (left, P = .001; right, P = .002) and a smaller right hippocampal volume compared with athletes without a G3 concussion at the 40th percentile (P = .03), 60th percentile (P = .02), and 80th percentile (P = .02). Athletes with a history of G3 concussion were more likely to have MCI (7 of 7) compared with retired athletes without a history of G3 concussion (1 of 5) older than 63 years (P = .01). In addition, the left hippocampal volume in retired athletes with MCI and concussion was significantly smaller compared with control participants with MCI (P = .03). Conclusion and Relevance Prior concussion that Results in loss of consciousness is a risk factor for increased hippocampal atrophy and the development of MCI. In individuals with MCI, hippocampal volume loss appears greater among those with a history of concussion. (PsycINFO Database Record (c) 2015 APA, all rights reserved). (journal abstract)","DOI":"10.1001/jamaneurol.2015.0206","ISSN":"2168-6149","journalAbbreviation":"JAMA Neurology","author":[{"family":"Strain","given":"Jeremy F."},{"family":"Womack","given":"Kyle B."},{"family":"Didehbani","given":"Nyaz"},{"family":"Spence","given":"Jeffrey S."},{"family":"Conover","given":"Heather"},{"family":"Hart","given":"John Jr."},{"family":"Kraut","given":"Michael A."},{"family":"Cullum","given":"C. Munro"}],"issued":{"date-parts":[["2015",7]]}}}],"schema":"https://github.com/citation-style-language/schema/raw/master/csl-citation.json"}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78.18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20</w:t>
            </w:r>
          </w:p>
          <w:p w:rsidR="00F537B6" w:rsidRPr="00563EB7" w:rsidRDefault="00F537B6" w:rsidP="00F537B6">
            <w:pPr>
              <w:rPr>
                <w:rFonts w:ascii="Arial" w:hAnsi="Arial" w:cs="Arial"/>
                <w:sz w:val="20"/>
                <w:szCs w:val="20"/>
              </w:rPr>
            </w:pPr>
            <w:r w:rsidRPr="00563EB7">
              <w:rPr>
                <w:rFonts w:ascii="Arial" w:hAnsi="Arial" w:cs="Arial"/>
                <w:sz w:val="20"/>
                <w:szCs w:val="20"/>
              </w:rPr>
              <w:t>Asian, 1.82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321</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Straume-Næsheim</w:t>
            </w:r>
            <w:proofErr w:type="spellEnd"/>
            <w:r w:rsidRPr="00563EB7">
              <w:rPr>
                <w:rFonts w:ascii="Arial" w:hAnsi="Arial" w:cs="Arial"/>
                <w:sz w:val="20"/>
                <w:szCs w:val="20"/>
              </w:rPr>
              <w:t xml:space="preserve"> et al., 2009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nr212mnoj","properties":{"formattedCitation":"[127]","plainCitation":"[127]"},"citationItems":[{"id":4482,"uris":["http://zotero.org/users/1562642/items/3MU624I2"],"uri":["http://zotero.org/users/1562642/items/3MU624I2"],"itemData":{"id":4482,"type":"article-journal","title":"Do minor head impacts in soccer cause concussive injury? A prospective case-control study","container-title":"Neurosurgery","page":"719-725","volume":"64","issue":"4","source":"EBSCOhost","archive_location":"19349829","abstract":"Objective: Our objective was to determine whether minor head trauma in elite soccer matches causes measurable impairment in brain function.; Methods: Baseline neuropsychological testing was completed by professional soccer players in the Norwegian elite league, Tippeligaen, before the 2004 and 2005 seasons (n = 462). A player who experienced a head impact during a league match completed a follow-up test the next day (head impact group). Videotapes of all impacts were collected and reviewed. A group of players without head impacts was also tested after a league match to serve as controls (matched control group; n = 47).; Results: A total of 228 impacts were identified, and 44 (19.3%) of these were followed up with a CogSport test (CogState, Ltd., Charlton South, Australia; the players who were tested tended to have more severe injuries, but there were only 6 cases with loss of consciousness). The head impact group had a greater change in reaction time from baseline to follow-up compared with the matched control group with regard to the 3 simplest tasks. The largest deficits were seen among the players reporting acute symptoms after the impact, but deficits were also demonstrated among asymptomatic players. Players who experienced 1 or more head impacts during the 2004 season showed a reduction in neuropsychological performance when tested before the 2005 season. However, none of these players was impaired when compared with the test manufacturer's normative data.; Conclusion: A reduced neuropsychological performance was found after minor head impacts in soccer, even in allegedly asymptomatic players. However, the long-term cognitive consequences are uncertain.;","DOI":"10.1227/01.NEU.0000340681.12949.6D","ISSN":"1524-4040","shortTitle":"Do minor head impacts in soccer cause concussive injury?","journalAbbreviation":"Neurosurgery","author":[{"family":"Straume-Næsheim","given":"Truls M."},{"family":"Andersen","given":"Thor Einar"},{"family":"K Holme","given":"Ingar Morten"},{"family":"McIntosh","given":"Andrew S."},{"family":"Dvorak","given":"Jiří"},{"family":"Bahr","given":"Roald"}],"issued":{"date-parts":[["2009",4]]}}}],"schema":"https://github.com/citation-style-language/schema/raw/master/csl-citation.json"}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Norway</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455</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Norweigan</w:t>
            </w:r>
            <w:proofErr w:type="spellEnd"/>
            <w:r w:rsidRPr="00563EB7">
              <w:rPr>
                <w:rFonts w:ascii="Arial" w:hAnsi="Arial" w:cs="Arial"/>
                <w:sz w:val="20"/>
                <w:szCs w:val="20"/>
              </w:rPr>
              <w:t xml:space="preserve"> or Scandinavian, 69.67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504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Straume-Næsheim</w:t>
            </w:r>
            <w:proofErr w:type="spellEnd"/>
            <w:r w:rsidRPr="00563EB7">
              <w:rPr>
                <w:rFonts w:ascii="Arial" w:hAnsi="Arial" w:cs="Arial"/>
                <w:sz w:val="20"/>
                <w:szCs w:val="20"/>
              </w:rPr>
              <w:t>, Andersen, &amp; Bahr, 2005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29g8khcldk","properties":{"formattedCitation":"[128]","plainCitation":"[128]"},"citationItems":[{"id":5028,"uris":["http://zotero.org/users/1562642/items/IN3XNSJ2"],"uri":["http://zotero.org/users/1562642/items/IN3XNSJ2"],"itemData":{"id":5028,"type":"article-journal","title":"Reproducibility of computer based neuropsychological testing among Norwegian elite football players","container-title":"British Journal of Sports Medicine","page":"i64-i69","volume":"39","source":"EBSCOhost","abstract":"Background: Head in juries account for 4-22% of all football injuries. The rate of brain injuries is difficult to assess, due to the problem of defining and grading concussion. Thus computerised testing programs for cognitive function have been developed. Objective: To assess the reliability of a computerised neuropsychological test battery (CogSport) among Norwegian professional football players. Methods: Norwegian professional football league players (90.3% participation) performed two consecutive baseline Cogsport tests before the 2004 season. CogSport consists of seven different subtasks: simple reaction time (SRT), choice reaction time (ChRT), congruent reaction time (CgRT), monitoring (MON), one-back (OBK), matching (Match) and learning (Learn). Results: There was a small but significant improvement from repeated testing for the reaction time measurements of all seven subtasks (SRT: 0.7%, ChRT: 0.4%, CgRT: 1.2%, MON: 1.3%, OBK: 2.7%, Match: 2.0%, Learn: 1.1 %). The coefficient of variation (CV) ranged from 1.0% to 2.7%; corresponding intraclass correlation coefficients ranged from 0.45 (0.34 to 0.55) to 0.79 (0.74 to 0.84). The standard deviation data showed higher CVs, ranging from 3.7% (Learn) to 14.2% (SRT). Thus, the variance decreased with increasing complexity of the task. The accuracy data displayed uniformly high CV (10.4-12.2) and corresponding low intraclass correlation coefficient (0.14 (0.01 to 0.26) to 0.31 (0.19 to 0.42)). Conclusion: The reproducibility for the mean reaction time measures was excellent, but less good for measures of accuracy and consistency. Consecutive testing revealed a slight learning effect from test 1 to test 2, and double baseline testing is recommended to minimise this effect.","DOI":"10.1136/bjsm.2005.019620","ISSN":"03063674","journalAbbreviation":"British Journal of Sports Medicine","author":[{"family":"Straume-Næsheim","given":"Truls M."},{"family":"Andersen","given":"Thor Einar"},{"family":"Bahr","given":"Roald"}],"issued":{"date-parts":[["2005",8,2]]}}}],"schema":"https://github.com/citation-style-language/schema/raw/master/csl-citation.json"}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Norway</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232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Norway, 83.19</w:t>
            </w:r>
          </w:p>
          <w:p w:rsidR="00F537B6" w:rsidRPr="00563EB7" w:rsidRDefault="00F537B6" w:rsidP="00F537B6">
            <w:pPr>
              <w:rPr>
                <w:rFonts w:ascii="Arial" w:hAnsi="Arial" w:cs="Arial"/>
                <w:sz w:val="20"/>
                <w:szCs w:val="20"/>
              </w:rPr>
            </w:pPr>
            <w:r w:rsidRPr="00563EB7">
              <w:rPr>
                <w:rFonts w:ascii="Arial" w:hAnsi="Arial" w:cs="Arial"/>
                <w:sz w:val="20"/>
                <w:szCs w:val="20"/>
              </w:rPr>
              <w:t>Other European, 9.05</w:t>
            </w:r>
          </w:p>
          <w:p w:rsidR="00F537B6" w:rsidRPr="00563EB7" w:rsidRDefault="00F537B6" w:rsidP="00F537B6">
            <w:pPr>
              <w:rPr>
                <w:rFonts w:ascii="Arial" w:hAnsi="Arial" w:cs="Arial"/>
                <w:sz w:val="20"/>
                <w:szCs w:val="20"/>
              </w:rPr>
            </w:pPr>
            <w:r w:rsidRPr="00563EB7">
              <w:rPr>
                <w:rFonts w:ascii="Arial" w:hAnsi="Arial" w:cs="Arial"/>
                <w:sz w:val="20"/>
                <w:szCs w:val="20"/>
              </w:rPr>
              <w:t>Scandinavian, 8.19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434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Suchy</w:t>
            </w:r>
            <w:proofErr w:type="spellEnd"/>
            <w:r w:rsidRPr="00563EB7">
              <w:rPr>
                <w:rFonts w:ascii="Arial" w:hAnsi="Arial" w:cs="Arial"/>
                <w:sz w:val="20"/>
                <w:szCs w:val="20"/>
              </w:rPr>
              <w:t xml:space="preserve">, Euler, &amp; </w:t>
            </w:r>
            <w:proofErr w:type="spellStart"/>
            <w:r w:rsidRPr="00563EB7">
              <w:rPr>
                <w:rFonts w:ascii="Arial" w:hAnsi="Arial" w:cs="Arial"/>
                <w:sz w:val="20"/>
                <w:szCs w:val="20"/>
              </w:rPr>
              <w:t>Eastvold</w:t>
            </w:r>
            <w:proofErr w:type="spellEnd"/>
            <w:r w:rsidRPr="00563EB7">
              <w:rPr>
                <w:rFonts w:ascii="Arial" w:hAnsi="Arial" w:cs="Arial"/>
                <w:sz w:val="20"/>
                <w:szCs w:val="20"/>
              </w:rPr>
              <w:t>,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k6d3h100k","properties":{"formattedCitation":"[129]","plainCitation":"[129]"},"citationItems":[{"id":4914,"uris":["http://zotero.org/users/1562642/items/T5Q8XRZP"],"uri":["http://zotero.org/users/1562642/items/T5Q8XRZP"],"itemData":{"id":4914,"type":"article-journal","title":"Exaggerated reaction to novelty as a subclinical consequence of mild traumatic brain injury","container-title":"Brain Injury","page":"972-979","volume":"28","issue":"7","source":"EBSCOhost","archive_location":"2014-20561-012","abstract":"Objectives: To evaluate exaggerated reaction to novelty as a behavioural marker of sub-clinical cognitive dysfunction in individuals with a history of mild traumatic brain injury (mTBI). Background and hypothesis: A sub-set of individuals who sustain mTBIs report persistent cognitive difficulties despite normal performance on traditional neuropsychological measures. Evidence of subtle neuroimaging abnormalities following mTBI lends support to such subjective complaints. However, behavioural evidence is limited. This study examined whether behavioural response to task novelty (‘novelty effect’ or NE) is exaggerated in mTBI (NE has previously successfully identified pre-clinical cognitive decline among older adults). It was hypothesized that individuals with a history of mTBI would exhibit increased NE relative to controls, despite normal performance on traditional neuropsychological measures. Methods: Thirty-eight male criminal offenders completed semi-structured interviews of their mTBI and other history, conventional neuropsychological testing and a computerized motor planning task that quantified NE. Results: As expected, participants with a history of mTBI exhibited significantly greater NE, despite no group differences in traditional neuropsychological test performance. A greater number of injuries was positively related to NE magnitude and unrelated to traditional measures. Conclusions: Increased NE indexes sub-clinical sequelae of mTBI and may represent a general marker of mild neurological dysfunction. (PsycINFO Database Record (c) 2015 APA, all rights reserved). (journal abstract)","DOI":"10.3109/02699052.2014.888766","ISSN":"0269-9052","journalAbbreviation":"Brain Injury","author":[{"family":"Suchy","given":"Yana"},{"family":"Euler","given":"Matthew"},{"family":"Eastvold","given":"Angela"}],"issued":{"date-parts":[["2014",6]]}}}],"schema":"https://github.com/citation-style-language/schema/raw/master/csl-citation.json"}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[129]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Non-Caucasian, 18.42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1230</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Tay</w:t>
            </w:r>
            <w:proofErr w:type="spellEnd"/>
            <w:r w:rsidRPr="00563EB7">
              <w:rPr>
                <w:rFonts w:ascii="Arial" w:hAnsi="Arial" w:cs="Arial"/>
                <w:sz w:val="20"/>
                <w:szCs w:val="20"/>
              </w:rPr>
              <w:t xml:space="preserve">, </w:t>
            </w:r>
            <w:proofErr w:type="spellStart"/>
            <w:r w:rsidRPr="00563EB7">
              <w:rPr>
                <w:rFonts w:ascii="Arial" w:hAnsi="Arial" w:cs="Arial"/>
                <w:sz w:val="20"/>
                <w:szCs w:val="20"/>
              </w:rPr>
              <w:t>Ang</w:t>
            </w:r>
            <w:proofErr w:type="spellEnd"/>
            <w:r w:rsidRPr="00563EB7">
              <w:rPr>
                <w:rFonts w:ascii="Arial" w:hAnsi="Arial" w:cs="Arial"/>
                <w:sz w:val="20"/>
                <w:szCs w:val="20"/>
              </w:rPr>
              <w:t xml:space="preserve">, Lau, </w:t>
            </w:r>
            <w:proofErr w:type="spellStart"/>
            <w:r w:rsidRPr="00563EB7">
              <w:rPr>
                <w:rFonts w:ascii="Arial" w:hAnsi="Arial" w:cs="Arial"/>
                <w:sz w:val="20"/>
                <w:szCs w:val="20"/>
              </w:rPr>
              <w:t>Meyyappan</w:t>
            </w:r>
            <w:proofErr w:type="spellEnd"/>
            <w:r w:rsidRPr="00563EB7">
              <w:rPr>
                <w:rFonts w:ascii="Arial" w:hAnsi="Arial" w:cs="Arial"/>
                <w:sz w:val="20"/>
                <w:szCs w:val="20"/>
              </w:rPr>
              <w:t>, &amp; Collinson, 2010</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909onh9ck","properties":{"formattedCitation":"[130]","plainCitation":"[130]"},"citationItems":[{"id":5577,"uris":["http://zotero.org/users/1562642/items/8IIVBPKX"],"uri":["http://zotero.org/users/1562642/items/8IIVBPKX"],"itemData":{"id":5577,"type":"article-journal","title":"Chronic impairment of prospective memory after mild traumatic brain injury","container-title":"Journal of Neurotrauma","page":"77-83","volume":"27","issue":"1","source":"EBSCOhost","archive_location":"2011-18473-006","abstract":"Prospective memory (PM), the ability to recall future intentions, is crucial for independent living. Impairment of PM is a common complaint following head injury and is a significant impediment to good recovery, yet no studies have explored PM in mild traumatic brain injury (mTBI). In this study, prospective memory was examined in 31 mTBI patients and matched controls within a month of injury and 3 months after. mTBI patients performed more poorly than controls on the MIST task (Raskin, 2004) within the first month following injury, indicating that PM impairment is part of the acute cognitive sequelae of mTBI. These problems persisted beyond 3 months post-injury, suggesting that PM may be a sensitive indicator of cerebral compromise in mild brain injuries. (PsycINFO Database Record (c) 2015 APA, all rights reserved). (journal abstract)","DOI":"10.1089/neu.2009.1074","ISSN":"0897-7151","journalAbbreviation":"Journal of Neurotrauma","author":[{"family":"Tay","given":"Sze Yan"},{"family":"Ang","given":"Beng Ti"},{"family":"Lau","given":"Xin Yin"},{"family":"Meyyappan","given":"Amutha"},{"family":"Collinson","given":"Simon Lowes"}],"issued":{"date-parts":[["2010",1]]}}}],"schema":"https://github.com/citation-style-language/schema/raw/master/csl-citation.json"}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2010</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Singapore</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Chinese, 78.95</w:t>
            </w:r>
          </w:p>
          <w:p w:rsidR="00F537B6" w:rsidRPr="00563EB7" w:rsidRDefault="00F537B6" w:rsidP="00F537B6">
            <w:pPr>
              <w:rPr>
                <w:rFonts w:ascii="Arial" w:hAnsi="Arial" w:cs="Arial"/>
                <w:sz w:val="20"/>
                <w:szCs w:val="20"/>
              </w:rPr>
            </w:pPr>
            <w:r w:rsidRPr="00563EB7">
              <w:rPr>
                <w:rFonts w:ascii="Arial" w:hAnsi="Arial" w:cs="Arial"/>
                <w:sz w:val="20"/>
                <w:szCs w:val="20"/>
              </w:rPr>
              <w:t>Indian, 13.16</w:t>
            </w:r>
          </w:p>
          <w:p w:rsidR="00F537B6" w:rsidRPr="00563EB7" w:rsidRDefault="00F537B6" w:rsidP="00F537B6">
            <w:pPr>
              <w:rPr>
                <w:rFonts w:ascii="Arial" w:hAnsi="Arial" w:cs="Arial"/>
                <w:sz w:val="20"/>
                <w:szCs w:val="20"/>
              </w:rPr>
            </w:pPr>
            <w:r w:rsidRPr="00563EB7">
              <w:rPr>
                <w:rFonts w:ascii="Arial" w:hAnsi="Arial" w:cs="Arial"/>
                <w:sz w:val="20"/>
                <w:szCs w:val="20"/>
              </w:rPr>
              <w:t>Malay, 5.26</w:t>
            </w:r>
          </w:p>
          <w:p w:rsidR="00F537B6" w:rsidRPr="00563EB7" w:rsidRDefault="00F537B6" w:rsidP="00F537B6">
            <w:pPr>
              <w:rPr>
                <w:rFonts w:ascii="Arial" w:hAnsi="Arial" w:cs="Arial"/>
                <w:sz w:val="20"/>
                <w:szCs w:val="20"/>
              </w:rPr>
            </w:pPr>
            <w:r w:rsidRPr="00563EB7">
              <w:rPr>
                <w:rFonts w:ascii="Arial" w:hAnsi="Arial" w:cs="Arial"/>
                <w:sz w:val="20"/>
                <w:szCs w:val="20"/>
              </w:rPr>
              <w:t>Other, 2.63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330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Taylor et al., 2010</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o12e42fpr","properties":{"formattedCitation":"[131]","plainCitation":"[131]"},"citationItems":[{"id":5220,"uris":["http://zotero.org/users/1562642/items/8FHJ88SG"],"uri":["http://zotero.org/users/1562642/items/8FHJ88SG"],"itemData":{"id":5220,"type":"article-journal","title":"Post-concussive symptoms in children with mild traumatic brain injury","container-title":"Neuropsychology","page":"148-159","volume":"24","issue":"2","source":"EBSCOhost","archive_location":"2010-04449-003","abstract":"To investigate postconcussive symptoms (PCS) following pediatric mild traumatic brain injury (mTBI), 8- to 15-year-old children with mTBI (n = 186) and a comparison group with uncomplicated orthopedic injuries (OI, n = 99) were recruited from two emergency departments. Parent and child ratings of PCS and symptom counts were obtained within 3 weeks after injury (baseline) and at 1, 3, and 12 months postinjury. The mTBI group also completed magnetic resonance imaging at baseline. Group differences were examined using growth modeling, controlling for age at injury, sex, socioeconomic status, and (for parent-based measures) preinjury symptom levels. Relative to the OI group, the mTBI group had higher ratings of somatic PCS and parent counts of PCS at the initial assessments, but higher parent ratings of cognitive PCS and child counts of PCS throughout follow-up. Higher levels of PCS in the mTBI group were associated with motor-vehicle-related trauma, loss of consciousness, neuroimaging abnormalities, and hospitalization. The findings validate both transient and persistent PCS in children with mTBI and document associations of symptoms with injury and noninjury factors. (PsycINFO Database Record (c) 2015 APA, all rights reserved). (journal abstract)","DOI":"10.1037/a0018112","ISSN":"0894-4105","journalAbbreviation":"Neuropsychology","author":[{"family":"Taylor","given":"H. Gerry"},{"family":"Dietrich","given":"Ann"},{"family":"Nuss","given":"Kathryn"},{"family":"Wright","given":"Martha"},{"family":"Rusin","given":"Jerome"},{"family":"Bangert","given":"Barbara"},{"family":"Minich","given":"Nori"},{"family":"Yeates","given":"Keith Owen"}],"issued":{"date-parts":[["2010"]]}}}],"schema":"https://github.com/citation-style-language/schema/raw/master/csl-citation.json"}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2010</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285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68.77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484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Teel, Gay, Johnson, &amp; </w:t>
            </w:r>
            <w:proofErr w:type="spellStart"/>
            <w:r w:rsidRPr="00563EB7">
              <w:rPr>
                <w:rFonts w:ascii="Arial" w:hAnsi="Arial" w:cs="Arial"/>
                <w:sz w:val="20"/>
                <w:szCs w:val="20"/>
              </w:rPr>
              <w:t>Slobounov</w:t>
            </w:r>
            <w:proofErr w:type="spellEnd"/>
            <w:r w:rsidRPr="00563EB7">
              <w:rPr>
                <w:rFonts w:ascii="Arial" w:hAnsi="Arial" w:cs="Arial"/>
                <w:sz w:val="20"/>
                <w:szCs w:val="20"/>
              </w:rPr>
              <w:t>,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249t8drc1f","properties":{"formattedCitation":"[132]","plainCitation":"[132]"},"citationItems":[{"id":4515,"uris":["http://zotero.org/users/1562642/items/TRXPGT8H"],"uri":["http://zotero.org/users/1562642/items/TRXPGT8H"],"itemData":{"id":4515,"type":"article-journal","title":"Determining Sensitivity/Specificity of Virtual Reality-Based Neuropsychological Tool for Detecting Residual Abnormalities Following Sport-Related Concussion","container-title":"Neuropsychology","source":"EBSCOhost","archive_location":"2016-03875-001","abstract":"Objective: Computer-based neuropsychological (NP) evaluation is an effective clinical tool used to assess cognitive function which complements the clinical diagnosis of a concussion. However, some researchers and clinicians argue its lack of ecological validity places limitations on externalizing results to a sensory rich athletic environment. Virtual reality-based NP assessment offers clinical advantages using an immersive environment and evaluating domains not typically assessed by traditional NP assessments. The sensitivity and specificity of detecting lingering cognitive abnormalities was examined on components of a virtual reality-based NP assessment battery to cohort affiliation (concussed vs. controls). Method: Data were retrospectively gathered on 128 controls (no concussion) and 24 concussed college-age athletes on measures of spatial navigation, whole body reaction, attention, and balance in a virtual environment. Concussed athletes were tested within 10 days (M = 8.33, SD = 1.06) of concussion and were clinically asymptomatic at the time of testing. Results: A priori alpha level was set at 0.05 for all tests. Spatial navigation (sensitivity 95.8%/specificity 91.4%, d = 1.89), whole body reaction time (sensitivity 95.2%/specificity 89.1%, d = 1.50) and combined virtual reality modules (sensitivity 95.8%,/specificity 96.1%, d = 3.59) produced high sensitivity/specificity values when determining performance-based variability between groups. Conclusions: Use of a virtual reality-based NP platform can detect lingering cognitive abnormalities resulting from concussion in clinically asymptomatic participants. Virtual reality NP platforms may compliment the traditional concussion assessment battery by providing novel information. (PsycINFO Database Record (c) 2016 APA, all rights reserved). (journal abstract)","DOI":"10.1037/neu0000261","ISSN":"0894-4105","journalAbbreviation":"Neuropsychology","author":[{"family":"Teel","given":"Elizabeth"},{"family":"Gay","given":"Michael"},{"family":"Johnson","given":"Brian"},{"family":"Slobounov","given":"Semyon"}],"issued":{"date-parts":[["2016",1,25]]}}}],"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152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66.45</w:t>
            </w:r>
          </w:p>
          <w:p w:rsidR="00F537B6" w:rsidRPr="00563EB7" w:rsidRDefault="00F537B6" w:rsidP="00F537B6">
            <w:pPr>
              <w:rPr>
                <w:rFonts w:ascii="Arial" w:hAnsi="Arial" w:cs="Arial"/>
                <w:sz w:val="20"/>
                <w:szCs w:val="20"/>
              </w:rPr>
            </w:pPr>
            <w:r w:rsidRPr="00563EB7">
              <w:rPr>
                <w:rFonts w:ascii="Arial" w:hAnsi="Arial" w:cs="Arial"/>
                <w:sz w:val="20"/>
                <w:szCs w:val="20"/>
              </w:rPr>
              <w:t>African-American, 28.29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360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Terry et al.,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62ciqi0ql","properties":{"formattedCitation":"[133]","plainCitation":"[133]"},"citationItems":[{"id":4931,"uris":["http://zotero.org/users/1562642/items/TPUPEAGB"],"uri":["http://zotero.org/users/1562642/items/TPUPEAGB"],"itemData":{"id":4931,"type":"article-journal","title":"Lack of long-term fMRI differences after multiple sports-related concussions","container-title":"Brain Injury","page":"1684-1696","volume":"26","issue":"13-14","source":"EBSCOhost","archive_location":"2012-31381-014","abstract":"Introduction: Mild traumatic brain injury (mTBI) or concussion has been acutely associated with several cognitive symptoms, including deficits in response inhibition, working memory and motor performance. The pervasiveness of these cognitive symptoms has been more controversial. The effects of multiple concussions on neuropsychological functioning and brain activation following at least 6-months post-mTBI were examined. Methods: Twenty right-handed male athletes with a history of at least two concussions and 20 age/pre-morbid IQ/athletic-experience matched controls underwent neuropsychological assessment and fMRI scanning where they performed versions of a colour-word Stroop interference task, an operation-span working memory task and a finger-tapping task. Results: The Attention index score on the Repeatable Battery for the Assessment of Neuropsychological Status (RBANS) was lower for the concussion group, but only at liberal statistical threshold. Total RBANS score approached statistical significance. Reaction time during neurobehavioural tasks was similar across groups, but accuracy was reduced in the concussed group on the working memory task. Despite expected activation patterns within each group, there were no group differences in neural activation on any functional tasks using either whole-brain or ROI-specific analyses at liberal statistical thresholds. Conclusion: There were minimal differences between the two closely matched groups. Results point to the relative plasticity of younger adults’ cognitive abilities following concussion. (PsycINFO Database Record (c) 2015 APA, all rights reserved). (journal abstract)","DOI":"10.3109/02699052.2012.722259","ISSN":"0269-9052","journalAbbreviation":"Brain Injury","author":[{"family":"Terry","given":"Douglas P."},{"family":"Faraco","given":"Carlos C."},{"family":"Smith","given":"Devin"},{"family":"Diddams","given":"Max J."},{"family":"Puente","given":"Antonio N."},{"family":"Miller","given":"L. Stephen"}],"issued":{"date-parts":[["2012",12]]}}}],"schema":"https://github.com/citation-style-language/schema/raw/master/csl-citation.json"}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(non-Latino), 87.5</w:t>
            </w:r>
          </w:p>
          <w:p w:rsidR="00F537B6" w:rsidRPr="00563EB7" w:rsidRDefault="00F537B6" w:rsidP="00F537B6">
            <w:pPr>
              <w:rPr>
                <w:rFonts w:ascii="Arial" w:hAnsi="Arial" w:cs="Arial"/>
                <w:sz w:val="20"/>
                <w:szCs w:val="20"/>
              </w:rPr>
            </w:pPr>
            <w:r w:rsidRPr="00563EB7">
              <w:rPr>
                <w:rFonts w:ascii="Arial" w:hAnsi="Arial" w:cs="Arial"/>
                <w:sz w:val="20"/>
                <w:szCs w:val="20"/>
              </w:rPr>
              <w:t>White Latino, 5</w:t>
            </w:r>
          </w:p>
          <w:p w:rsidR="00F537B6" w:rsidRPr="00563EB7" w:rsidRDefault="00F537B6" w:rsidP="00F537B6">
            <w:pPr>
              <w:rPr>
                <w:rFonts w:ascii="Arial" w:hAnsi="Arial" w:cs="Arial"/>
                <w:sz w:val="20"/>
                <w:szCs w:val="20"/>
              </w:rPr>
            </w:pPr>
            <w:r w:rsidRPr="00563EB7">
              <w:rPr>
                <w:rFonts w:ascii="Arial" w:hAnsi="Arial" w:cs="Arial"/>
                <w:sz w:val="20"/>
                <w:szCs w:val="20"/>
              </w:rPr>
              <w:t>African-American, 5</w:t>
            </w:r>
          </w:p>
          <w:p w:rsidR="00F537B6" w:rsidRPr="00563EB7" w:rsidRDefault="00F537B6" w:rsidP="00F537B6">
            <w:pPr>
              <w:rPr>
                <w:rFonts w:ascii="Arial" w:hAnsi="Arial" w:cs="Arial"/>
                <w:sz w:val="20"/>
                <w:szCs w:val="20"/>
              </w:rPr>
            </w:pPr>
            <w:r w:rsidRPr="00563EB7">
              <w:rPr>
                <w:rFonts w:ascii="Arial" w:hAnsi="Arial" w:cs="Arial"/>
                <w:sz w:val="20"/>
                <w:szCs w:val="20"/>
              </w:rPr>
              <w:t>Asian American, 2.5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391</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Thaler</w:t>
            </w:r>
            <w:proofErr w:type="spellEnd"/>
            <w:r w:rsidRPr="00563EB7">
              <w:rPr>
                <w:rFonts w:ascii="Arial" w:hAnsi="Arial" w:cs="Arial"/>
                <w:sz w:val="20"/>
                <w:szCs w:val="20"/>
              </w:rPr>
              <w:t xml:space="preserve">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qe2j6kaug","properties":{"formattedCitation":"[134]","plainCitation":"[134]"},"citationItems":[{"id":4932,"uris":["http://zotero.org/users/1562642/items/N8DRDI55"],"uri":["http://zotero.org/users/1562642/items/N8DRDI55"],"itemData":{"id":4932,"type":"article-journal","title":"Heterogeneity in Trail Making Test performance in OEF/OIF/OND veterans with mild traumatic brain injury","container-title":"Archives of Clinical Neuropsychology","page":"798-807","volume":"28","issue":"8","source":"EBSCOhost","archive_location":"2013-41736-006","abstract":"This study used cluster analysis to examine variability in Trail Making Test (TMT) performance in a sample of Operation Enduring Freedom/Operation Iraqi Freedom/Operation New Dawn (OEF/OIF/OND) veterans referred for mild traumatic brain injury (mTBI). Three clusters were extracted, two of which were characterized by level of performance and the third with a unique performance pattern characterized by slow performance on the TMT B (Low B). Clusters did not differ on demographic or psychiatric variables. The Above Average cluster had better performance on measures of processing speed, working memory, and phonemic fluency compared with the Low B cluster. Results suggest that a subset of patients with mTBI perform poorly on TMTB, which subsequently predicts poorer cognitive functioning on several other neuropsychological measures. This subset may be vulnerable to cognitive changes in the context of mTBI and multiple comorbidities while a number of other patients remain cognitively unaffected under the same circumstances. (PsycINFO Database Record (c) 2015 APA, all rights reserved). (journal abstract)","DOI":"10.1093/arclin/act080","ISSN":"0887-6177","journalAbbreviation":"Archives of Clinical Neuropsychology","author":[{"family":"Thaler","given":"Nicholas S."},{"family":"Linck","given":"John F."},{"family":"Heyanka","given":"Daniel J."},{"family":"Pastorek","given":"Nicholas J."},{"family":"Miller","given":"Brian"},{"family":"Romesser","given":"Jennifer"},{"family":"Sim","given":"Anita"},{"family":"Allen","given":"Daniel N."}],"issued":{"date-parts":[["2013",12]]}}}],"schema":"https://github.com/citation-style-language/schema/raw/master/csl-citation.json"}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65.39</w:t>
            </w:r>
          </w:p>
          <w:p w:rsidR="00F537B6" w:rsidRPr="00563EB7" w:rsidRDefault="00F537B6" w:rsidP="00F537B6">
            <w:pPr>
              <w:rPr>
                <w:rFonts w:ascii="Arial" w:hAnsi="Arial" w:cs="Arial"/>
                <w:sz w:val="20"/>
                <w:szCs w:val="20"/>
              </w:rPr>
            </w:pPr>
            <w:r w:rsidRPr="00563EB7">
              <w:rPr>
                <w:rFonts w:ascii="Arial" w:hAnsi="Arial" w:cs="Arial"/>
                <w:sz w:val="20"/>
                <w:szCs w:val="20"/>
              </w:rPr>
              <w:t>Hispanic, 15.38</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11.54</w:t>
            </w:r>
          </w:p>
          <w:p w:rsidR="00F537B6" w:rsidRPr="00563EB7" w:rsidRDefault="00F537B6" w:rsidP="00F537B6">
            <w:pPr>
              <w:rPr>
                <w:rFonts w:ascii="Arial" w:hAnsi="Arial" w:cs="Arial"/>
                <w:sz w:val="20"/>
                <w:szCs w:val="20"/>
              </w:rPr>
            </w:pPr>
            <w:r w:rsidRPr="00563EB7">
              <w:rPr>
                <w:rFonts w:ascii="Arial" w:hAnsi="Arial" w:cs="Arial"/>
                <w:sz w:val="20"/>
                <w:szCs w:val="20"/>
              </w:rPr>
              <w:t>Other, 7.69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564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Theadom</w:t>
            </w:r>
            <w:proofErr w:type="spellEnd"/>
            <w:r w:rsidRPr="00563EB7">
              <w:rPr>
                <w:rFonts w:ascii="Arial" w:hAnsi="Arial" w:cs="Arial"/>
                <w:sz w:val="20"/>
                <w:szCs w:val="20"/>
              </w:rPr>
              <w:t xml:space="preserve"> et al.,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dh1ea1jot","properties":{"formattedCitation":"[135]","plainCitation":"[135]"},"citationItems":[{"id":4933,"uris":["http://zotero.org/users/1562642/items/2E9PMR4M"],"uri":["http://zotero.org/users/1562642/items/2E9PMR4M"],"itemData":{"id":4933,"type":"article-journal","title":"Enzogenol for cognitive functioning in traumatic brain injury: A pilot placebo</w:instrText>
            </w:r>
            <w:r>
              <w:rPr>
                <w:rFonts w:ascii="Cambria Math" w:hAnsi="Cambria Math" w:cs="Cambria Math"/>
                <w:sz w:val="20"/>
                <w:szCs w:val="20"/>
              </w:rPr>
              <w:instrText>‐</w:instrText>
            </w:r>
            <w:r>
              <w:rPr>
                <w:rFonts w:ascii="Arial" w:hAnsi="Arial" w:cs="Arial"/>
                <w:sz w:val="20"/>
                <w:szCs w:val="20"/>
              </w:rPr>
              <w:instrText xml:space="preserve">controlled RCT","container-title":"European Journal of Neurology","page":"1135-1144","volume":"20","issue":"8","source":"EBSCOhost","archive_location":"2013-24427-006","abstract":"Background and purpose: Enzogenol, a flavonoid-rich extract from Pinus radiata bark with antioxidant and anti-inflammatory properties has been shown to improve working memory in healthy adults. In traumatic brain injury (TBI), oxidation and inflammation have been linked to poorer cognitive outcomes. Hence, this phase II, randomized controlled trial investigated safety, compliance and efficacy of Enzogenol for improving cognitive functioning in people following mild TBI. Methods: Sixty adults, who sustained a mild TBI, 3–12 months prior to recruitment, and who were experiencing persistent cognitive difficulties [Cognitive Failures Questionnaire (CFQ) score &gt; 38], were randomized to receive Enzogenol (1000 mg/day) or matching placebo for 6 weeks. Subsequently, all participants received Enzogenol for a further 6 weeks, followed by placebo for 4 weeks. Compliance, side-effects, cognitive failures, working and episodic memory, post-concussive symptoms and mood were assessed at baseline, 6, 12 and 16 weeks. Simultaneous estimation of treatment effect and breakpoint was effected, with confidence intervals (CIs) obtained through a treatment–placebo balance-preserving bootstrap procedure. Results: Enzogenol was found to be safe and well tolerated. Trend and breakpoint analyses showed a significant reduction in cognitive failures after 6 weeks [mean CFQ score, 95% CI, Enzogenol versus placebo −6.9 (−10.8 to −4.1)]. Improvements in the frequency of self-reported cognitive failures were estimated to continue until week 11 before stabilizing. Other outcome measures showed some positive trends but no significant treatment effects. Conclusions: Enzogenol supplementation is safe and well tolerated in people after mild TBI, and may improve cognitive functioning in this patient population. This study provides Class IIB evidence that Enzogenol is well tolerated and may reduce self-perceived cognitive failures in patients 3–12 months post-mild TBI. (PsycINFO Database Record (c) 2015 APA, all rights reserved). (journal abstract)","DOI":"10.1111/ene.12099","ISSN":"1351-5101","shortTitle":"Enzogenol for cognitive functioning in traumatic brain injury","journalAbbreviation":"European Journal of Neurology","author":[{"family":"Theadom","given":"Alice"},{"family":"Mahon","given":"S."},{"family":"Barker-Collo","given":"Suzanne"},{"family":"McPherson","given":"K."},{"family":"Rush","given":"E."},{"family":"Vandal","given":"A. C."},{"family":"Feigin","given":"V. L."}],"issued":{"date-parts":[["2013",8]]}}}],"schema":"https://github.com/citation-style-language/schema/raw/master/csl-citation.json"}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New Zealand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New Zealand European, 76.67</w:t>
            </w:r>
          </w:p>
          <w:p w:rsidR="00F537B6" w:rsidRPr="00563EB7" w:rsidRDefault="00F537B6" w:rsidP="00F537B6">
            <w:pPr>
              <w:rPr>
                <w:rFonts w:ascii="Arial" w:hAnsi="Arial" w:cs="Arial"/>
                <w:sz w:val="20"/>
                <w:szCs w:val="20"/>
              </w:rPr>
            </w:pPr>
            <w:r w:rsidRPr="00563EB7">
              <w:rPr>
                <w:rFonts w:ascii="Arial" w:hAnsi="Arial" w:cs="Arial"/>
                <w:sz w:val="20"/>
                <w:szCs w:val="20"/>
              </w:rPr>
              <w:t>Maori, 23.33</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945</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Theadom</w:t>
            </w:r>
            <w:proofErr w:type="spellEnd"/>
            <w:r w:rsidRPr="00563EB7">
              <w:rPr>
                <w:rFonts w:ascii="Arial" w:hAnsi="Arial" w:cs="Arial"/>
                <w:sz w:val="20"/>
                <w:szCs w:val="20"/>
              </w:rPr>
              <w:t xml:space="preserve"> et al.,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p32hor84r","properties":{"formattedCitation":"[136]","plainCitation":"[136]"},"citationItems":[{"id":5292,"uris":["http://zotero.org/users/1562642/items/RMBJ693Z"],"uri":["http://zotero.org/users/1562642/items/RMBJ693Z"],"itemData":{"id":5292,"type":"article-journal","title":"Persistent problems 1 year after mild traumatic brain injury: a longitudinal population study in New Zealand","container-title":"The British Journal Of General Practice: The Journal Of The Royal College Of General Practitioners","page":"e16-e23","volume":"66","issue":"642","source":"EBSCOhost","archive_location":"26719482","abstract":"Background: Mild traumatic brain injury (mTBI) is a common problem in general practice settings, yet previous research does not take into account those who do not attend hospital after injury. This is important as there is evidence that effects may be far from mild.; Aim: To determine whether people sustain any persistent effects 1 year after mTBI, and to identify the predictors of health outcomes.; Design and Setting: A community-based, longitudinal population study of an mTBI incidence cohort (n = 341) from a mixed urban and rural region (Hamilton and Waikato Districts) of the North Island of New Zealand (NZ).; Method: Adults (&gt;16 years) completed assessments of cognitive functioning, global functioning, post-concussion symptoms, mood, and quality of life over the year after injury.; Results: Nearly half of participants (47.9%) reported experiencing four or more post-concussion symptoms 1 year post-injury. Additionally, 10.9% of participants revealed very low cognitive functioning. Levels of anxiety, depression, or reduced quality of life were comparable with the general population. Having at least one comorbidity, history of brain injury, living alone, non-white ethnic group, alcohol and medication use, and being female were significant predictors of poorer outcomes at 12 months.; Conclusion: Although some people make a spontaneous recovery after mTBI, nearly half continue to experience persistent symptoms linked to their injury. Monitoring of recovery from mTBI may be needed and interventions provided for those experiencing persistent difficulties. Demographic factors and medical history should be taken into account in treatment planning.; © British Journal of General Practice 2016.","DOI":"10.3399/bjgp16X683161","ISSN":"1478-5242","shortTitle":"Persistent problems 1 year after mild traumatic brain injury","journalAbbreviation":"The British Journal Of General Practice: The Journal Of The Royal College Of General Practitioners","author":[{"family":"Theadom","given":"Alice"},{"family":"Parag","given":"Varsha"},{"family":"Dowell","given":"Tony"},{"family":"McPherson","given":"Kathryn"},{"family":"Starkey","given":"Nicola"},{"family":"Barker-Collo","given":"Suzanne"},{"family":"Jones","given":"Kelly"},{"family":"Ameratunga","given":"Shanthi"},{"family":"Feigin","given":"Valery L"}],"issued":{"date-parts":[["2016",1]]}}}],"schema":"https://github.com/citation-style-language/schema/raw/master/csl-citation.json"}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New Zealand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341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66.28</w:t>
            </w:r>
          </w:p>
          <w:p w:rsidR="00F537B6" w:rsidRPr="00563EB7" w:rsidRDefault="00F537B6" w:rsidP="00F537B6">
            <w:pPr>
              <w:rPr>
                <w:rFonts w:ascii="Arial" w:hAnsi="Arial" w:cs="Arial"/>
                <w:sz w:val="20"/>
                <w:szCs w:val="20"/>
              </w:rPr>
            </w:pPr>
            <w:r w:rsidRPr="00563EB7">
              <w:rPr>
                <w:rFonts w:ascii="Arial" w:hAnsi="Arial" w:cs="Arial"/>
                <w:sz w:val="20"/>
                <w:szCs w:val="20"/>
              </w:rPr>
              <w:t>Maori, 28.15</w:t>
            </w:r>
          </w:p>
          <w:p w:rsidR="00F537B6" w:rsidRPr="00563EB7" w:rsidRDefault="00F537B6" w:rsidP="00F537B6">
            <w:pPr>
              <w:rPr>
                <w:rFonts w:ascii="Arial" w:hAnsi="Arial" w:cs="Arial"/>
                <w:sz w:val="20"/>
                <w:szCs w:val="20"/>
              </w:rPr>
            </w:pPr>
            <w:r w:rsidRPr="00563EB7">
              <w:rPr>
                <w:rFonts w:ascii="Arial" w:hAnsi="Arial" w:cs="Arial"/>
                <w:sz w:val="20"/>
                <w:szCs w:val="20"/>
              </w:rPr>
              <w:t>Asian, 2.64</w:t>
            </w:r>
          </w:p>
          <w:p w:rsidR="00F537B6" w:rsidRPr="00563EB7" w:rsidRDefault="00F537B6" w:rsidP="00F537B6">
            <w:pPr>
              <w:rPr>
                <w:rFonts w:ascii="Arial" w:hAnsi="Arial" w:cs="Arial"/>
                <w:sz w:val="20"/>
                <w:szCs w:val="20"/>
              </w:rPr>
            </w:pPr>
            <w:r w:rsidRPr="00563EB7">
              <w:rPr>
                <w:rFonts w:ascii="Arial" w:hAnsi="Arial" w:cs="Arial"/>
                <w:sz w:val="20"/>
                <w:szCs w:val="20"/>
              </w:rPr>
              <w:t>Pacific, 2.64</w:t>
            </w:r>
          </w:p>
          <w:p w:rsidR="00F537B6" w:rsidRPr="00563EB7" w:rsidRDefault="00F537B6" w:rsidP="00F537B6">
            <w:pPr>
              <w:rPr>
                <w:rFonts w:ascii="Arial" w:hAnsi="Arial" w:cs="Arial"/>
                <w:sz w:val="20"/>
                <w:szCs w:val="20"/>
              </w:rPr>
            </w:pPr>
            <w:r w:rsidRPr="00563EB7">
              <w:rPr>
                <w:rFonts w:ascii="Arial" w:hAnsi="Arial" w:cs="Arial"/>
                <w:sz w:val="20"/>
                <w:szCs w:val="20"/>
              </w:rPr>
              <w:t>Other, 0.29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603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Theadom</w:t>
            </w:r>
            <w:proofErr w:type="spellEnd"/>
            <w:r w:rsidRPr="00563EB7">
              <w:rPr>
                <w:rFonts w:ascii="Arial" w:hAnsi="Arial" w:cs="Arial"/>
                <w:sz w:val="20"/>
                <w:szCs w:val="20"/>
              </w:rPr>
              <w:t xml:space="preserve">, </w:t>
            </w:r>
            <w:proofErr w:type="spellStart"/>
            <w:r w:rsidRPr="00563EB7">
              <w:rPr>
                <w:rFonts w:ascii="Arial" w:hAnsi="Arial" w:cs="Arial"/>
                <w:sz w:val="20"/>
                <w:szCs w:val="20"/>
              </w:rPr>
              <w:t>Cropley</w:t>
            </w:r>
            <w:proofErr w:type="spellEnd"/>
            <w:r w:rsidRPr="00563EB7">
              <w:rPr>
                <w:rFonts w:ascii="Arial" w:hAnsi="Arial" w:cs="Arial"/>
                <w:sz w:val="20"/>
                <w:szCs w:val="20"/>
              </w:rPr>
              <w:t>,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lnd8k4el1","properties":{"formattedCitation":"[137]","plainCitation":"[137]"},"citationItems":[{"id":4934,"uris":["http://zotero.org/users/1562642/items/TWBVHZZI"],"uri":["http://zotero.org/users/1562642/items/TWBVHZZI"],"itemData":{"id":4934,"type":"article-journal","title":"Sleep difficulties one year following mild traumatic brain injury in a population-based study","container-title":"Sleep Medicine","page":"926-932","volume":"16","issue":"8","source":"EBSCOhost","archive_location":"2015-33755-005","abstract":"Background: Sleep quality affects all aspects of daily functioning, and it is vital for facilitating recovery from illness and injury. Sleep commonly becomes disrupted following moderate to severe brain injury, yet little is known about the prevalence of sleep disruption over time and how it impacts on recovery following mild injury. Methods: This was a longitudinal study of 346 adults who experienced a mild brain injury (aged ≥ 16 years) identified within a population-based incidence sample in New Zealand. The prevalence of sleep difficulties was assessed at baseline (within two weeks), one, six and 12 months, alongside other key outcomes. Results: One year post injury, 41.4% of people were identified as having clinically significant sleep difficulties, with 21.0% at a level indicative of insomnia. Poor sleep quality at baseline was significantly predictive of poorer post-concussion symptoms, mood, community integration, and cognitive ability one year post injury. The prevalence of insomnia following mild traumatic brain injury (TBI) was more than three times the rate found in the general population. Of those completing a sleep assessment at six and 12 months, 44.9% of the sample showed improvements in sleep quality, 16.2% remained stable, and 38.9% worsened. Conclusions: Screening for sleep difficulties should occur routinely following a mild brain injury to identify adults potentially at risk of poor recovery. Interventions to improve sleep are needed to facilitate recovery from injury, and to prevent persistent sleep difficulties emerging. (PsycINFO Database Record (c) 2015 APA, all rights reserved). (journal abstract)","DOI":"10.1016/j.sleep.2015.04.013","ISSN":"1389-9457","journalAbbreviation":"Sleep Medicine","author":[{"family":"Theadom","given":"Alice"},{"family":"Cropley","given":"Mark"},{"family":"Parmar","given":"Priya"},{"family":"Barker-Collo","given":"Suzanne"},{"family":"Starkey","given":"Nicola"},{"family":"Jones","given":"Kelly"},{"family":"Feigin","given":"Valery L."}],"issued":{"date-parts":[["2015",8]]}}}],"schema":"https://github.com/citation-style-language/schema/raw/master/csl-citation.json"}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New Zealand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346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New Zealand European, 63.3</w:t>
            </w:r>
          </w:p>
          <w:p w:rsidR="00F537B6" w:rsidRPr="00563EB7" w:rsidRDefault="00F537B6" w:rsidP="00F537B6">
            <w:pPr>
              <w:rPr>
                <w:rFonts w:ascii="Arial" w:hAnsi="Arial" w:cs="Arial"/>
                <w:sz w:val="20"/>
                <w:szCs w:val="20"/>
              </w:rPr>
            </w:pPr>
            <w:r w:rsidRPr="00563EB7">
              <w:rPr>
                <w:rFonts w:ascii="Arial" w:hAnsi="Arial" w:cs="Arial"/>
                <w:sz w:val="20"/>
                <w:szCs w:val="20"/>
              </w:rPr>
              <w:t>Maori, 33.24</w:t>
            </w:r>
          </w:p>
          <w:p w:rsidR="00F537B6" w:rsidRPr="00563EB7" w:rsidRDefault="00F537B6" w:rsidP="00F537B6">
            <w:pPr>
              <w:rPr>
                <w:rFonts w:ascii="Arial" w:hAnsi="Arial" w:cs="Arial"/>
                <w:sz w:val="20"/>
                <w:szCs w:val="20"/>
              </w:rPr>
            </w:pPr>
            <w:r w:rsidRPr="00563EB7">
              <w:rPr>
                <w:rFonts w:ascii="Arial" w:hAnsi="Arial" w:cs="Arial"/>
                <w:sz w:val="20"/>
                <w:szCs w:val="20"/>
              </w:rPr>
              <w:t>Other, 3.47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597</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Theadom</w:t>
            </w:r>
            <w:proofErr w:type="spellEnd"/>
            <w:r w:rsidRPr="00563EB7">
              <w:rPr>
                <w:rFonts w:ascii="Arial" w:hAnsi="Arial" w:cs="Arial"/>
                <w:sz w:val="20"/>
                <w:szCs w:val="20"/>
              </w:rPr>
              <w:t xml:space="preserve">, </w:t>
            </w:r>
            <w:proofErr w:type="spellStart"/>
            <w:r w:rsidRPr="00563EB7">
              <w:rPr>
                <w:rFonts w:ascii="Arial" w:hAnsi="Arial" w:cs="Arial"/>
                <w:sz w:val="20"/>
                <w:szCs w:val="20"/>
              </w:rPr>
              <w:t>Parmar</w:t>
            </w:r>
            <w:proofErr w:type="spellEnd"/>
            <w:r w:rsidRPr="00563EB7">
              <w:rPr>
                <w:rFonts w:ascii="Arial" w:hAnsi="Arial" w:cs="Arial"/>
                <w:sz w:val="20"/>
                <w:szCs w:val="20"/>
              </w:rPr>
              <w:t>,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pr4o0rbfu","properties":{"formattedCitation":"[138]","plainCitation":"[138]"},"citationItems":[{"id":4935,"uris":["http://zotero.org/users/1562642/items/48I3FP33"],"uri":["http://zotero.org/users/1562642/items/48I3FP33"],"itemData":{"id":4935,"type":"article-journal","title":"Frequency and impact of recurrent traumatic brain injury in a population-based sample","container-title":"Journal of Neurotrauma","page":"674-681","volume":"32","issue":"10","source":"EBSCOhost","archive_location":"2015-20387-002","abstract":"The aim of this study was to determine the frequency, mechanism(s), and impact of recurrent traumatic brain injury (TBI) over a 1-year period. Population-based TBI incidence and 1-year outcomes study with embedded case-control analysis. All participants (adults and children) who experienced a recurrent TBI (more than one) in the 12 months after an index injury and matched controls who sustained one TBI within the same period were enrolled in a population-based TBI incidence and outcomes study. Details of all recurrent TBIs sustained within 12 months of the initial index injury were recorded. Each recurrent TBI case was matched to a case sustaining one TBI based on age (± 2 years), gender, and index TBI severity. Cognitive ability, disability, and postconcussion symptoms (PCS) were assessed 1 year after the index injury. Overall, 9.9% (n= 72) of TBI cases experienced at least one recurrent TBI within the year after initial index injury. Males, people &lt; 35 years of age, and those who had experienced a TBI before their index injury were at highest risk of recurrent TBI. Recurrent TBI cases reported significantly increased PCS at 1 year, compared to the matched controls (n = 72) sustaining one TBI. There was no difference in overall cognitive ability and disability between the two groups. People experiencing recurrent TBIs are more likely to experience increased frequency and severity of PCS, Greater public awareness of the potential effects of recurrent brain injury is needed. (PsycINFO Database Record (c) 2015 APA, all rights reserved). (journal abstract)","DOI":"10.1089/neu.2014.3579","ISSN":"0897-7151","journalAbbreviation":"Journal of Neurotrauma","author":[{"family":"Theadom","given":"Alice"},{"family":"Parmar","given":"Priya"},{"family":"Jones","given":"Kelly"},{"family":"Barker-Collo","given":"Suzanne"},{"family":"Starkey","given":"Nicola J."},{"family":"McPherson","given":"Kathryn M."},{"family":"Ameratunga","given":"Shanthi"},{"family":"Feigin","given":"Valery L."}],"issued":{"date-parts":[["2015",5,15]]}}}],"schema":"https://github.com/citation-style-language/schema/raw/master/csl-citation.json"}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New Zealand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142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New Zealand European, 78.17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394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Trontel</w:t>
            </w:r>
            <w:proofErr w:type="spellEnd"/>
            <w:r w:rsidRPr="00563EB7">
              <w:rPr>
                <w:rFonts w:ascii="Arial" w:hAnsi="Arial" w:cs="Arial"/>
                <w:sz w:val="20"/>
                <w:szCs w:val="20"/>
              </w:rPr>
              <w:t xml:space="preserve">, Hall, </w:t>
            </w:r>
            <w:proofErr w:type="spellStart"/>
            <w:r w:rsidRPr="00563EB7">
              <w:rPr>
                <w:rFonts w:ascii="Arial" w:hAnsi="Arial" w:cs="Arial"/>
                <w:sz w:val="20"/>
                <w:szCs w:val="20"/>
              </w:rPr>
              <w:t>Ashendorf</w:t>
            </w:r>
            <w:proofErr w:type="spellEnd"/>
            <w:r w:rsidRPr="00563EB7">
              <w:rPr>
                <w:rFonts w:ascii="Arial" w:hAnsi="Arial" w:cs="Arial"/>
                <w:sz w:val="20"/>
                <w:szCs w:val="20"/>
              </w:rPr>
              <w:t>, &amp; O’Connor,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14q2jpt18h","properties":{"formattedCitation":"[139]","plainCitation":"[139]"},"citationItems":[{"id":4945,"uris":["http://zotero.org/users/1562642/items/6CS84G4S"],"uri":["http://zotero.org/users/1562642/items/6CS84G4S"],"itemData":{"id":4945,"type":"article-journal","title":"Impact of diagnosis threat on academic self-efficacy in mild traumatic brain injury","container-title":"Journal of Clinical and Experimental Neuropsychology","page":"960-970","volume":"35","issue":"9","source":"EBSCOhost","archive_location":"2013-37594-007","abstract":"The current study examined the effect of diagnosis threat on self-efficacy and neuropsychological performance in mild traumatic brain injury (TBI). Forty-nine participants with a history of mild TBI were randomized to a diagnosis threat or control group. The diagnosis threat group were told they were selected based on their history of TBI, while control group participants were told to perform their best. Individuals in the diagnosis threat group reported significantly lower academic self-efficacy than control participants. The groups performed differently on only one neuropsychological measure. These results suggest that diagnosis threat may have a greater impact on psychological factors than on cognitive performance. (PsycINFO Database Record (c) 2014 APA, all rights reserved). (journal abstract)","DOI":"10.1080/13803395.2013.844770","ISSN":"1380-3395","journalAbbreviation":"Journal of Clinical &amp; Experimental Neuropsychology","author":[{"family":"Trontel","given":"Haley G."},{"family":"Hall","given":"Stuart"},{"family":"Ashendorf","given":"Lee"},{"family":"O’Connor","given":"Maureen K."}],"issued":{"date-parts":[["2013",11]]}}}],"schema":"https://github.com/citation-style-language/schema/raw/master/csl-citation.json"}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[139]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49</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91.84</w:t>
            </w:r>
          </w:p>
          <w:p w:rsidR="00F537B6" w:rsidRPr="00563EB7" w:rsidRDefault="00F537B6" w:rsidP="00F537B6">
            <w:pPr>
              <w:rPr>
                <w:rFonts w:ascii="Arial" w:hAnsi="Arial" w:cs="Arial"/>
                <w:sz w:val="20"/>
                <w:szCs w:val="20"/>
              </w:rPr>
            </w:pPr>
            <w:r w:rsidRPr="00563EB7">
              <w:rPr>
                <w:rFonts w:ascii="Arial" w:hAnsi="Arial" w:cs="Arial"/>
                <w:sz w:val="20"/>
                <w:szCs w:val="20"/>
              </w:rPr>
              <w:t>African-American, 4.08</w:t>
            </w:r>
          </w:p>
          <w:p w:rsidR="00F537B6" w:rsidRPr="00563EB7" w:rsidRDefault="00F537B6" w:rsidP="00F537B6">
            <w:pPr>
              <w:rPr>
                <w:rFonts w:ascii="Arial" w:hAnsi="Arial" w:cs="Arial"/>
                <w:sz w:val="20"/>
                <w:szCs w:val="20"/>
              </w:rPr>
            </w:pPr>
            <w:r w:rsidRPr="00563EB7">
              <w:rPr>
                <w:rFonts w:ascii="Arial" w:hAnsi="Arial" w:cs="Arial"/>
                <w:sz w:val="20"/>
                <w:szCs w:val="20"/>
              </w:rPr>
              <w:t>American Indian, 4.08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440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Tsushima &amp; Siu,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m1qiprapi","properties":{"formattedCitation":"[140]","plainCitation":"[140]"},"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247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Mixed racial background, 43.32</w:t>
            </w:r>
          </w:p>
          <w:p w:rsidR="00F537B6" w:rsidRPr="00563EB7" w:rsidRDefault="00F537B6" w:rsidP="00F537B6">
            <w:pPr>
              <w:rPr>
                <w:rFonts w:ascii="Arial" w:hAnsi="Arial" w:cs="Arial"/>
                <w:sz w:val="20"/>
                <w:szCs w:val="20"/>
              </w:rPr>
            </w:pPr>
            <w:r w:rsidRPr="00563EB7">
              <w:rPr>
                <w:rFonts w:ascii="Arial" w:hAnsi="Arial" w:cs="Arial"/>
                <w:sz w:val="20"/>
                <w:szCs w:val="20"/>
              </w:rPr>
              <w:t>Native Hawaiian or Pacific</w:t>
            </w:r>
            <w:r w:rsidRPr="00563EB7">
              <w:rPr>
                <w:rFonts w:ascii="Arial" w:hAnsi="Arial" w:cs="Arial"/>
                <w:sz w:val="20"/>
                <w:szCs w:val="20"/>
              </w:rPr>
              <w:br/>
              <w:t>Islander, 34.01</w:t>
            </w:r>
          </w:p>
          <w:p w:rsidR="00F537B6" w:rsidRPr="00563EB7" w:rsidRDefault="00F537B6" w:rsidP="00F537B6">
            <w:pPr>
              <w:rPr>
                <w:rFonts w:ascii="Arial" w:hAnsi="Arial" w:cs="Arial"/>
                <w:sz w:val="20"/>
                <w:szCs w:val="20"/>
              </w:rPr>
            </w:pPr>
            <w:r w:rsidRPr="00563EB7">
              <w:rPr>
                <w:rFonts w:ascii="Arial" w:hAnsi="Arial" w:cs="Arial"/>
                <w:sz w:val="20"/>
                <w:szCs w:val="20"/>
              </w:rPr>
              <w:t>Asian, 11.74</w:t>
            </w:r>
          </w:p>
          <w:p w:rsidR="00F537B6" w:rsidRPr="00563EB7" w:rsidRDefault="00F537B6" w:rsidP="00F537B6">
            <w:pPr>
              <w:rPr>
                <w:rFonts w:ascii="Arial" w:hAnsi="Arial" w:cs="Arial"/>
                <w:sz w:val="20"/>
                <w:szCs w:val="20"/>
              </w:rPr>
            </w:pPr>
            <w:r w:rsidRPr="00563EB7">
              <w:rPr>
                <w:rFonts w:ascii="Arial" w:hAnsi="Arial" w:cs="Arial"/>
                <w:sz w:val="20"/>
                <w:szCs w:val="20"/>
              </w:rPr>
              <w:t>Caucasian, 4.86</w:t>
            </w:r>
          </w:p>
          <w:p w:rsidR="00F537B6" w:rsidRPr="00563EB7" w:rsidRDefault="00F537B6" w:rsidP="00F537B6">
            <w:pPr>
              <w:rPr>
                <w:rFonts w:ascii="Arial" w:hAnsi="Arial" w:cs="Arial"/>
                <w:sz w:val="20"/>
                <w:szCs w:val="20"/>
              </w:rPr>
            </w:pPr>
            <w:r w:rsidRPr="00563EB7">
              <w:rPr>
                <w:rFonts w:ascii="Arial" w:hAnsi="Arial" w:cs="Arial"/>
                <w:sz w:val="20"/>
                <w:szCs w:val="20"/>
              </w:rPr>
              <w:lastRenderedPageBreak/>
              <w:t>Unreported, 3.64</w:t>
            </w:r>
          </w:p>
          <w:p w:rsidR="00F537B6" w:rsidRPr="00563EB7" w:rsidRDefault="00F537B6" w:rsidP="00F537B6">
            <w:pPr>
              <w:rPr>
                <w:rFonts w:ascii="Arial" w:hAnsi="Arial" w:cs="Arial"/>
                <w:sz w:val="20"/>
                <w:szCs w:val="20"/>
              </w:rPr>
            </w:pPr>
            <w:r w:rsidRPr="00563EB7">
              <w:rPr>
                <w:rFonts w:ascii="Arial" w:hAnsi="Arial" w:cs="Arial"/>
                <w:sz w:val="20"/>
                <w:szCs w:val="20"/>
              </w:rPr>
              <w:t>Hispanic, 2.02</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1.22</w:t>
            </w:r>
          </w:p>
          <w:p w:rsidR="00F537B6" w:rsidRPr="00563EB7" w:rsidRDefault="00F537B6" w:rsidP="00F537B6">
            <w:pPr>
              <w:rPr>
                <w:rFonts w:ascii="Arial" w:hAnsi="Arial" w:cs="Arial"/>
                <w:sz w:val="20"/>
                <w:szCs w:val="20"/>
              </w:rPr>
            </w:pPr>
            <w:r w:rsidRPr="00563EB7">
              <w:rPr>
                <w:rFonts w:ascii="Arial" w:hAnsi="Arial" w:cs="Arial"/>
                <w:sz w:val="20"/>
                <w:szCs w:val="20"/>
              </w:rPr>
              <w:t>Native American or Alaskan</w:t>
            </w:r>
            <w:r w:rsidRPr="00563EB7">
              <w:rPr>
                <w:rFonts w:ascii="Arial" w:hAnsi="Arial" w:cs="Arial"/>
                <w:sz w:val="20"/>
                <w:szCs w:val="20"/>
              </w:rPr>
              <w:br/>
              <w:t>Native, 0.4</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395</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Tsushima, </w:t>
            </w:r>
            <w:proofErr w:type="spellStart"/>
            <w:r w:rsidRPr="00563EB7">
              <w:rPr>
                <w:rFonts w:ascii="Arial" w:hAnsi="Arial" w:cs="Arial"/>
                <w:sz w:val="20"/>
                <w:szCs w:val="20"/>
              </w:rPr>
              <w:t>Shirakawa</w:t>
            </w:r>
            <w:proofErr w:type="spellEnd"/>
            <w:r w:rsidRPr="00563EB7">
              <w:rPr>
                <w:rFonts w:ascii="Arial" w:hAnsi="Arial" w:cs="Arial"/>
                <w:sz w:val="20"/>
                <w:szCs w:val="20"/>
              </w:rPr>
              <w:t xml:space="preserve">, &amp; </w:t>
            </w:r>
            <w:proofErr w:type="spellStart"/>
            <w:r w:rsidRPr="00563EB7">
              <w:rPr>
                <w:rFonts w:ascii="Arial" w:hAnsi="Arial" w:cs="Arial"/>
                <w:sz w:val="20"/>
                <w:szCs w:val="20"/>
              </w:rPr>
              <w:t>Geling</w:t>
            </w:r>
            <w:proofErr w:type="spellEnd"/>
            <w:r w:rsidRPr="00563EB7">
              <w:rPr>
                <w:rFonts w:ascii="Arial" w:hAnsi="Arial" w:cs="Arial"/>
                <w:sz w:val="20"/>
                <w:szCs w:val="20"/>
              </w:rPr>
              <w:t>, 2013</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nj1bmnv7c","properties":{"formattedCitation":"[141]","plainCitation":"[141]"},"citationItems":[{"id":1893,"uris":["http://zotero.org/users/1562642/items/PNM7DV8K"],"uri":["http://zotero.org/users/1562642/items/PNM7DV8K"],"itemData":{"id":1893,"type":"article-journal","title":"Neurocognitive functioning and symptom reporting of high school athletes following a single concussion","container-title":"Applied Neuropsychology: Child","page":"13-16","volume":"2","issue":"1","source":"EBSCOhost","archive_location":"2014-27631-003","abstract":"The aim of this research was to evaluate the neurocognitive functioning and symptom reporting of high school athletes with the Immediate Post-Concussion Assessment and Cognitive Testing (ImPACT) battery after sustaining a single sports-related concussion. The ImPACT battery was administered to 26 athletes at an average of 6.8 days after their head injury. ImPACT composite scores, including neurocognitive measures of Verbal Memory, Visual Memory, Processing Speed, and Reaction Time, as well as a Total Symptom Score, were also obtained from an equivalent group of 25 nonconcussed football players. The composite scores of the concussed athletes were lower but not statistically different than the nonconcussed athletes. The findings were consistent with previous ImPACT research that reported no differences between concussed and nonconcussed athletes 7 days after a concussion. The symptom scores of the concussed athletes, on the other hand, were significantly higher than those who had no concussion. The similarities and differences in ImPACT test performances of the present sample of concussed high school athletes as compared with previous studies of concussed high school athletes are discussed. This study raises awareness that with high school athletes, symptom complaints may persist, even after cognitive functioning has returned to preinjury levels. (PsycINFO Database Record (c) 2014 APA, all rights reserved). (journal abstract)","DOI":"10.1080/09084282.2011.643967","ISSN":"2162-2965","journalAbbreviation":"Applied Neuropsychology: Child","author":[{"family":"Tsushima","given":"William T."},{"family":"Shirakawa","given":"Nicole"},{"family":"Geling","given":"Olga"}],"issued":{"date-parts":[["2013",1]]}}}],"schema":"https://github.com/citation-style-language/schema/raw/master/csl-citation.json"}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2013</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Mixed ethnicities, 43.14</w:t>
            </w:r>
          </w:p>
          <w:p w:rsidR="00F537B6" w:rsidRPr="00563EB7" w:rsidRDefault="00F537B6" w:rsidP="00F537B6">
            <w:pPr>
              <w:rPr>
                <w:rFonts w:ascii="Arial" w:hAnsi="Arial" w:cs="Arial"/>
                <w:sz w:val="20"/>
                <w:szCs w:val="20"/>
              </w:rPr>
            </w:pPr>
            <w:r w:rsidRPr="00563EB7">
              <w:rPr>
                <w:rFonts w:ascii="Arial" w:hAnsi="Arial" w:cs="Arial"/>
                <w:sz w:val="20"/>
                <w:szCs w:val="20"/>
              </w:rPr>
              <w:t>Asian, 31.37</w:t>
            </w:r>
          </w:p>
          <w:p w:rsidR="00F537B6" w:rsidRPr="00563EB7" w:rsidRDefault="00F537B6" w:rsidP="00F537B6">
            <w:pPr>
              <w:rPr>
                <w:rFonts w:ascii="Arial" w:hAnsi="Arial" w:cs="Arial"/>
                <w:sz w:val="20"/>
                <w:szCs w:val="20"/>
              </w:rPr>
            </w:pPr>
            <w:r w:rsidRPr="00563EB7">
              <w:rPr>
                <w:rFonts w:ascii="Arial" w:hAnsi="Arial" w:cs="Arial"/>
                <w:sz w:val="20"/>
                <w:szCs w:val="20"/>
              </w:rPr>
              <w:t>Caucasian, 15.69</w:t>
            </w:r>
          </w:p>
          <w:p w:rsidR="00F537B6" w:rsidRPr="00563EB7" w:rsidRDefault="00F537B6" w:rsidP="00F537B6">
            <w:pPr>
              <w:rPr>
                <w:rFonts w:ascii="Arial" w:hAnsi="Arial" w:cs="Arial"/>
                <w:sz w:val="20"/>
                <w:szCs w:val="20"/>
              </w:rPr>
            </w:pPr>
            <w:r w:rsidRPr="00563EB7">
              <w:rPr>
                <w:rFonts w:ascii="Arial" w:hAnsi="Arial" w:cs="Arial"/>
                <w:sz w:val="20"/>
                <w:szCs w:val="20"/>
              </w:rPr>
              <w:t>Pacific Islander, 9.8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486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Van Patten, Keith, </w:t>
            </w:r>
            <w:proofErr w:type="spellStart"/>
            <w:r w:rsidRPr="00563EB7">
              <w:rPr>
                <w:rFonts w:ascii="Arial" w:hAnsi="Arial" w:cs="Arial"/>
                <w:sz w:val="20"/>
                <w:szCs w:val="20"/>
              </w:rPr>
              <w:t>Bertolin</w:t>
            </w:r>
            <w:proofErr w:type="spellEnd"/>
            <w:r w:rsidRPr="00563EB7">
              <w:rPr>
                <w:rFonts w:ascii="Arial" w:hAnsi="Arial" w:cs="Arial"/>
                <w:sz w:val="20"/>
                <w:szCs w:val="20"/>
              </w:rPr>
              <w:t>, &amp; Wright,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htvroepje","properties":{"formattedCitation":"[142]","plainCitation":"[142]"},"citationItems":[{"id":4954,"uris":["http://zotero.org/users/1562642/items/WSMZGBB3"],"uri":["http://zotero.org/users/1562642/items/WSMZGBB3"],"itemData":{"id":4954,"type":"article-journal","title":"The effect of premorbid attention-deficit/hyperactivity disorder on neuropsychological functioning in individuals with acute mild traumatic brain injuries","container-title":"Journal of Clinical and Experimental Neuropsychology","page":"12-22","volume":"38","issue":"1","source":"EBSCOhost","archive_location":"2015-54635-002","abstract":"Introduction: Mild traumatic brain injury (mTBI) is a frequent, yet undertreated condition that typically manifests with transient neurological and cognitive symptoms that resolve over the course of several weeks. In contrast, attention-deficit/hyperactivity disorder (ADHD) is a neurodevelopmental disorder that presents initially in childhood but often persists into adulthood. mTBI and ADHD include overlapping symptomatology, making it difficult for clinicians to disentangle the sequelae of each condition when they co-occur in the same individual. We hypothesized that neuropsychological tests would be sensitive to preexisting ADHD in inpatients with acute mTBIs. Method: We retrospectively examined the medical charts of 100 inpatients, aged 18–40 years (96% Caucasian; 77% male) with mTBIs in an acute care setting, half of whom had self-reported the presence of premorbid ADHD, and half of whom were matched controls. We analyzed group differences across neuropsychological tests of attention, processing speed, and executive functions, examined the profile ratings of independent, blinded, board-certified neuropsychologists, and correlated cognitive performance with time from traumatic injury to testing. Results: Individuals with premorbid ADHD (a) performed significantly worse than their matched counterparts on several tests of attention, processing speed, and working memory, and (b) were significantly more likely to produce profiles later rated as impaired by independent, board-certified clinical neuropsychologists. In addition, time from traumatic injury to testing was found to be negatively correlated with neurocognitive performance. Conclusions: These findings (a) argue for the utility of a brief assessment of premorbid ADHD in the acute care of individuals with mTBIs and (b) provide clinicians with a barometer for gauging the relative contributions of premorbid ADHD to neuropsychological impairments in the neurocognitive profiles of individuals with mTBIs. Reported effect sizes will assist clinicians in accurately weighing the impact of premorbid ADHD when interpreting such profiles. (PsycINFO Database Record (c) 2016 APA, all rights reserved). (journal abstract)","DOI":"10.1080/13803395.2015.1091064","ISSN":"1380-3395","journalAbbreviation":"Journal of Clinical &amp; Experimental Neuropsychology","author":[{"family":"Van Patten","given":"Ryan"},{"family":"Keith","given":"Cierra"},{"family":"Bertolin","given":"Madison"},{"family":"Wright","given":"John D."}],"issued":{"date-parts":[["2016",1]]}}}],"schema":"https://github.com/citation-style-language/schema/raw/master/csl-citation.json"}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150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96</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1233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Vanderploeg</w:t>
            </w:r>
            <w:proofErr w:type="spellEnd"/>
            <w:r w:rsidRPr="00563EB7">
              <w:rPr>
                <w:rFonts w:ascii="Arial" w:hAnsi="Arial" w:cs="Arial"/>
                <w:sz w:val="20"/>
                <w:szCs w:val="20"/>
              </w:rPr>
              <w:t>, Belanger, &amp; Curtiss, 2009</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pvkgs14o0","properties":{"formattedCitation":"[143]","plainCitation":"[143]"},"citationItems":[{"id":5580,"uris":["http://zotero.org/users/1562642/items/A8JNGKID"],"uri":["http://zotero.org/users/1562642/items/A8JNGKID"],"itemData":{"id":5580,"type":"article-journal","title":"Mild traumatic brain injury and posttraumatic stress disorder and their associations with health symptoms","container-title":"Archives of Physical Medicine &amp; Rehabilitation","page":"1084-1093","volume":"90","issue":"7","source":"EBSCOhost","abstract":"Objective: To determine the association of various symptoms and psychiatric diagnoses with a remote history of mild traumatic brain injury (MTBI) and a current diagnosis of posttraumatic stress disorder (PTSD).; Design: Cross-sectional cohort study.; Setting: Nonclinical.; Participants: Three groups of randomly selected community dwelling male U.S. Army Vietnam-era veterans: healthy control (n=3218), those injured in a motor vehicle collision (MVC) but without a head injury (MVC injury control; n=548), and those who had an MTBI (n=278).; Interventions: None.; Main Outcome Measures: Prevalence of psychiatric diagnoses, physical, cognitive, and emotional symptoms, and course of PTSD across time.; Results: Logistic regression procedures were used to determine group association with symptoms and psychiatric diagnosis after controlling for demographic variables, combat intensity, medical disorders, and other current psychiatric conditions. MTBI was associated with headaches, memory problems, sleep problems, and fainting even after controlling for current psychiatric problems (including PTSD), as well as demographic variables, combat intensity, and comorbid medical conditions. MTBI also was associated with a current diagnosis of PTSD even controlling for other demographic, psychiatric, and medical covariates. MTBI did not moderate or mediate the relationship between PTSD and current symptomatology. However, MTBI did adversely affect long-term recovery from PTSD (odds ratio=1.59, 95% CI, 1.07-2.37). PTSD also was associated with physical, cognitive, and emotional symptoms, and had a larger effect size than MTBI.; Conclusions: MTBI, even in the chronic phase years postinjury, is not a benign condition. It is associated with increased rates of headaches, sleep problems, and memory difficulties. Furthermore, it can complicate or prolong recovery from preexisting or comorbid conditions such as PTSD. Similarly, PTSD is a potent cocontributor to physical, cognitive, and emotional symptoms.;","ISSN":"00039993","journalAbbreviation":"Archives of Physical Medicine &amp; Rehabilitation","author":[{"family":"Vanderploeg","given":"Rodney D."},{"family":"Belanger","given":"Heather G."},{"family":"Curtiss","given":"Glenn"}],"issued":{"date-parts":[["2009",7]]}}}],"schema":"https://github.com/citation-style-language/schema/raw/master/csl-citation.json"}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2009</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826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Minority, 19.25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1234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Vanderploeg</w:t>
            </w:r>
            <w:proofErr w:type="spellEnd"/>
            <w:r w:rsidRPr="00563EB7">
              <w:rPr>
                <w:rFonts w:ascii="Arial" w:hAnsi="Arial" w:cs="Arial"/>
                <w:sz w:val="20"/>
                <w:szCs w:val="20"/>
              </w:rPr>
              <w:t>, Curtiss, &amp; Belanger, 2005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qs464c0fd","properties":{"formattedCitation":"[144]","plainCitation":"[144]"},"citationItems":[{"id":5581,"uris":["http://zotero.org/users/1562642/items/25UHBX2T"],"uri":["http://zotero.org/users/1562642/items/25UHBX2T"],"itemData":{"id":5581,"type":"article-journal","title":"Long-term neuropsychological outcomes following mild traumatic brain injury","container-title":"Journal of the International Neuropsychological Society","page":"228-236","volume":"11","issue":"3","source":"EBSCOhost","archive_location":"2005-05122-002","abstract":"Mild traumatic brain injury (MTBI) is common, yet few studies have examined neuropsychological outcomes more than 1 year postinjury. Studies of nonreferred individuals with MTBI or studies with appropriate control groups are lacking, but necessary to draw conclusions regarding natural recovery from MTBI. We examined the long-term neuropsychological outcomes of a self-reported MTBI an average of 8 years postinjury in a nonreferred community-dwelling sample of male veterans. This was a cross-sectional cohort study derived from the Vietnam Experience Study. Three groups matched on premorbid cognitive ability were examined, those who (1) had not been injured in a MVA nor had a head injury (Normal Control; n = 3214), (2) had been injured in a motor vehicle accident (MVA) but did not have a head injury (MVA Control; n = 539), and (3) had a head injury with altered consciousness (MTBI; n = 254). A MANOVA found no group differences on a standard neuropsychological test battery of 15 measures. Across 15 measures, the average neuropsychological effect size of MTBI compared with either control group was -.03. Subtle aspects of attention and working memory also were examined by comparing groups on Paced Auditory Serial Addition Test (PASAT) continuation rate and California Verbal Learning Test (CVLT) proactive interference (PI). Compared with normal controls, the MTBI group evidenced attention problems in their lower rate of continuation to completion on the PASAT (odds ratio = 1.32, CI = 1.0-1.73) and in excessive PI (odds ratio = 1.66, CI = 1.11-2.47). Unique to the MTBI group, PASAT continuation problems were associated with left-sided visual imperceptions and excessive PI was associated with impaired tandem gait. These results show that MTBI can have adverse long-term neuropsychological outcomes on subtle aspects of complex attention and working memory. (PsycINFO Database Record (c) 2014 APA, all rights reserved). (journal abstract)","DOI":"10.1017/S1355617705050289","ISSN":"1355-6177","journalAbbreviation":"Journal of the International Neuropsychological Society","author":[{"family":"Vanderploeg","given":"Rodney D."},{"family":"Curtiss","given":"Glenn"},{"family":"Belanger","given":"Heather G."}],"issued":{"date-parts":[["2005"]]}}}],"schema":"https://github.com/citation-style-language/schema/raw/master/csl-citation.json"}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3832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81.31</w:t>
            </w:r>
          </w:p>
          <w:p w:rsidR="00F537B6" w:rsidRPr="00563EB7" w:rsidRDefault="00F537B6" w:rsidP="00F537B6">
            <w:pPr>
              <w:rPr>
                <w:rFonts w:ascii="Arial" w:hAnsi="Arial" w:cs="Arial"/>
                <w:sz w:val="20"/>
                <w:szCs w:val="20"/>
              </w:rPr>
            </w:pPr>
            <w:r w:rsidRPr="00563EB7">
              <w:rPr>
                <w:rFonts w:ascii="Arial" w:hAnsi="Arial" w:cs="Arial"/>
                <w:sz w:val="20"/>
                <w:szCs w:val="20"/>
              </w:rPr>
              <w:t>Black, 12.11</w:t>
            </w:r>
          </w:p>
          <w:p w:rsidR="00F537B6" w:rsidRPr="00563EB7" w:rsidRDefault="00F537B6" w:rsidP="00F537B6">
            <w:pPr>
              <w:rPr>
                <w:rFonts w:ascii="Arial" w:hAnsi="Arial" w:cs="Arial"/>
                <w:sz w:val="20"/>
                <w:szCs w:val="20"/>
              </w:rPr>
            </w:pPr>
            <w:r w:rsidRPr="00563EB7">
              <w:rPr>
                <w:rFonts w:ascii="Arial" w:hAnsi="Arial" w:cs="Arial"/>
                <w:sz w:val="20"/>
                <w:szCs w:val="20"/>
              </w:rPr>
              <w:t>Hispanic, 4.67</w:t>
            </w:r>
          </w:p>
          <w:p w:rsidR="00F537B6" w:rsidRPr="00563EB7" w:rsidRDefault="00F537B6" w:rsidP="00F537B6">
            <w:pPr>
              <w:rPr>
                <w:rFonts w:ascii="Arial" w:hAnsi="Arial" w:cs="Arial"/>
                <w:sz w:val="20"/>
                <w:szCs w:val="20"/>
              </w:rPr>
            </w:pPr>
            <w:r w:rsidRPr="00563EB7">
              <w:rPr>
                <w:rFonts w:ascii="Arial" w:hAnsi="Arial" w:cs="Arial"/>
                <w:sz w:val="20"/>
                <w:szCs w:val="20"/>
              </w:rPr>
              <w:t>Other, 1.85</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543</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Vasterling</w:t>
            </w:r>
            <w:proofErr w:type="spellEnd"/>
            <w:r w:rsidRPr="00563EB7">
              <w:rPr>
                <w:rFonts w:ascii="Arial" w:hAnsi="Arial" w:cs="Arial"/>
                <w:sz w:val="20"/>
                <w:szCs w:val="20"/>
              </w:rPr>
              <w:t xml:space="preserve"> et al.,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6l4ubtms9","properties":{"formattedCitation":"[145]","plainCitation":"[145]"},"citationItems":[{"id":4958,"uris":["http://zotero.org/users/1562642/items/ZTSSXBJX"],"uri":["http://zotero.org/users/1562642/items/ZTSSXBJX"],"itemData":{"id":4958,"type":"article-journal","title":"Neuropsychological outcomes of mild traumatic brain injury, post-traumatic stress disorder and depression in Iraq-deployed US Army soldiers","container-title":"The British Journal of Psychiatry","page":"186-192","volume":"201","issue":"3","source":"EBSCOhost","archive_location":"2012-28399-006","abstract":"Background: Traumatic brain injury (TBI) is a concern of contemporary military deployments. Whether milder TBI leads to enduring impairment remains controversial. Aims: To determine the influence of deployment TBI, and post-traumatic stress disorder (PTSD) and depression symptoms on neuropsychological and functional outcomes. Method: A sample of 760 US Army soldiers were assessed pre- and post-deployment. Outcomes included neuropsychological performances and subjective functional impairment. Results: In total, 9% of the participants reported (predominantly mild) TBI with loss of consciousness between pre- and post-deployment. At post-deployment, 17.6% of individuals with TBI screened positive for PTSD and 31.3% screened positive for depression. Before and after adjustment for psychiatric symptoms, TBI was significantly associated only with functional impairment. Both PTSD and depression symptoms adjusted for TBI were significantly associated with several neuropsychological performance deficits and functional impairment. Conclusions: Milder TBI reported by deployed service members typically has limited lasting neuropsychological consequences; PTSD and depression are associated with more enduring cognitive compromise. (PsycINFO Database Record (c) 2013 APA, all rights reserved). (journal abstract)","DOI":"10.1192/bjp.bp.111.096461","ISSN":"0007-1250","journalAbbreviation":"The British Journal of Psychiatry","author":[{"family":"Vasterling","given":"Jennifer J."},{"family":"Brailey","given":"Kevin"},{"family":"Proctor","given":"Susan P."},{"family":"Kane","given":"Robert"},{"family":"Heeren","given":"Timothy"},{"family":"Franz","given":"Molly"}],"issued":{"date-parts":[["2012",9,1]]}}}],"schema":"https://github.com/citation-style-language/schema/raw/master/csl-citation.json"}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760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Ethnic Minority, 42.9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915</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Veeramuthu</w:t>
            </w:r>
            <w:proofErr w:type="spellEnd"/>
            <w:r w:rsidRPr="00563EB7">
              <w:rPr>
                <w:rFonts w:ascii="Arial" w:hAnsi="Arial" w:cs="Arial"/>
                <w:sz w:val="20"/>
                <w:szCs w:val="20"/>
              </w:rPr>
              <w:t xml:space="preserve">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26hbcj5r6q","properties":{"formattedCitation":"[146]","plainCitation":"[146]"},"citationItems":[{"id":5263,"uris":["http://zotero.org/users/1562642/items/UPJUB4CC"],"uri":["http://zotero.org/users/1562642/items/UPJUB4CC"],"itemData":{"id":5263,"type":"article-journal","title":"Cognitive impairments in mild traumatic brain injury and genetic polymorphism of apolipoprotein E: A preliminary study in a Level I trauma center","container-title":"Neurology Asia","page":"69-77","volume":"19","issue":"1","source":"EBSCOhost","abstract":"The complex pathophysiology of traumatic brain injury, its cascading effects and a varied outcome suggest that factors such as genetics may permeate and modulate the neurocognitive outcomes in patients with mild traumatic brain injury (mTBI). This study was conducted to determine the relationship between genetic polymorphism of apolipoprotein E, and neurocognitive and functional outcomes in mTBI. Twenty-one patients with mTBI were recruited prospectively. The severity of the injury was established with the Glasgow Coma Score (GCS). Other assessments included the CT Scan of the head on admission, Disability Rating Scale, Chessington Occupational Therapy Neurological Assessment (COTNAB) and Glasgow Outcome Scale (GOS). The Spearmen correlation analysis of ApoE allele status and the cognitive and functional assessments saw some association with the Sensory Motor Ability - Coordination (-0.526, p&lt;0.05), Communication Ability (-0.651, p&lt;0.05), and the Employability (Return to Work) at 1st month (0.455, p&lt;0.05). Notably, the deficits of specific attributes of visuospatial and sensory motor function were seen with greater impairment consistently observed in patients with ApoE e4 allele. In conclusion, the preliminary findings support the possible relationship that exists between ApoE e4 and neurocognitive impairment in mTBI, despite good functional recovery in 6 months post injury.","ISSN":"18236138","shortTitle":"Cognitive impairments in mild traumatic brain injury and genetic polymorphism of apolipoprotein E","journalAbbreviation":"Neurology Asia","author":[{"family":"Veeramuthu","given":"Vigneswaran"},{"family":"Pancharatnam","given":"Devaraj"},{"family":"Poovindran","given":"Anada Raj"},{"family":"Musthapha","given":"Nur Atikah"},{"literal":"Wong Kum Thong"},{"family":"Mazlan","given":"Mazlina"},{"family":"Waran","given":"Vicknes"},{"family":"Ganesan","given":"Dharmendra"}],"issued":{"date-parts":[["2014",3]]}}}],"schema":"https://github.com/citation-style-language/schema/raw/master/csl-citation.json"}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Malaysia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Malay, 57.14</w:t>
            </w:r>
          </w:p>
          <w:p w:rsidR="00F537B6" w:rsidRPr="00563EB7" w:rsidRDefault="00F537B6" w:rsidP="00F537B6">
            <w:pPr>
              <w:rPr>
                <w:rFonts w:ascii="Arial" w:hAnsi="Arial" w:cs="Arial"/>
                <w:sz w:val="20"/>
                <w:szCs w:val="20"/>
              </w:rPr>
            </w:pPr>
            <w:r w:rsidRPr="00563EB7">
              <w:rPr>
                <w:rFonts w:ascii="Arial" w:hAnsi="Arial" w:cs="Arial"/>
                <w:sz w:val="20"/>
                <w:szCs w:val="20"/>
              </w:rPr>
              <w:t>Indian, 28.57</w:t>
            </w:r>
          </w:p>
          <w:p w:rsidR="00F537B6" w:rsidRPr="00563EB7" w:rsidRDefault="00F537B6" w:rsidP="00F537B6">
            <w:pPr>
              <w:rPr>
                <w:rFonts w:ascii="Arial" w:hAnsi="Arial" w:cs="Arial"/>
                <w:sz w:val="20"/>
                <w:szCs w:val="20"/>
              </w:rPr>
            </w:pPr>
            <w:r w:rsidRPr="00563EB7">
              <w:rPr>
                <w:rFonts w:ascii="Arial" w:hAnsi="Arial" w:cs="Arial"/>
                <w:sz w:val="20"/>
                <w:szCs w:val="20"/>
              </w:rPr>
              <w:t>Chinese, 14.29</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946</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Veeramuthu</w:t>
            </w:r>
            <w:proofErr w:type="spellEnd"/>
            <w:r w:rsidRPr="00563EB7">
              <w:rPr>
                <w:rFonts w:ascii="Arial" w:hAnsi="Arial" w:cs="Arial"/>
                <w:sz w:val="20"/>
                <w:szCs w:val="20"/>
              </w:rPr>
              <w:t xml:space="preserve"> et al.,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fliff40ne","properties":{"formattedCitation":"[147]","plainCitation":"[147]"},"citationItems":[{"id":5293,"uris":["http://zotero.org/users/1562642/items/9ZPU882X"],"uri":["http://zotero.org/users/1562642/items/9ZPU882X"],"itemData":{"id":5293,"type":"article-journal","title":"Microstructural Change and Cognitive Alteration in Maxillofacial Trauma and Mild Traumatic Brain Injury: A Diffusion Tensor Imaging Study","container-title":"Journal Of Oral And Maxillofacial Surgery: Official Journal Of The American Association Of Oral And Maxillofacial Surgeons","source":"EBSCOhost","archive_location":"26917201","abstract":"Purpose: The aim of the present study was to establish the incidence of maxillofacial (MF) injury accompanying mild traumatic brain injury (mTBI) and the associated neurocognitive deficits and white matter changes.; Materials and Methods: A prospective review of 41 patients with mTBI and maxillofacial injury (with or without intracranial lesion) due to motor vehicle accidents who had admission computed tomography (CT), neurocognitive evaluation, and quantitative diffusion tensor imaging available was performed during admission and at 6 months of follow-up. Descriptive statistics were used for the demographic data, and a paired t test and repeated measure analysis of variance were used to establish the intergroup differences and susceptibility.; Results: The included patients were relatively young adults, with a mean age of 27.3 ± 8.8 years and 11.3 ± 2.1 years of education. Of the 41 patients, 20 (48.8%) had maxillofacial injuries involving the soft tissue and muscles, 18 (43.9%) had facial bone fractures, and 3 (7.3%) had mixed injuries. Of the 41 patients with MF injuries, 28 (68.3%) had intracranial abnormalities found on the admission CT scan. Executive function and attention were significantly altered across the time points, with patients with both MF injury and an intracranial lesion doing poorly at baseline but with improvement 6 months later. In contrast, the patients with no visible intracranial lesion but with MF injuries remained impaired, with signs of a slowed recovery. The fractional anisotropy of the genu of the corpus callosum, anterior limb of the internal capsule, and cingulum for patients with MF injuries but without an intracranial lesion showed trends of reduced integrity over time.; Conclusions: The presence of MF injury without any intracranial traumatic lesions in patients with mTBI increases the risk of short- and long-term neurocognitive derangement compared with patients with mTBI, MF injury, and intracranial traumatic lesions.; Copyright © 2016 American Association of Oral and Maxillofacial Surgeons. Published by Elsevier Inc. All rights reserved.","DOI":"10.1016/j.joms.2016.01.042","ISSN":"1531-5053","shortTitle":"Microstructural Change and Cognitive Alteration in Maxillofacial Trauma and Mild Traumatic Brain Injury","journalAbbreviation":"Journal Of Oral And Maxillofacial Surgery: Official Journal Of The American Association Of Oral And Maxillofacial Surgeons","author":[{"family":"Veeramuthu","given":"Vigneswaran"},{"family":"Hariri","given":"Firdaus"},{"family":"Narayanan","given":"Vairavan"},{"family":"Kuo","given":"Tan Li"},{"family":"Ramli","given":"Norlisah"},{"family":"Ganesan","given":"Dharmendra"}],"issued":{"date-parts":[["2016",1,30]]}}}],"schema":"https://github.com/citation-style-language/schema/raw/master/csl-citation.json"}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Malaysia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Polynesian Malay, 75.61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299</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Vilar-López</w:t>
            </w:r>
            <w:proofErr w:type="spellEnd"/>
            <w:r w:rsidRPr="00563EB7">
              <w:rPr>
                <w:rFonts w:ascii="Arial" w:hAnsi="Arial" w:cs="Arial"/>
                <w:sz w:val="20"/>
                <w:szCs w:val="20"/>
              </w:rPr>
              <w:t xml:space="preserve"> et al., 2007</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rib75mj4a","properties":{"formattedCitation":"[148]","plainCitation":"[148]"},"citationItems":[{"id":4964,"uris":["http://zotero.org/users/1562642/items/9QFJVNV4"],"uri":["http://zotero.org/users/1562642/items/9QFJVNV4"],"itemData":{"id":4964,"type":"article-journal","title":"Detection of malingering in a Spanish population using three specific malingering tests","container-title":"Archives of Clinical Neuropsychology","page":"379-388","volume":"22","issue":"3","source":"EBSCOhost","abstract":"Abstract: The detection of feigned cognitive impairment remains difficult and may be even more challenging in certain population groups. Studies on the use of neuropsychological tests in ethnic groups for which they were not designed have shown variations in performance associated with cultural differences. With this background, our group studied a Spanish population by applying commonly used procedures [Victoria Symptom Validity Test (VSVT), Test of Memory Malingering (TOMM), and the b test] in a group with post-concussion syndrome (PCS) (whether litigants or not) and in a group of analog malingerers (AN). These tests appeared to function adequately in this Spanish population, who showed similar performances to results published for North Americans.","DOI":"10.1016/j.acn.2007.01.012","ISSN":"08876177","journalAbbreviation":"Archives of Clinical Neuropsychology","author":[{"family":"Vilar-López","given":"Raquel"},{"family":"Santiago-Ramajo","given":"S."},{"family":"Gómez-Río","given":"Manuel"},{"family":"Verdejo-García","given":"Antonio"},{"family":"Llamas","given":"José M."},{"family":"Pérez-García","given":"Miguel"}],"issued":{"date-parts":[["2007",3]]}}}],"schema":"https://github.com/citation-style-language/schema/raw/master/csl-citation.json"}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[148]</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2007</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Spain</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61</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Spain,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1238</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Wäljas</w:t>
            </w:r>
            <w:proofErr w:type="spellEnd"/>
            <w:r w:rsidRPr="00563EB7">
              <w:rPr>
                <w:rFonts w:ascii="Arial" w:hAnsi="Arial" w:cs="Arial"/>
                <w:sz w:val="20"/>
                <w:szCs w:val="20"/>
              </w:rPr>
              <w:t xml:space="preserve"> et al., 2015</w:t>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Finland</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186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100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584</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Waid</w:t>
            </w:r>
            <w:proofErr w:type="spellEnd"/>
            <w:r w:rsidRPr="00563EB7">
              <w:rPr>
                <w:rFonts w:ascii="Arial" w:hAnsi="Arial" w:cs="Arial"/>
                <w:sz w:val="20"/>
                <w:szCs w:val="20"/>
              </w:rPr>
              <w:t>-Ebbs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km19sqpuc","properties":{"formattedCitation":"[149]","plainCitation":"[149]"},"citationItems":[{"id":4962,"uris":["http://zotero.org/users/1562642/items/E5Q8ZHAV"],"uri":["http://zotero.org/users/1562642/items/E5Q8ZHAV"],"itemData":{"id":4962,"type":"article-journal","title":"Response to goal management training in veterans with blast-related mild traumatic brain injury","container-title":"Journal Of Rehabilitation Research And Development","page":"1555-1566","volume":"51","issue":"10","source":"EBSCOhost","abstract":"Veterans with blast-related mild traumatic brain injury (TBI) experience cognitive deficits that interfere with functional activities. Goal Management Training (GMT), which is a metacognitive intervention, offers an executive function rehabilitation approach that draws upon theories concerning goal processing and sustained attention. GMT has received empirical support in studies of patients with TBI but has not been tested in Veterans with blast-related mild TBI. GMT was modified from 7 weekly to 10 biweekly sessions. Participants included six combat Veterans who reported multiple blast exposures resulting in symptoms consistent with mild TBI. Group analysis showed a significant improvement in measures of executive function derived from performance on the computerized Tower of London. There were no significant changes on self/informant questionnaires of executive function, indicating a lack of generalization of improvement from the clinic to everyday activities. Overall, while the data indicate efficacy of GMT in the rehabilitation of combat Veterans with executive function deficits because of blast-related mild TBI, enhancement of generalization is needed. ABSTRACT FROM AUTHOR","ISSN":"07487711","journalAbbreviation":"Journal of Rehabilitation Research &amp; Development","author":[{"family":"Waid-Ebbs","given":"J. Kay"},{"family":"Daly","given":"Janis"},{"family":"Wu","given":"Samuel S."},{"family":"Berg","given":"W. Keith"},{"family":"Bauer","given":"Russell M."},{"family":"Perlstein","given":"William M."},{"family":"Crosson","given":"Bruce"}],"issued":{"date-parts":[["2014",12]]}}}],"schema":"https://github.com/citation-style-language/schema/raw/master/csl-citation.json"}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[149]</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83.33</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16.67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443</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 xml:space="preserve">Walker, Franke, </w:t>
            </w:r>
            <w:proofErr w:type="spellStart"/>
            <w:r w:rsidRPr="00563EB7">
              <w:rPr>
                <w:rFonts w:ascii="Arial" w:hAnsi="Arial" w:cs="Arial"/>
                <w:sz w:val="20"/>
                <w:szCs w:val="20"/>
              </w:rPr>
              <w:t>Cifu</w:t>
            </w:r>
            <w:proofErr w:type="spellEnd"/>
            <w:r w:rsidRPr="00563EB7">
              <w:rPr>
                <w:rFonts w:ascii="Arial" w:hAnsi="Arial" w:cs="Arial"/>
                <w:sz w:val="20"/>
                <w:szCs w:val="20"/>
              </w:rPr>
              <w:t>, &amp; Hart,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c9r0q7r0i","properties":{"formattedCitation":"[150]","plainCitation":"[150]"},"citationItems":[{"id":5236,"uris":["http://zotero.org/users/1562642/items/3W7AU62N"],"uri":["http://zotero.org/users/1562642/items/3W7AU62N"],"itemData":{"id":5236,"type":"article-journal","title":"Randomized, sham-controlled, feasibility trial of hyperbaric oxygen for service members with postconcussion syndrome: Cognitive and psychomotor outcomes 1 week postintervention","container-title":"Neurorehabilitation and Neural Repair","page":"420-432","volume":"28","issue":"5","source":"EBSCOhost","archive_location":"2014-42532-003","abstract":"Background. Mild traumatic brain injury (mTBI) and residual postconcussion syndrome (PCS) are common among combatants of the recent military conflicts in Iraq and Afghanistan. Hyperbaric oxygen (HBO</w:instrText>
            </w:r>
            <w:r>
              <w:rPr>
                <w:rFonts w:ascii="Cambria Math" w:hAnsi="Cambria Math" w:cs="Cambria Math"/>
                <w:sz w:val="20"/>
                <w:szCs w:val="20"/>
              </w:rPr>
              <w:instrText>₂</w:instrText>
            </w:r>
            <w:r>
              <w:rPr>
                <w:rFonts w:ascii="Arial" w:hAnsi="Arial" w:cs="Arial"/>
                <w:sz w:val="20"/>
                <w:szCs w:val="20"/>
              </w:rPr>
              <w:instrText>) is a proposed treatment but has not been rigorously studied for this condition. Objectives. In a secondary analysis, examine for possible effects on psychomotor (balance and fine motor) and cognitive performance 1 week after an HBO</w:instrText>
            </w:r>
            <w:r>
              <w:rPr>
                <w:rFonts w:ascii="Cambria Math" w:hAnsi="Cambria Math" w:cs="Cambria Math"/>
                <w:sz w:val="20"/>
                <w:szCs w:val="20"/>
              </w:rPr>
              <w:instrText>₂</w:instrText>
            </w:r>
            <w:r>
              <w:rPr>
                <w:rFonts w:ascii="Arial" w:hAnsi="Arial" w:cs="Arial"/>
                <w:sz w:val="20"/>
                <w:szCs w:val="20"/>
              </w:rPr>
              <w:instrText xml:space="preserve"> intervention in service members with PCS after mTBI. Methods. A randomized, double-blind, sham control, feasibility trial comparing pretreatment and posttreatment was conducted in 60 male active-duty marines with combat-related mTBI and PCS persisting for 3 to 36 months. Participants were randomized to 1 of 3 preassigned oxygen fractions (10.5%, 75%, or 100%) at 2.0 atmospheres absolute (ATA), resulting in respective groups with an oxygen exposure equivalent to (1) breathing surface air (Sham Air), (2) 100% oxygen at 1.5 ATA (1.5 ATAO2), and (3) 100% oxygen at 2.0 ATA (2.0 ATAO2). Over a 10-week period, participants received 40 hyperbaric chamber sessions of 60 minutes each. Outcome measures, including computerized posturography (balance), grooved pegboard (fine motor speed/dexterity), and multiple neuropsychological tests of cognitive performance, were collected preintervention and 1-week postintervention. Results. Despite the multiple sensitive cognitive and psychomotor measures analyzed at an unadjusted 5% significance level, this study demonstrated no immediate postintervention beneficial effect of exposure to either 1.5 ATAO2 or 2.0 ATAO2 compared with the Sham Air intervention. Conclusions. These results do not support the use of HBO</w:instrText>
            </w:r>
            <w:r>
              <w:rPr>
                <w:rFonts w:ascii="Cambria Math" w:hAnsi="Cambria Math" w:cs="Cambria Math"/>
                <w:sz w:val="20"/>
                <w:szCs w:val="20"/>
              </w:rPr>
              <w:instrText>₂</w:instrText>
            </w:r>
            <w:r>
              <w:rPr>
                <w:rFonts w:ascii="Arial" w:hAnsi="Arial" w:cs="Arial"/>
                <w:sz w:val="20"/>
                <w:szCs w:val="20"/>
              </w:rPr>
              <w:instrText xml:space="preserve"> to treat cognitive, balance, or fine motor deficits associated with mTBI and PCS. (PsycINFO Database Record (c) 2015 APA, all rights reserved). (journal abstract)","DOI":"10.1177/1545968313516869","ISSN":"1545-9683","shortTitle":"Randomized, sham-controlled, feasibility trial of hyperbaric oxygen for service members with postconcussion syndrome","journalAbbreviation":"Neurorehabilitation and Neural Repair","author":[{"family":"Walker","given":"William C."},{"family":"Franke","given":"Laura Manning"},{"family":"Cifu","given":"David X."},{"family":"Hart","given":"Brett B."}],"issued":{"date-parts":[["2014"]]}}}],"schema":"https://github.com/citation-style-language/schema/raw/master/csl-citation.json"}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[150]</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78.33</w:t>
            </w:r>
          </w:p>
          <w:p w:rsidR="00F537B6" w:rsidRPr="00563EB7" w:rsidRDefault="00F537B6" w:rsidP="00F537B6">
            <w:pPr>
              <w:rPr>
                <w:rFonts w:ascii="Arial" w:hAnsi="Arial" w:cs="Arial"/>
                <w:sz w:val="20"/>
                <w:szCs w:val="20"/>
              </w:rPr>
            </w:pPr>
            <w:r w:rsidRPr="00563EB7">
              <w:rPr>
                <w:rFonts w:ascii="Arial" w:hAnsi="Arial" w:cs="Arial"/>
                <w:sz w:val="20"/>
                <w:szCs w:val="20"/>
              </w:rPr>
              <w:t>Hispanic, 16.67</w:t>
            </w:r>
          </w:p>
          <w:p w:rsidR="00F537B6" w:rsidRPr="00563EB7" w:rsidRDefault="00F537B6" w:rsidP="00F537B6">
            <w:pPr>
              <w:rPr>
                <w:rFonts w:ascii="Arial" w:hAnsi="Arial" w:cs="Arial"/>
                <w:sz w:val="20"/>
                <w:szCs w:val="20"/>
              </w:rPr>
            </w:pPr>
            <w:r w:rsidRPr="00563EB7">
              <w:rPr>
                <w:rFonts w:ascii="Arial" w:hAnsi="Arial" w:cs="Arial"/>
                <w:sz w:val="20"/>
                <w:szCs w:val="20"/>
              </w:rPr>
              <w:t>African-American, 3.33</w:t>
            </w:r>
          </w:p>
          <w:p w:rsidR="00F537B6" w:rsidRPr="00563EB7" w:rsidRDefault="00F537B6" w:rsidP="00F537B6">
            <w:pPr>
              <w:rPr>
                <w:rFonts w:ascii="Arial" w:hAnsi="Arial" w:cs="Arial"/>
                <w:sz w:val="20"/>
                <w:szCs w:val="20"/>
              </w:rPr>
            </w:pPr>
            <w:r w:rsidRPr="00563EB7">
              <w:rPr>
                <w:rFonts w:ascii="Arial" w:hAnsi="Arial" w:cs="Arial"/>
                <w:sz w:val="20"/>
                <w:szCs w:val="20"/>
              </w:rPr>
              <w:t>Native American, 1.67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960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Wang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qh1i2da7e","properties":{"formattedCitation":"[151]","plainCitation":"[151]"},"citationItems":[{"id":5305,"uris":["http://zotero.org/users/1562642/items/U7PWK7I6"],"uri":["http://zotero.org/users/1562642/items/U7PWK7I6"],"itemData":{"id":5305,"type":"article-journal","title":"Cerebral Blood Flow Alterations in Acute Sport-Related Concussion","container-title":"Journal Of Neurotrauma","source":"EBSCOhost","archive_location":"26414315","abstract":"Sport-related concussion (SRC) is a major health problem, affecting millions of athletes each year. While the clinical effects of SRC (e.g., symptoms and functional impairments) typically resolve within several days, increasing evidence suggests persistent neurophysiological abnormalities beyond the point of clinical recovery after injury. This study aimed to evaluate cerebral blood flow (CBF) changes in acute SRC, as measured using advanced arterial spin labeling (ASL) magnetic resonance imaging (MRI). We compared CBF maps assessed in 18 concussed football players (age, 17.8 ± 1.5 years) obtained within 24 h and at 8 days after injury with a control group of 19 matched non-concussed football players. While the control group did not show any changes in CBF between the two time-points, concussed athletes demonstrated a significant decrease in CBF at 8 days relative to within 24 h. Scores on the clinical symptom (Sport Concussion Assessment Tool 3, SCAT3) and cognitive measures (Standardized Assessment of Concussion [SAC]) demonstrated significant impairment (vs. pre-season baseline levels) at 24 h (SCAT, p &lt; 0.0001; SAC, p &lt; 0.01) but returned to baseline levels at 8 days. Two additional computerized neurocognitive tests, the Automated Neuropsychological Assessment Metrics and Immediate Post-Concussion and Cognitive Testing, showed a similar pattern of changes. These data support the hypothesis that physiological changes persist beyond the point of clinical recovery after SRC. Our results also indicate that advanced ASL MRI methods might be useful for detecting and tracking the longitudinal course of underlying neurophysiological recovery from concussion.;","ISSN":"1557-9042","journalAbbreviation":"Journal Of Neurotrauma","author":[{"family":"Wang","given":"Yang"},{"family":"Nelson","given":"Lindsay D"},{"family":"LaRoche","given":"Ashley A"},{"family":"Pfaller","given":"Adam Y"},{"family":"Nencka","given":"Andrew S"},{"family":"Koch","given":"Kevin M"},{"family":"McCrea","given":"Michael A"}],"issued":{"date-parts":[["2015",11,12]]}}}],"schema":"https://github.com/citation-style-language/schema/raw/master/csl-citation.json"}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[151]</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37</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 72.97</w:t>
            </w:r>
          </w:p>
          <w:p w:rsidR="00F537B6" w:rsidRPr="00563EB7" w:rsidRDefault="00F537B6" w:rsidP="00F537B6">
            <w:pPr>
              <w:rPr>
                <w:rFonts w:ascii="Arial" w:hAnsi="Arial" w:cs="Arial"/>
                <w:sz w:val="20"/>
                <w:szCs w:val="20"/>
              </w:rPr>
            </w:pPr>
            <w:r w:rsidRPr="00563EB7">
              <w:rPr>
                <w:rFonts w:ascii="Arial" w:hAnsi="Arial" w:cs="Arial"/>
                <w:sz w:val="20"/>
                <w:szCs w:val="20"/>
              </w:rPr>
              <w:t>Black, 24.32</w:t>
            </w:r>
          </w:p>
          <w:p w:rsidR="00F537B6" w:rsidRPr="00563EB7" w:rsidRDefault="00F537B6" w:rsidP="00F537B6">
            <w:pPr>
              <w:rPr>
                <w:rFonts w:ascii="Arial" w:hAnsi="Arial" w:cs="Arial"/>
                <w:sz w:val="20"/>
                <w:szCs w:val="20"/>
              </w:rPr>
            </w:pPr>
            <w:r w:rsidRPr="00563EB7">
              <w:rPr>
                <w:rFonts w:ascii="Arial" w:hAnsi="Arial" w:cs="Arial"/>
                <w:sz w:val="20"/>
                <w:szCs w:val="20"/>
              </w:rPr>
              <w:t>Other, 2.7</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476</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Whiteside et al., 2015</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1rp4h71rsu","properties":{"formattedCitation":"[152]","plainCitation":"[152]"},"citationItems":[{"id":4970,"uris":["http://zotero.org/users/1562642/items/BI3KGKR7"],"uri":["http://zotero.org/users/1562642/items/BI3KGKR7"],"itemData":{"id":4970,"type":"article-journal","title":"Derivation of a cross-domain embedded performance validity measure in traumatic brain injury","container-title":"The Clinical Neuropsychologist","page":"788-803","volume":"29","issue":"6","source":"EBSCOhost","archive_location":"2015-52347-004","abstract":"Objective: Performance validity assessment is increasingly considered standard practice in neuropsychological evaluations. The current study extended research on logistically derived performance validity tests (PVTs) by utilizing neuropsychological measures from multiple cognitive domains instead of from a single measure or a single cognitive domain.Method: A logistic-derived PVT was calculated using several measures from multiple cognitive domains, including verbal memory (California Verbal Learning Test-II Trial 5, Total Hits, and False Positives), attention (Brief Test of Attention Total score), and language (Boston Naming Test T-score, and Animal Fluency T-score). Due to its cross-domain nature, the cross-domain logistic-derived embedded PVT was hypothesized to have excellent classification accuracy for non-credible performance. Participants included 224 patients who completed all measures and were moderate to severe traumatic brain injury (STBI) patients (N = 66), possible mild TBI (MTBI-FAIL) patients who failed at least 2 independent PVTs (N = 67), and possible mild TBI patients who passed all PVTs (MTBI-PASS; N = 91). Logistic regression and ROC analyses were conducted on the MTBI-FAIL group and the STBI group.Results: Multivariate analysis of variance indicated that the MTBI-FAIL group was significantly lower on all measures than the MTBI-PASS and the STBI groups. Using logistic regression, CVLT Total Hits, BTA, and the CVLT False Positives best differentiated between the MTBI-FAIL and STBI groups. The logistically derived PVT had excellent classification accuracy (area under the curve [AUC] = .84), with sensitivity at .54 when specificity was set at .90, higher than any individual variable.Conclusions: Findings support the use of this logistical-derived variable as an embedded PVT and support further research with this type of methodology. (PsycINFO Database Record (c) 2015 APA, all rights reserved). (journal abstract)","DOI":"10.1080/13854046.2015.1093660","ISSN":"1385-4046","journalAbbreviation":"The Clinical Neuropsychologist","author":[{"family":"Whiteside","given":"Douglas M."},{"family":"Gaasedelen","given":"Owen J."},{"family":"Hahn-Ketter","given":"Amanda E."},{"family":"Luu","given":"Hien"},{"family":"Miller","given":"Michelle L."},{"family":"Persinger","given":"Virginia"},{"family":"Rice","given":"Linda"},{"family":"Basso","given":"Michael R."}],"issued":{"date-parts":[["2015",8]]}}}],"schema":"https://github.com/citation-style-language/schema/raw/master/csl-citation.json"}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[152]</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2015</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224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95.98</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548</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Willeumier</w:t>
            </w:r>
            <w:proofErr w:type="spellEnd"/>
            <w:r w:rsidRPr="00563EB7">
              <w:rPr>
                <w:rFonts w:ascii="Arial" w:hAnsi="Arial" w:cs="Arial"/>
                <w:sz w:val="20"/>
                <w:szCs w:val="20"/>
              </w:rPr>
              <w:t>, Taylor, &amp; Amen, 2012</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jvhji9bom","properties":{"formattedCitation":"[153]","plainCitation":"[153]"},"citationItems":[{"id":4465,"uris":["http://zotero.org/users/1562642/items/39RFVFE2"],"uri":["http://zotero.org/users/1562642/items/39RFVFE2"],"itemData":{"id":4465,"type":"article-journal","title":"Elevated body mass in National Football League players linked to cognitive impairment and decreased prefrontal cortex and temporal pole activity","container-title":"Translational Psychiatry","page":"e68-e68","volume":"2","source":"EBSCOhost","archive_location":"22832730","abstract":"Obesity is a risk factor for neurodegenerative disease and has been shown to adversely affect cognitive function. Professional athletes who participate in sports, which expose them to repetitive concussions, may be at heightened risk for cognitive impairment. Here, we investigated the effects of body mass as measured by waist-to-height ratio (WHtR) on regional cerebral blood flow using single-photon emission computed tomography imaging in 38 healthy weight (WHtR mean 49.34 ± 2.8; age 58 ± 9.6) and 38 overweight (WHtR mean 58.7 ± 4.7; age 58 ± 13.3) retired National Football League football players. After matching for age and position, we used a two sample t-test to determine the differences in blood flow in healthy versus overweight subjects. Statistical parametric mapping revealed a higher WHtR ratio is associated with decreased blood flow in Brodmann areas 8, 9 and 10, brain regions involved in attention, reasoning and executive function (P&lt;0.05, family-wise error) along with deficits in the temporal pole. Moreover, overweight athletes had significant decrease in attention (P = 0.01326), general cognitive proficiency (P = 0.012; Microcog: Assessment of Cognitive Functioning) and memory (P=0.005; Mild Cognitive Impairment Screen). The association between elevated WHtR percentage and decreased blood flow in the prefrontal cortex and temporal pole may be correlated with the decreased performance on tests of attention and memory. These findings suggest that a weight management program may be critical to the health of athletes who have been exposed to mild brain trauma during their careers.;","DOI":"10.1038/tp.2011.67","ISSN":"2158-3188","journalAbbreviation":"Translational Psychiatry","author":[{"family":"Willeumier","given":"K"},{"family":"Taylor","given":"D V"},{"family":"Amen","given":"D G"}],"issued":{"date-parts":[["2012",1,17]]}}}],"schema":"https://github.com/citation-style-language/schema/raw/master/csl-citation.json"}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[153]</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2012</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60</w:t>
            </w:r>
          </w:p>
          <w:p w:rsidR="00F537B6" w:rsidRPr="00563EB7" w:rsidRDefault="00F537B6" w:rsidP="00F537B6">
            <w:pPr>
              <w:rPr>
                <w:rFonts w:ascii="Arial" w:hAnsi="Arial" w:cs="Arial"/>
                <w:sz w:val="20"/>
                <w:szCs w:val="20"/>
              </w:rPr>
            </w:pPr>
            <w:r w:rsidRPr="00563EB7">
              <w:rPr>
                <w:rFonts w:ascii="Arial" w:hAnsi="Arial" w:cs="Arial"/>
                <w:sz w:val="20"/>
                <w:szCs w:val="20"/>
              </w:rPr>
              <w:t>African-American, 33</w:t>
            </w:r>
          </w:p>
          <w:p w:rsidR="00F537B6" w:rsidRPr="00563EB7" w:rsidRDefault="00F537B6" w:rsidP="00F537B6">
            <w:pPr>
              <w:rPr>
                <w:rFonts w:ascii="Arial" w:hAnsi="Arial" w:cs="Arial"/>
                <w:sz w:val="20"/>
                <w:szCs w:val="20"/>
              </w:rPr>
            </w:pPr>
            <w:r w:rsidRPr="00563EB7">
              <w:rPr>
                <w:rFonts w:ascii="Arial" w:hAnsi="Arial" w:cs="Arial"/>
                <w:sz w:val="20"/>
                <w:szCs w:val="20"/>
              </w:rPr>
              <w:t>Mixed or multiple, 6</w:t>
            </w:r>
          </w:p>
          <w:p w:rsidR="00F537B6" w:rsidRPr="00563EB7" w:rsidRDefault="00F537B6" w:rsidP="00F537B6">
            <w:pPr>
              <w:rPr>
                <w:rFonts w:ascii="Arial" w:hAnsi="Arial" w:cs="Arial"/>
                <w:sz w:val="20"/>
                <w:szCs w:val="20"/>
              </w:rPr>
            </w:pPr>
            <w:r w:rsidRPr="00563EB7">
              <w:rPr>
                <w:rFonts w:ascii="Arial" w:hAnsi="Arial" w:cs="Arial"/>
                <w:sz w:val="20"/>
                <w:szCs w:val="20"/>
              </w:rPr>
              <w:t>Hispanic, 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488</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Winkler et al.,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b92jgnrj7","properties":{"formattedCitation":"[154]","plainCitation":"[154]"},"citationItems":[{"id":4972,"uris":["http://zotero.org/users/1562642/items/7J9MTN5W"],"uri":["http://zotero.org/users/1562642/items/7J9MTN5W"],"itemData":{"id":4972,"type":"article-journal","title":"COMT Val (158) Met polymorphism is associated with nonverbal cognition following mild traumatic brain injury","container-title":"Neurogenetics","page":"31-41","volume":"17","issue":"1","source":"EBSCOhost","archive_location":"26576546","abstract":"Mild traumatic brain injury (mTBI) results in variable clinical outcomes, which may be influenced by genetic variation. A single-nucleotide polymorphism in catechol-o-methyltransferase (COMT), an enzyme which degrades catecholamine neurotransmitters, may influence cognitive deficits following moderate and/or severe head trauma. However, this has been disputed, and its role in mTBI has not been studied. Here, we utilize the Transforming Research and Clinical Knowledge in Traumatic Brain Injury Pilot (TRACK-TBI Pilot) study to investigate whether the COMT Val (158) Met polymorphism influences outcome on a cognitive battery 6 months following mTBI-Wechsler Adult Intelligence Test Processing Speed Index Composite Score (WAIS-PSI), Trail Making Test (TMT) Trail B minus Trail A time, and California Verbal Learning Test, Second Edition Trial 1-5 Standard Score (CVLT-II). All patients had an emergency department Glasgow Coma Scale (GCS) of 13-15, no acute intracranial pathology on head CT, and no polytrauma as defined by an Abbreviated Injury Scale (AIS) score of ≥3 in any extracranial region. Results in 100 subjects aged 40.9 (SD 15.2) years (COMT Met (158) /Met (158) 29 %, Met (158) /Val (158) 47 %, Val (158) /Val (158) 24 %) show that the COMT Met (158) allele (mean 101.6 ± SE 2.1) associates with higher nonverbal processing speed on the WAIS-PSI when compared to Val (158) /Val (158) homozygotes (93.8 ± SE 3.0) after controlling for demographics and injury severity (mean increase 7.9 points, 95 % CI [1.4 to 14.3], p = 0.017). The COMT Val (158) Met polymorphism did not associate with mental flexibility on the TMT or with verbal learning on the CVLT-II. Hence, COMT Val (158) Met may preferentially modulate nonverbal cognition following uncomplicated mTBI.Registry: ClinicalTrials.gov Identifier NCT01565551.;","DOI":"10.1007/s10048-015-0467-8","ISSN":"1364-6753","journalAbbreviation":"Neurogenetics","author":[{"family":"Winkler","given":"Ethan A"},{"family":"Yue","given":"John K"},{"family":"McAllister","given":"Thomas W"},{"family":"Temkin","given":"Nancy R"},{"family":"Oh","given":"Sam S"},{"family":"Burchard","given":"Esteban G"},{"family":"Hu","given":"Donglei"},{"family":"Ferguson","given":"Adam R"},{"family":"Lingsma","given":"Hester F"},{"family":"Burke","given":"John F"},{"family":"Sorani","given":"Marco D"},{"family":"Rosand","given":"Jonathan"},{"family":"Yuh","given":"Esther L"},{"family":"Barber","given":"Jason"},{"family":"Tarapore","given":"Phiroz E"},{"family":"Gardner","given":"Raquel C"},{"family":"Sharma","given":"Sourabh"},{"family":"Satris","given":"Gabriela G"},{"family":"Eng","given":"Celeste"},{"family":"Puccio","given":"Ava M"},{"family":"Wang","given":"Kevin K W"},{"family":"Mukherjee","given":"Pratik"},{"family":"Valadka","given":"Alex B"},{"family":"Okonkwo","given":"David O"},{"family":"Diaz-Arrastia","given":"Ramon"},{"family":"Manley","given":"Geoffrey T"}],"issued":{"date-parts":[["2016",1]]}}}],"schema":"https://github.com/citation-style-language/schema/raw/master/csl-citation.json"}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[154]</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100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70</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14</w:t>
            </w:r>
          </w:p>
          <w:p w:rsidR="00F537B6" w:rsidRPr="00563EB7" w:rsidRDefault="00F537B6" w:rsidP="00F537B6">
            <w:pPr>
              <w:rPr>
                <w:rFonts w:ascii="Arial" w:hAnsi="Arial" w:cs="Arial"/>
                <w:sz w:val="20"/>
                <w:szCs w:val="20"/>
              </w:rPr>
            </w:pPr>
            <w:r w:rsidRPr="00563EB7">
              <w:rPr>
                <w:rFonts w:ascii="Arial" w:hAnsi="Arial" w:cs="Arial"/>
                <w:sz w:val="20"/>
                <w:szCs w:val="20"/>
              </w:rPr>
              <w:t>Multiracial, 9</w:t>
            </w:r>
          </w:p>
          <w:p w:rsidR="00F537B6" w:rsidRPr="00563EB7" w:rsidRDefault="00F537B6" w:rsidP="00F537B6">
            <w:pPr>
              <w:rPr>
                <w:rFonts w:ascii="Arial" w:hAnsi="Arial" w:cs="Arial"/>
                <w:sz w:val="20"/>
                <w:szCs w:val="20"/>
              </w:rPr>
            </w:pPr>
            <w:r w:rsidRPr="00563EB7">
              <w:rPr>
                <w:rFonts w:ascii="Arial" w:hAnsi="Arial" w:cs="Arial"/>
                <w:sz w:val="20"/>
                <w:szCs w:val="20"/>
              </w:rPr>
              <w:t>Asian, 5</w:t>
            </w:r>
          </w:p>
          <w:p w:rsidR="00F537B6" w:rsidRPr="00563EB7" w:rsidRDefault="00F537B6" w:rsidP="00F537B6">
            <w:pPr>
              <w:rPr>
                <w:rFonts w:ascii="Arial" w:hAnsi="Arial" w:cs="Arial"/>
                <w:sz w:val="20"/>
                <w:szCs w:val="20"/>
              </w:rPr>
            </w:pPr>
            <w:r w:rsidRPr="00563EB7">
              <w:rPr>
                <w:rFonts w:ascii="Arial" w:hAnsi="Arial" w:cs="Arial"/>
                <w:sz w:val="20"/>
                <w:szCs w:val="20"/>
              </w:rPr>
              <w:lastRenderedPageBreak/>
              <w:t>American Indian or Alaskan</w:t>
            </w:r>
            <w:r w:rsidRPr="00563EB7">
              <w:rPr>
                <w:rFonts w:ascii="Arial" w:hAnsi="Arial" w:cs="Arial"/>
                <w:sz w:val="20"/>
                <w:szCs w:val="20"/>
              </w:rPr>
              <w:br/>
              <w:t>Native, 1</w:t>
            </w:r>
          </w:p>
          <w:p w:rsidR="00F537B6" w:rsidRPr="00563EB7" w:rsidRDefault="00F537B6" w:rsidP="00F537B6">
            <w:pPr>
              <w:rPr>
                <w:rFonts w:ascii="Arial" w:hAnsi="Arial" w:cs="Arial"/>
                <w:sz w:val="20"/>
                <w:szCs w:val="20"/>
              </w:rPr>
            </w:pPr>
            <w:r w:rsidRPr="00563EB7">
              <w:rPr>
                <w:rFonts w:ascii="Arial" w:hAnsi="Arial" w:cs="Arial"/>
                <w:sz w:val="20"/>
                <w:szCs w:val="20"/>
              </w:rPr>
              <w:t>Native Hawaiian or Pacific</w:t>
            </w:r>
            <w:r w:rsidRPr="00563EB7">
              <w:rPr>
                <w:rFonts w:ascii="Arial" w:hAnsi="Arial" w:cs="Arial"/>
                <w:sz w:val="20"/>
                <w:szCs w:val="20"/>
              </w:rPr>
              <w:br/>
              <w:t>Islander, 1</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lastRenderedPageBreak/>
              <w:t>444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Wisdom et al.,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2kgak61iqr","properties":{"formattedCitation":"[155]","plainCitation":"[155]"},"citationItems":[{"id":4973,"uris":["http://zotero.org/users/1562642/items/882B33ZQ"],"uri":["http://zotero.org/users/1562642/items/882B33ZQ"],"itemData":{"id":4973,"type":"article-journal","title":"PTSD and cognitive functioning: Importance of including performance validity testing","container-title":"The Clinical Neuropsychologist","page":"128-145","volume":"28","issue":"1","source":"EBSCOhost","archive_location":"2014-05292-009","abstract":"Many studies have observed an association between post-traumatic stress disorder (PTSD) and cognitive deficits across several domains including memory, attention, and executive functioning. The inclusion of response bias measures in these studies, however, remains largely unaddressed. The purpose of this study was to identify possible cognitive impairments correlated with PTSD in returning OEF/OIF/OND veterans after excluding individuals failing a well-validated performance validity test. Participants included 126 men and 8 women with a history of mild traumatic brain injury (TBI) referred for a comprehensive neuropsychological evaluation as part of a consortium of five Veterans Affairs hospitals. The PTSD CheckList (PCL) and Word Memory Test (WMT) were used to establish symptoms of PTSD and invalid performance, respectively. Groups were categorized as follows: Control (PCL &lt; 50, pass WMT), PTSD-pass (PCL ≥ 50, pass WMT), and PTSD-fail (PCL ≥ 50, fail WMT). As hypothesized, failure on the WMT was associated with significantly poorer performance on almost all cognitive tests administered; however, no significant differences were detected between individuals with and without PTSD symptoms after separating out veterans failing the WMT. These findings highlight the importance of assessing respondent validity in future research examining cognitive functioning in psychiatric illness and warrant further consideration of prior studies reporting PTSD-associated cognitive deficits. (PsycINFO Database Record (c) 2015 APA, all rights reserved). (journal abstract)","DOI":"10.1080/13854046.2013.863977","ISSN":"1385-4046","shortTitle":"PTSD and cognitive functioning","journalAbbreviation":"The Clinical Neuropsychologist","author":[{"family":"Wisdom","given":"Nick M."},{"family":"Pastorek","given":"Nicholas J."},{"family":"Miller","given":"Brian I."},{"family":"Booth","given":"Jane E."},{"family":"Romesser","given":"Jennifer M."},{"family":"Linck","given":"John F."},{"family":"Sim","given":"Anita H."}],"issued":{"date-parts":[["2014",1]]}}}],"schema":"https://github.com/citation-style-language/schema/raw/master/csl-citation.json"}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[155]</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134</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60.45</w:t>
            </w:r>
          </w:p>
          <w:p w:rsidR="00F537B6" w:rsidRPr="00563EB7" w:rsidRDefault="00F537B6" w:rsidP="00F537B6">
            <w:pPr>
              <w:rPr>
                <w:rFonts w:ascii="Arial" w:hAnsi="Arial" w:cs="Arial"/>
                <w:sz w:val="20"/>
                <w:szCs w:val="20"/>
              </w:rPr>
            </w:pPr>
            <w:r w:rsidRPr="00563EB7">
              <w:rPr>
                <w:rFonts w:ascii="Arial" w:hAnsi="Arial" w:cs="Arial"/>
                <w:sz w:val="20"/>
                <w:szCs w:val="20"/>
              </w:rPr>
              <w:t>Hispanic, 20.15</w:t>
            </w:r>
          </w:p>
          <w:p w:rsidR="00F537B6" w:rsidRPr="00563EB7" w:rsidRDefault="00F537B6" w:rsidP="00F537B6">
            <w:pPr>
              <w:rPr>
                <w:rFonts w:ascii="Arial" w:hAnsi="Arial" w:cs="Arial"/>
                <w:sz w:val="20"/>
                <w:szCs w:val="20"/>
              </w:rPr>
            </w:pPr>
            <w:r w:rsidRPr="00563EB7">
              <w:rPr>
                <w:rFonts w:ascii="Arial" w:hAnsi="Arial" w:cs="Arial"/>
                <w:sz w:val="20"/>
                <w:szCs w:val="20"/>
              </w:rPr>
              <w:t>African-American, 14.18</w:t>
            </w:r>
          </w:p>
          <w:p w:rsidR="00F537B6" w:rsidRPr="00563EB7" w:rsidRDefault="00F537B6" w:rsidP="00F537B6">
            <w:pPr>
              <w:rPr>
                <w:rFonts w:ascii="Arial" w:hAnsi="Arial" w:cs="Arial"/>
                <w:sz w:val="20"/>
                <w:szCs w:val="20"/>
              </w:rPr>
            </w:pPr>
            <w:r w:rsidRPr="00563EB7">
              <w:rPr>
                <w:rFonts w:ascii="Arial" w:hAnsi="Arial" w:cs="Arial"/>
                <w:sz w:val="20"/>
                <w:szCs w:val="20"/>
              </w:rPr>
              <w:t>Other, 5.22</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612</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Wright et al., 2016</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4l33h6rqo","properties":{"formattedCitation":"[156]","plainCitation":"[156]"},"citationItems":[{"id":4022,"uris":["http://zotero.org/users/1562642/items/FH6FTA38"],"uri":["http://zotero.org/users/1562642/items/FH6FTA38"],"itemData":{"id":4022,"type":"article-journal","title":"An index predictive of cognitive outcome in retired professional American Football players with a history of sports concussion","container-title":"Journal of Clinical and Experimental Neuropsychology","page":"561-571","volume":"38","issue":"5","source":"Taylor and Francis+NEJM","abstract":"Objective: Various concussion characteristics and personal factors are associated with cognitive recovery in athletes. We developed an index based on concussion frequency, severity, and timeframe, as well as cognitive reserve (CR), and we assessed its predictive power regarding cognitive ability in retired professional football players. Method: Data from 40 retired professional American football players were used in the current study. On average, participants had been retired from football for 20 years. Current neuropsychological performances, indicators of CR, concussion history, and play data were used to create an index for predicting cognitive outcome. Results: The sample displayed a range of concussions, concussion severities, seasons played, CR, and cognitive ability. Many of the participants demonstrated cognitive deficits. The index strongly predicted global cognitive ability (R2 = .31). The index also predicted the number of areas of neuropsychological deficit, which varied as a function of the deficit classification system used (Heaton: R2 = .15; Wechsler: R2 = .28). Conclusions: The current study demonstrated that a unique combination of CR, sports concussion, and game-related data can predict cognitive outcomes in participants who had been retired from professional American football for an average of 20 years. Such indices may prove to be useful for clinical decision making and research.","DOI":"10.1080/13803395.2016.1139057","ISSN":"1380-3395","note":"PMID: 26898803","author":[{"family":"Wright","given":"Mathew J."},{"family":"Woo","given":"Ellen"},{"family":"Birath","given":"J. Brandon"},{"family":"Siders","given":"Craig A."},{"family":"Kelly","given":"Daniel F."},{"family":"Wang","given":"Christina"},{"family":"Swerdloff","given":"Ronald"},{"family":"Romero","given":"Elizabeth"},{"family":"Kernan","given":"Claudia"},{"family":"Cantu","given":"Robert C."},{"family":"Guskiewicz","given":"Kevin"}],"issued":{"date-parts":[["2016",5,27]]}}}],"schema":"https://github.com/citation-style-language/schema/raw/master/csl-citation.json"}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[156]</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2016</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40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Caucasian, 57.5</w:t>
            </w:r>
          </w:p>
          <w:p w:rsidR="00F537B6" w:rsidRPr="00563EB7" w:rsidRDefault="00F537B6" w:rsidP="00F537B6">
            <w:pPr>
              <w:rPr>
                <w:rFonts w:ascii="Arial" w:hAnsi="Arial" w:cs="Arial"/>
                <w:sz w:val="20"/>
                <w:szCs w:val="20"/>
              </w:rPr>
            </w:pPr>
            <w:r w:rsidRPr="00563EB7">
              <w:rPr>
                <w:rFonts w:ascii="Arial" w:hAnsi="Arial" w:cs="Arial"/>
                <w:sz w:val="20"/>
                <w:szCs w:val="20"/>
              </w:rPr>
              <w:t>African-American, 32.5</w:t>
            </w:r>
          </w:p>
          <w:p w:rsidR="00F537B6" w:rsidRPr="00563EB7" w:rsidRDefault="00F537B6" w:rsidP="00F537B6">
            <w:pPr>
              <w:rPr>
                <w:rFonts w:ascii="Arial" w:hAnsi="Arial" w:cs="Arial"/>
                <w:sz w:val="20"/>
                <w:szCs w:val="20"/>
              </w:rPr>
            </w:pPr>
            <w:r w:rsidRPr="00563EB7">
              <w:rPr>
                <w:rFonts w:ascii="Arial" w:hAnsi="Arial" w:cs="Arial"/>
                <w:sz w:val="20"/>
                <w:szCs w:val="20"/>
              </w:rPr>
              <w:t>Other, 10</w:t>
            </w:r>
          </w:p>
        </w:tc>
      </w:tr>
      <w:tr w:rsidR="00F537B6" w:rsidRPr="00563EB7" w:rsidTr="00E85C0E">
        <w:trPr>
          <w:trHeight w:val="300"/>
        </w:trPr>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578</w:t>
            </w:r>
          </w:p>
        </w:tc>
        <w:tc>
          <w:tcPr>
            <w:tcW w:w="2160" w:type="dxa"/>
            <w:noWrap/>
            <w:hideMark/>
          </w:tcPr>
          <w:p w:rsidR="00F537B6" w:rsidRPr="00563EB7" w:rsidRDefault="00F537B6" w:rsidP="00F537B6">
            <w:pPr>
              <w:rPr>
                <w:rFonts w:ascii="Arial" w:hAnsi="Arial" w:cs="Arial"/>
                <w:sz w:val="20"/>
                <w:szCs w:val="20"/>
              </w:rPr>
            </w:pPr>
            <w:proofErr w:type="spellStart"/>
            <w:r w:rsidRPr="00563EB7">
              <w:rPr>
                <w:rFonts w:ascii="Arial" w:hAnsi="Arial" w:cs="Arial"/>
                <w:sz w:val="20"/>
                <w:szCs w:val="20"/>
              </w:rPr>
              <w:t>Zollman</w:t>
            </w:r>
            <w:proofErr w:type="spellEnd"/>
            <w:r w:rsidRPr="00563EB7">
              <w:rPr>
                <w:rFonts w:ascii="Arial" w:hAnsi="Arial" w:cs="Arial"/>
                <w:sz w:val="20"/>
                <w:szCs w:val="20"/>
              </w:rPr>
              <w:t xml:space="preserve">, Starr, </w:t>
            </w:r>
            <w:proofErr w:type="spellStart"/>
            <w:r w:rsidRPr="00563EB7">
              <w:rPr>
                <w:rFonts w:ascii="Arial" w:hAnsi="Arial" w:cs="Arial"/>
                <w:sz w:val="20"/>
                <w:szCs w:val="20"/>
              </w:rPr>
              <w:t>Kondiles</w:t>
            </w:r>
            <w:proofErr w:type="spellEnd"/>
            <w:r w:rsidRPr="00563EB7">
              <w:rPr>
                <w:rFonts w:ascii="Arial" w:hAnsi="Arial" w:cs="Arial"/>
                <w:sz w:val="20"/>
                <w:szCs w:val="20"/>
              </w:rPr>
              <w:t xml:space="preserve">, </w:t>
            </w:r>
            <w:proofErr w:type="spellStart"/>
            <w:r w:rsidRPr="00563EB7">
              <w:rPr>
                <w:rFonts w:ascii="Arial" w:hAnsi="Arial" w:cs="Arial"/>
                <w:sz w:val="20"/>
                <w:szCs w:val="20"/>
              </w:rPr>
              <w:t>Cyborski</w:t>
            </w:r>
            <w:proofErr w:type="spellEnd"/>
            <w:r w:rsidRPr="00563EB7">
              <w:rPr>
                <w:rFonts w:ascii="Arial" w:hAnsi="Arial" w:cs="Arial"/>
                <w:sz w:val="20"/>
                <w:szCs w:val="20"/>
              </w:rPr>
              <w:t>, &amp; Larson, 2014</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ah4s9akjki","properties":{"formattedCitation":"[157]","plainCitation":"[157]"},"citationItems":[{"id":4582,"uris":["http://zotero.org/users/1562642/items/DKVE5WM4"],"uri":["http://zotero.org/users/1562642/items/DKVE5WM4"],"itemData":{"id":4582,"type":"article-journal","title":"The Rehabilitation Institute of Chicago Military Traumatic Brain Injury Screening Instrument: Determination of Sensitivity, Specificity, and Predictive Value","container-title":"Journal of Head Trauma Rehabilitation","page":"99-107","volume":"29","issue":"1","source":"EBSCOhost","abstract":"Background: Traumatic brain injury (TBI) is referred to as the signature injury of the wars in Iraq and Afghanistan. Given the prevalence of TBI in military personnel, there is a need for validated instruments tailored to accurately screen for TBI in this population. Methods: Three hundred service members or veterans underwent a novel screen and a comprehensive diagnostic assessment to identify the occurrence of TBI and/or the presence of posttraumatic stress disorder. Negative predictive value, positive predictive value, sensitivity, and specificity were calculated. Results: This screening tool for TBI yielded sensitivity of 96%, specificity of 64%, negative predictive value of 95%, and positive predictive value of 69%. Conclusion: The Rehabilitation Institute of Chicago Military Traumatic Brain Injury Screening Instrument has a high negative predictive value and high sensitivity for TBI. This tool identifies individuals likely to have sustained a TBI. Moreover, it detects those who are likely not to have sustained such an injury and can be reassured in this regard. Because such distinction can be made with a high degree of accuracy in rapid and cost-effective fashion, it represents an important contribution to the armamentarium of TBI screening tools. ABSTRACT FROM AUTHOR","ISSN":"08859701","shortTitle":"The Rehabilitation Institute of Chicago Military Traumatic Brain Injury Screening Instrument","journalAbbreviation":"Journal of Head Trauma Rehabilitation","author":[{"family":"Zollman","given":"Felise S."},{"family":"Starr","given":"Christine"},{"family":"Kondiles","given":"Bethany"},{"family":"Cyborski","given":"Cherina"},{"family":"Larson","given":"Eric B."}],"issued":{"date-parts":[["2014",2,1]]}}}],"schema":"https://github.com/citation-style-language/schema/raw/master/csl-citation.json"} </w:instrText>
            </w:r>
            <w:r>
              <w:rPr>
                <w:rFonts w:ascii="Arial" w:hAnsi="Arial" w:cs="Arial"/>
                <w:sz w:val="20"/>
                <w:szCs w:val="20"/>
              </w:rPr>
              <w:fldChar w:fldCharType="separate"/>
            </w:r>
            <w:r w:rsidRPr="000A05B1">
              <w:rPr>
                <w:rFonts w:ascii="Arial" w:hAnsi="Arial" w:cs="Arial"/>
                <w:sz w:val="20"/>
              </w:rPr>
              <w:t>[157]</w:t>
            </w:r>
            <w:r>
              <w:rPr>
                <w:rFonts w:ascii="Arial" w:hAnsi="Arial" w:cs="Arial"/>
                <w:sz w:val="20"/>
                <w:szCs w:val="20"/>
              </w:rPr>
              <w:fldChar w:fldCharType="end"/>
            </w:r>
          </w:p>
        </w:tc>
        <w:tc>
          <w:tcPr>
            <w:tcW w:w="2160" w:type="dxa"/>
            <w:vAlign w:val="bottom"/>
          </w:tcPr>
          <w:p w:rsidR="00F537B6" w:rsidRDefault="00F537B6" w:rsidP="00F537B6">
            <w:pPr>
              <w:jc w:val="right"/>
              <w:rPr>
                <w:rFonts w:ascii="Calibri" w:hAnsi="Calibri" w:cs="Calibri"/>
                <w:color w:val="000000"/>
              </w:rPr>
            </w:pPr>
            <w:r>
              <w:rPr>
                <w:rFonts w:ascii="Calibri" w:hAnsi="Calibri" w:cs="Calibri"/>
                <w:color w:val="000000"/>
              </w:rPr>
              <w:t>2014</w:t>
            </w:r>
          </w:p>
        </w:tc>
        <w:tc>
          <w:tcPr>
            <w:tcW w:w="2160" w:type="dxa"/>
            <w:vAlign w:val="bottom"/>
          </w:tcPr>
          <w:p w:rsidR="00F537B6" w:rsidRDefault="00F537B6" w:rsidP="00F537B6">
            <w:pPr>
              <w:rPr>
                <w:rFonts w:ascii="Calibri" w:hAnsi="Calibri" w:cs="Calibri"/>
                <w:color w:val="000000"/>
              </w:rPr>
            </w:pPr>
            <w:r>
              <w:rPr>
                <w:rFonts w:ascii="Calibri" w:hAnsi="Calibri" w:cs="Calibri"/>
                <w:color w:val="000000"/>
              </w:rPr>
              <w:t>USA</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300</w:t>
            </w:r>
          </w:p>
        </w:tc>
        <w:tc>
          <w:tcPr>
            <w:tcW w:w="2160" w:type="dxa"/>
            <w:noWrap/>
            <w:hideMark/>
          </w:tcPr>
          <w:p w:rsidR="00F537B6" w:rsidRPr="00563EB7" w:rsidRDefault="00F537B6" w:rsidP="00F537B6">
            <w:pPr>
              <w:rPr>
                <w:rFonts w:ascii="Arial" w:hAnsi="Arial" w:cs="Arial"/>
                <w:sz w:val="20"/>
                <w:szCs w:val="20"/>
              </w:rPr>
            </w:pPr>
            <w:r w:rsidRPr="00563EB7">
              <w:rPr>
                <w:rFonts w:ascii="Arial" w:hAnsi="Arial" w:cs="Arial"/>
                <w:sz w:val="20"/>
                <w:szCs w:val="20"/>
              </w:rPr>
              <w:t>Black or African American, 66.33</w:t>
            </w:r>
          </w:p>
          <w:p w:rsidR="00F537B6" w:rsidRPr="00563EB7" w:rsidRDefault="00F537B6" w:rsidP="00F537B6">
            <w:pPr>
              <w:rPr>
                <w:rFonts w:ascii="Arial" w:hAnsi="Arial" w:cs="Arial"/>
                <w:sz w:val="20"/>
                <w:szCs w:val="20"/>
              </w:rPr>
            </w:pPr>
            <w:r w:rsidRPr="00563EB7">
              <w:rPr>
                <w:rFonts w:ascii="Arial" w:hAnsi="Arial" w:cs="Arial"/>
                <w:sz w:val="20"/>
                <w:szCs w:val="20"/>
              </w:rPr>
              <w:t>White or European American, 30</w:t>
            </w:r>
          </w:p>
        </w:tc>
      </w:tr>
      <w:bookmarkEnd w:id="0"/>
    </w:tbl>
    <w:p w:rsidR="002E2004" w:rsidRPr="00563EB7" w:rsidRDefault="002E2004" w:rsidP="001A2A8A">
      <w:pPr>
        <w:rPr>
          <w:rFonts w:ascii="Arial" w:hAnsi="Arial" w:cs="Arial"/>
          <w:sz w:val="20"/>
          <w:szCs w:val="20"/>
        </w:rPr>
      </w:pPr>
    </w:p>
    <w:sectPr w:rsidR="002E2004" w:rsidRPr="00563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altName w:val="Tahoma Bold"/>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06"/>
    <w:rsid w:val="000A05B1"/>
    <w:rsid w:val="001A2A8A"/>
    <w:rsid w:val="001B19B0"/>
    <w:rsid w:val="001B572D"/>
    <w:rsid w:val="002E2004"/>
    <w:rsid w:val="0054075A"/>
    <w:rsid w:val="00563EB7"/>
    <w:rsid w:val="00652251"/>
    <w:rsid w:val="007468BC"/>
    <w:rsid w:val="008030AA"/>
    <w:rsid w:val="008E03EB"/>
    <w:rsid w:val="00971D79"/>
    <w:rsid w:val="00A3442C"/>
    <w:rsid w:val="00A359F2"/>
    <w:rsid w:val="00A43086"/>
    <w:rsid w:val="00A53A38"/>
    <w:rsid w:val="00B23640"/>
    <w:rsid w:val="00B74774"/>
    <w:rsid w:val="00C20A43"/>
    <w:rsid w:val="00D41EFE"/>
    <w:rsid w:val="00DC2B06"/>
    <w:rsid w:val="00F07FC2"/>
    <w:rsid w:val="00F5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1214"/>
  <w15:chartTrackingRefBased/>
  <w15:docId w15:val="{72C212AC-3D43-4AA5-A58C-FA17A6E1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B06"/>
    <w:rPr>
      <w:rFonts w:ascii="Segoe UI" w:hAnsi="Segoe UI" w:cs="Segoe UI"/>
      <w:sz w:val="18"/>
      <w:szCs w:val="18"/>
    </w:rPr>
  </w:style>
  <w:style w:type="paragraph" w:styleId="Bibliography">
    <w:name w:val="Bibliography"/>
    <w:basedOn w:val="Normal"/>
    <w:next w:val="Normal"/>
    <w:uiPriority w:val="37"/>
    <w:unhideWhenUsed/>
    <w:rsid w:val="001B572D"/>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084563">
      <w:bodyDiv w:val="1"/>
      <w:marLeft w:val="0"/>
      <w:marRight w:val="0"/>
      <w:marTop w:val="0"/>
      <w:marBottom w:val="0"/>
      <w:divBdr>
        <w:top w:val="none" w:sz="0" w:space="0" w:color="auto"/>
        <w:left w:val="none" w:sz="0" w:space="0" w:color="auto"/>
        <w:bottom w:val="none" w:sz="0" w:space="0" w:color="auto"/>
        <w:right w:val="none" w:sz="0" w:space="0" w:color="auto"/>
      </w:divBdr>
    </w:div>
    <w:div w:id="891380814">
      <w:bodyDiv w:val="1"/>
      <w:marLeft w:val="0"/>
      <w:marRight w:val="0"/>
      <w:marTop w:val="0"/>
      <w:marBottom w:val="0"/>
      <w:divBdr>
        <w:top w:val="none" w:sz="0" w:space="0" w:color="auto"/>
        <w:left w:val="none" w:sz="0" w:space="0" w:color="auto"/>
        <w:bottom w:val="none" w:sz="0" w:space="0" w:color="auto"/>
        <w:right w:val="none" w:sz="0" w:space="0" w:color="auto"/>
      </w:divBdr>
    </w:div>
    <w:div w:id="1523469608">
      <w:bodyDiv w:val="1"/>
      <w:marLeft w:val="0"/>
      <w:marRight w:val="0"/>
      <w:marTop w:val="0"/>
      <w:marBottom w:val="0"/>
      <w:divBdr>
        <w:top w:val="none" w:sz="0" w:space="0" w:color="auto"/>
        <w:left w:val="none" w:sz="0" w:space="0" w:color="auto"/>
        <w:bottom w:val="none" w:sz="0" w:space="0" w:color="auto"/>
        <w:right w:val="none" w:sz="0" w:space="0" w:color="auto"/>
      </w:divBdr>
    </w:div>
    <w:div w:id="200959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63847</Words>
  <Characters>363934</Characters>
  <Application>Microsoft Office Word</Application>
  <DocSecurity>0</DocSecurity>
  <Lines>3032</Lines>
  <Paragraphs>853</Paragraphs>
  <ScaleCrop>false</ScaleCrop>
  <HeadingPairs>
    <vt:vector size="2" baseType="variant">
      <vt:variant>
        <vt:lpstr>Title</vt:lpstr>
      </vt:variant>
      <vt:variant>
        <vt:i4>1</vt:i4>
      </vt:variant>
    </vt:vector>
  </HeadingPairs>
  <TitlesOfParts>
    <vt:vector size="1" baseType="lpstr">
      <vt:lpstr/>
    </vt:vector>
  </TitlesOfParts>
  <Company>University of Arizona College of Medicine</Company>
  <LinksUpToDate>false</LinksUpToDate>
  <CharactersWithSpaces>426928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2</cp:revision>
  <dcterms:created xsi:type="dcterms:W3CDTF">2017-07-07T20:44:00Z</dcterms:created>
  <dcterms:modified xsi:type="dcterms:W3CDTF">2017-07-07T20:44:00Z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id="SRtBPHKz"/&gt;&lt;style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