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5135" w14:textId="2BC345A8" w:rsidR="00471E62" w:rsidRDefault="00471E62" w:rsidP="00471E62">
      <w:pPr>
        <w:jc w:val="center"/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>Layout sketch</w:t>
      </w:r>
    </w:p>
    <w:p w14:paraId="1C362DEE" w14:textId="77777777" w:rsidR="00471E62" w:rsidRPr="00471E62" w:rsidRDefault="00471E62" w:rsidP="00471E62">
      <w:pPr>
        <w:rPr>
          <w:b/>
          <w:bCs/>
          <w:sz w:val="40"/>
          <w:szCs w:val="40"/>
          <w:u w:val="single"/>
          <w:lang w:val="en-GB"/>
        </w:rPr>
      </w:pPr>
    </w:p>
    <w:p w14:paraId="78A2CC61" w14:textId="5319EEFA" w:rsidR="00970A37" w:rsidRDefault="009D1509" w:rsidP="007B7A21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Report:</w:t>
      </w:r>
    </w:p>
    <w:p w14:paraId="7B4E595A" w14:textId="6C9279B7" w:rsidR="009D1509" w:rsidRPr="00471E62" w:rsidRDefault="009D1509" w:rsidP="007B7A21">
      <w:pPr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t>The page uses a two-panel split layout built with Flexbox. The parent container (</w:t>
      </w:r>
      <w:r>
        <w:rPr>
          <w:rFonts w:ascii="Consolas" w:hAnsi="Consolas"/>
          <w:bCs/>
          <w:sz w:val="20"/>
          <w:szCs w:val="20"/>
          <w:lang w:val="en-GB"/>
        </w:rPr>
        <w:t>#parent-panel</w:t>
      </w:r>
      <w:r>
        <w:rPr>
          <w:bCs/>
          <w:sz w:val="20"/>
          <w:szCs w:val="20"/>
          <w:lang w:val="en-GB"/>
        </w:rPr>
        <w:t xml:space="preserve">) is set to </w:t>
      </w:r>
      <w:r>
        <w:rPr>
          <w:rFonts w:ascii="Consolas" w:hAnsi="Consolas"/>
          <w:bCs/>
          <w:sz w:val="20"/>
          <w:szCs w:val="20"/>
          <w:lang w:val="en-GB"/>
        </w:rPr>
        <w:t>display: flex</w:t>
      </w:r>
      <w:r>
        <w:rPr>
          <w:bCs/>
          <w:sz w:val="20"/>
          <w:szCs w:val="20"/>
          <w:lang w:val="en-GB"/>
        </w:rPr>
        <w:t xml:space="preserve"> with </w:t>
      </w:r>
      <w:r>
        <w:rPr>
          <w:rFonts w:ascii="Consolas" w:hAnsi="Consolas"/>
          <w:bCs/>
          <w:sz w:val="20"/>
          <w:szCs w:val="20"/>
          <w:lang w:val="en-GB"/>
        </w:rPr>
        <w:t>height: 100vh</w:t>
      </w:r>
      <w:r>
        <w:rPr>
          <w:bCs/>
          <w:sz w:val="20"/>
          <w:szCs w:val="20"/>
          <w:lang w:val="en-GB"/>
        </w:rPr>
        <w:t xml:space="preserve"> so it fills the full viewport height. Inside it, the two child panels (</w:t>
      </w:r>
      <w:r>
        <w:rPr>
          <w:rFonts w:ascii="Consolas" w:hAnsi="Consolas"/>
          <w:bCs/>
          <w:sz w:val="20"/>
          <w:szCs w:val="20"/>
          <w:lang w:val="en-GB"/>
        </w:rPr>
        <w:t>#left-panel</w:t>
      </w:r>
      <w:r>
        <w:rPr>
          <w:bCs/>
          <w:sz w:val="20"/>
          <w:szCs w:val="20"/>
          <w:lang w:val="en-GB"/>
        </w:rPr>
        <w:t xml:space="preserve"> and </w:t>
      </w:r>
      <w:r>
        <w:rPr>
          <w:rFonts w:ascii="Consolas" w:hAnsi="Consolas"/>
          <w:bCs/>
          <w:sz w:val="20"/>
          <w:szCs w:val="20"/>
          <w:lang w:val="en-GB"/>
        </w:rPr>
        <w:t>#right-panel</w:t>
      </w:r>
      <w:r>
        <w:rPr>
          <w:bCs/>
          <w:sz w:val="20"/>
          <w:szCs w:val="20"/>
          <w:lang w:val="en-GB"/>
        </w:rPr>
        <w:t xml:space="preserve">) use the </w:t>
      </w:r>
      <w:r>
        <w:rPr>
          <w:rFonts w:ascii="Consolas" w:hAnsi="Consolas"/>
          <w:bCs/>
          <w:sz w:val="20"/>
          <w:szCs w:val="20"/>
          <w:lang w:val="en-GB"/>
        </w:rPr>
        <w:t>flex</w:t>
      </w:r>
      <w:r>
        <w:rPr>
          <w:bCs/>
          <w:sz w:val="20"/>
          <w:szCs w:val="20"/>
          <w:lang w:val="en-GB"/>
        </w:rPr>
        <w:t xml:space="preserve"> shorthand (</w:t>
      </w:r>
      <w:r>
        <w:rPr>
          <w:rFonts w:ascii="Consolas" w:hAnsi="Consolas"/>
          <w:bCs/>
          <w:sz w:val="20"/>
          <w:szCs w:val="20"/>
          <w:lang w:val="en-GB"/>
        </w:rPr>
        <w:t>flex: 1</w:t>
      </w:r>
      <w:r>
        <w:rPr>
          <w:bCs/>
          <w:sz w:val="20"/>
          <w:szCs w:val="20"/>
          <w:lang w:val="en-GB"/>
        </w:rPr>
        <w:t xml:space="preserve"> for sidebar, </w:t>
      </w:r>
      <w:r>
        <w:rPr>
          <w:rFonts w:ascii="Consolas" w:hAnsi="Consolas"/>
          <w:bCs/>
          <w:sz w:val="20"/>
          <w:szCs w:val="20"/>
          <w:lang w:val="en-GB"/>
        </w:rPr>
        <w:t>flex: 3</w:t>
      </w:r>
      <w:r>
        <w:rPr>
          <w:bCs/>
          <w:sz w:val="20"/>
          <w:szCs w:val="20"/>
          <w:lang w:val="en-GB"/>
        </w:rPr>
        <w:t xml:space="preserve"> for content area) to divide the available width proportionally, giving the right panel three times the space of the left. Both panels set </w:t>
      </w:r>
      <w:r>
        <w:rPr>
          <w:rFonts w:ascii="Consolas" w:hAnsi="Consolas"/>
          <w:bCs/>
          <w:sz w:val="20"/>
          <w:szCs w:val="20"/>
          <w:lang w:val="en-GB"/>
        </w:rPr>
        <w:t>height: 100vh</w:t>
      </w:r>
      <w:r>
        <w:rPr>
          <w:bCs/>
          <w:sz w:val="20"/>
          <w:szCs w:val="20"/>
          <w:lang w:val="en-GB"/>
        </w:rPr>
        <w:t xml:space="preserve"> and use </w:t>
      </w:r>
      <w:r>
        <w:rPr>
          <w:rFonts w:ascii="Consolas" w:hAnsi="Consolas"/>
          <w:bCs/>
          <w:sz w:val="20"/>
          <w:szCs w:val="20"/>
          <w:lang w:val="en-GB"/>
        </w:rPr>
        <w:t>overflow-y: auto</w:t>
      </w:r>
      <w:r>
        <w:rPr>
          <w:bCs/>
          <w:sz w:val="20"/>
          <w:szCs w:val="20"/>
          <w:lang w:val="en-GB"/>
        </w:rPr>
        <w:t xml:space="preserve"> / </w:t>
      </w:r>
      <w:r>
        <w:rPr>
          <w:rFonts w:ascii="Consolas" w:hAnsi="Consolas"/>
          <w:bCs/>
          <w:sz w:val="20"/>
          <w:szCs w:val="20"/>
          <w:lang w:val="en-GB"/>
        </w:rPr>
        <w:t>overflow: auto</w:t>
      </w:r>
      <w:r>
        <w:rPr>
          <w:bCs/>
          <w:sz w:val="20"/>
          <w:szCs w:val="20"/>
          <w:lang w:val="en-GB"/>
        </w:rPr>
        <w:t xml:space="preserve"> to scroll independently when content overflows. Background and text colors (</w:t>
      </w:r>
      <w:r>
        <w:rPr>
          <w:rFonts w:ascii="Consolas" w:hAnsi="Consolas"/>
          <w:bCs/>
          <w:sz w:val="20"/>
          <w:szCs w:val="20"/>
          <w:lang w:val="en-GB"/>
        </w:rPr>
        <w:t>background-color</w:t>
      </w:r>
      <w:r>
        <w:rPr>
          <w:bCs/>
          <w:sz w:val="20"/>
          <w:szCs w:val="20"/>
          <w:lang w:val="en-GB"/>
        </w:rPr>
        <w:t xml:space="preserve">, </w:t>
      </w:r>
      <w:r>
        <w:rPr>
          <w:rFonts w:ascii="Consolas" w:hAnsi="Consolas"/>
          <w:bCs/>
          <w:sz w:val="20"/>
          <w:szCs w:val="20"/>
          <w:lang w:val="en-GB"/>
        </w:rPr>
        <w:t>color</w:t>
      </w:r>
      <w:r>
        <w:rPr>
          <w:bCs/>
          <w:sz w:val="20"/>
          <w:szCs w:val="20"/>
          <w:lang w:val="en-GB"/>
        </w:rPr>
        <w:t xml:space="preserve">) distinguish the two panels (black/white sidebar, dark gray/light gray content). Internal spacing uses </w:t>
      </w:r>
      <w:r>
        <w:rPr>
          <w:rFonts w:ascii="Consolas" w:hAnsi="Consolas"/>
          <w:bCs/>
          <w:sz w:val="20"/>
          <w:szCs w:val="20"/>
          <w:lang w:val="en-GB"/>
        </w:rPr>
        <w:t>padding: 7px</w:t>
      </w:r>
      <w:r>
        <w:rPr>
          <w:bCs/>
          <w:sz w:val="20"/>
          <w:szCs w:val="20"/>
          <w:lang w:val="en-GB"/>
        </w:rPr>
        <w:t xml:space="preserve">. On </w:t>
      </w:r>
      <w:r>
        <w:rPr>
          <w:rFonts w:ascii="Consolas" w:hAnsi="Consolas"/>
          <w:bCs/>
          <w:sz w:val="20"/>
          <w:szCs w:val="20"/>
          <w:lang w:val="en-GB"/>
        </w:rPr>
        <w:t>body</w:t>
      </w:r>
      <w:r>
        <w:rPr>
          <w:bCs/>
          <w:sz w:val="20"/>
          <w:szCs w:val="20"/>
          <w:lang w:val="en-GB"/>
        </w:rPr>
        <w:t xml:space="preserve">, </w:t>
      </w:r>
      <w:r>
        <w:rPr>
          <w:rFonts w:ascii="Consolas" w:hAnsi="Consolas"/>
          <w:bCs/>
          <w:sz w:val="20"/>
          <w:szCs w:val="20"/>
          <w:lang w:val="en-GB"/>
        </w:rPr>
        <w:t>margin: 0</w:t>
      </w:r>
      <w:r>
        <w:rPr>
          <w:bCs/>
          <w:sz w:val="20"/>
          <w:szCs w:val="20"/>
          <w:lang w:val="en-GB"/>
        </w:rPr>
        <w:t xml:space="preserve"> removes default browser spacing and </w:t>
      </w:r>
      <w:r>
        <w:rPr>
          <w:rFonts w:ascii="Consolas" w:hAnsi="Consolas"/>
          <w:bCs/>
          <w:sz w:val="20"/>
          <w:szCs w:val="20"/>
          <w:lang w:val="en-GB"/>
        </w:rPr>
        <w:t>overflow: hidden</w:t>
      </w:r>
      <w:r>
        <w:rPr>
          <w:bCs/>
          <w:sz w:val="20"/>
          <w:szCs w:val="20"/>
          <w:lang w:val="en-GB"/>
        </w:rPr>
        <w:t xml:space="preserve"> prevents an outer page scrollbar, leaving scrolling to the individual panels.</w:t>
      </w:r>
    </w:p>
    <w:p w14:paraId="31DF149A" w14:textId="5D48D35C" w:rsidR="00A3506C" w:rsidRDefault="00471E62" w:rsidP="007B7A21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Layout Result:</w:t>
      </w:r>
    </w:p>
    <w:p w14:paraId="1301A51B" w14:textId="100391E6" w:rsidR="00AB2E02" w:rsidRPr="000C7076" w:rsidRDefault="00AB2E02" w:rsidP="00DB760D">
      <w:pPr>
        <w:jc w:val="center"/>
        <w:rPr>
          <w:b/>
          <w:bCs/>
          <w:lang w:val="en-GB"/>
        </w:rPr>
      </w:pPr>
      <w:r>
        <w:rPr>
          <w:noProof/>
          <w:lang w:val="en-GB"/>
        </w:rPr>
        <w:drawing>
          <wp:inline distT="0" distB="0" distL="0" distR="0">
            <wp:extent cx="5029200" cy="4341793"/>
            <wp:effectExtent l="0" t="0" r="0" b="0"/>
            <wp:docPr id="1" name="Picture 1" descr="Wireframe of the rendered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ireframe of the rendered layou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E02" w:rsidRPr="000C7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00"/>
    <w:rsid w:val="000C7076"/>
    <w:rsid w:val="000E0731"/>
    <w:rsid w:val="000E5396"/>
    <w:rsid w:val="001105A4"/>
    <w:rsid w:val="001211F9"/>
    <w:rsid w:val="001611AE"/>
    <w:rsid w:val="001A5ABF"/>
    <w:rsid w:val="001B1D7F"/>
    <w:rsid w:val="001F54F3"/>
    <w:rsid w:val="002501CC"/>
    <w:rsid w:val="00307CF2"/>
    <w:rsid w:val="003C4CBC"/>
    <w:rsid w:val="00432F4A"/>
    <w:rsid w:val="00453D90"/>
    <w:rsid w:val="00471E62"/>
    <w:rsid w:val="00485900"/>
    <w:rsid w:val="00510C6D"/>
    <w:rsid w:val="006E1EF9"/>
    <w:rsid w:val="00781116"/>
    <w:rsid w:val="007B7A21"/>
    <w:rsid w:val="007C3FC6"/>
    <w:rsid w:val="00912461"/>
    <w:rsid w:val="00970A37"/>
    <w:rsid w:val="009D1509"/>
    <w:rsid w:val="00A3506C"/>
    <w:rsid w:val="00AA7172"/>
    <w:rsid w:val="00AB2E02"/>
    <w:rsid w:val="00AE6421"/>
    <w:rsid w:val="00B07A2B"/>
    <w:rsid w:val="00DB760D"/>
    <w:rsid w:val="00DC7DC9"/>
    <w:rsid w:val="00F00972"/>
    <w:rsid w:val="00FB67C1"/>
    <w:rsid w:val="00FF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8464"/>
  <w15:chartTrackingRefBased/>
  <w15:docId w15:val="{C627736D-66D9-41D7-8BB6-2BC9E250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3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Araish Ahmad</dc:creator>
  <cp:keywords/>
  <dc:description/>
  <cp:lastModifiedBy>Araish Ahmad</cp:lastModifiedBy>
  <cp:revision>15</cp:revision>
  <dcterms:created xsi:type="dcterms:W3CDTF">2026-03-31T12:12:00Z</dcterms:created>
  <dcterms:modified xsi:type="dcterms:W3CDTF">2026-06-30T09:33:00Z</dcterms:modified>
</cp:coreProperties>
</file>