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77FE5" w14:paraId="4F771361"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1B2A4A"/>
            <w:tcMar>
              <w:top w:w="480" w:type="dxa"/>
              <w:left w:w="500" w:type="dxa"/>
              <w:bottom w:w="480" w:type="dxa"/>
              <w:right w:w="500" w:type="dxa"/>
            </w:tcMar>
          </w:tcPr>
          <w:p w14:paraId="7E20493C" w14:textId="77777777" w:rsidR="00377FE5" w:rsidRDefault="00000000">
            <w:r>
              <w:rPr>
                <w:b/>
                <w:bCs/>
                <w:color w:val="FFFFFF"/>
                <w:sz w:val="52"/>
                <w:szCs w:val="52"/>
              </w:rPr>
              <w:t>PROMPT ENGINEERING</w:t>
            </w:r>
          </w:p>
          <w:p w14:paraId="37A68CF7" w14:textId="77777777" w:rsidR="00377FE5" w:rsidRDefault="00000000">
            <w:pPr>
              <w:spacing w:before="80"/>
            </w:pPr>
            <w:r>
              <w:rPr>
                <w:i/>
                <w:iCs/>
                <w:color w:val="9AB8D8"/>
                <w:sz w:val="26"/>
                <w:szCs w:val="26"/>
              </w:rPr>
              <w:t>Summary Report — 2 Core Techniques</w:t>
            </w:r>
          </w:p>
          <w:p w14:paraId="0B7AB77A" w14:textId="77777777" w:rsidR="00377FE5" w:rsidRDefault="00377FE5">
            <w:pPr>
              <w:spacing w:after="120"/>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2920"/>
            </w:tblGrid>
            <w:tr w:rsidR="00377FE5" w14:paraId="51DADE6E"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shd w:val="clear" w:color="auto" w:fill="1B2A4A"/>
                  <w:tcMar>
                    <w:top w:w="0" w:type="dxa"/>
                    <w:left w:w="0" w:type="dxa"/>
                    <w:bottom w:w="0" w:type="dxa"/>
                    <w:right w:w="0" w:type="dxa"/>
                  </w:tcMar>
                </w:tcPr>
                <w:p w14:paraId="7DDD6B54" w14:textId="77777777" w:rsidR="00377FE5" w:rsidRDefault="00000000">
                  <w:r>
                    <w:rPr>
                      <w:color w:val="7AAFD4"/>
                      <w:sz w:val="18"/>
                      <w:szCs w:val="18"/>
                    </w:rPr>
                    <w:t>Point 1 — IBM Framework</w:t>
                  </w:r>
                </w:p>
              </w:tc>
              <w:tc>
                <w:tcPr>
                  <w:tcW w:w="2900" w:type="dxa"/>
                  <w:tcBorders>
                    <w:top w:val="none" w:sz="0" w:space="0" w:color="FFFFFF"/>
                    <w:left w:val="none" w:sz="0" w:space="0" w:color="FFFFFF"/>
                    <w:bottom w:val="none" w:sz="0" w:space="0" w:color="FFFFFF"/>
                    <w:right w:val="none" w:sz="0" w:space="0" w:color="FFFFFF"/>
                  </w:tcBorders>
                  <w:shd w:val="clear" w:color="auto" w:fill="1B2A4A"/>
                  <w:tcMar>
                    <w:top w:w="0" w:type="dxa"/>
                    <w:left w:w="0" w:type="dxa"/>
                    <w:bottom w:w="0" w:type="dxa"/>
                    <w:right w:w="0" w:type="dxa"/>
                  </w:tcMar>
                </w:tcPr>
                <w:p w14:paraId="326B7592" w14:textId="77777777" w:rsidR="00377FE5" w:rsidRDefault="00000000">
                  <w:r>
                    <w:rPr>
                      <w:color w:val="7AAFD4"/>
                      <w:sz w:val="18"/>
                      <w:szCs w:val="18"/>
                    </w:rPr>
                    <w:t>Point 2 — Stanford / OpenAI</w:t>
                  </w:r>
                </w:p>
              </w:tc>
              <w:tc>
                <w:tcPr>
                  <w:tcW w:w="2920" w:type="dxa"/>
                  <w:tcBorders>
                    <w:top w:val="none" w:sz="0" w:space="0" w:color="FFFFFF"/>
                    <w:left w:val="none" w:sz="0" w:space="0" w:color="FFFFFF"/>
                    <w:bottom w:val="none" w:sz="0" w:space="0" w:color="FFFFFF"/>
                    <w:right w:val="none" w:sz="0" w:space="0" w:color="FFFFFF"/>
                  </w:tcBorders>
                  <w:shd w:val="clear" w:color="auto" w:fill="1B2A4A"/>
                  <w:tcMar>
                    <w:top w:w="0" w:type="dxa"/>
                    <w:left w:w="0" w:type="dxa"/>
                    <w:bottom w:w="0" w:type="dxa"/>
                    <w:right w:w="0" w:type="dxa"/>
                  </w:tcMar>
                </w:tcPr>
                <w:p w14:paraId="5F8A25D9" w14:textId="70D89F28" w:rsidR="00377FE5" w:rsidRPr="006C0550" w:rsidRDefault="00000000">
                  <w:pPr>
                    <w:rPr>
                      <w:lang w:val="en-GB"/>
                    </w:rPr>
                  </w:pPr>
                  <w:r>
                    <w:rPr>
                      <w:color w:val="7AAFD4"/>
                      <w:sz w:val="18"/>
                      <w:szCs w:val="18"/>
                    </w:rPr>
                    <w:t>Google DeepMind</w:t>
                  </w:r>
                </w:p>
              </w:tc>
            </w:tr>
          </w:tbl>
          <w:p w14:paraId="549411AE" w14:textId="77777777" w:rsidR="00377FE5" w:rsidRDefault="00377FE5"/>
        </w:tc>
      </w:tr>
    </w:tbl>
    <w:p w14:paraId="262F61E8" w14:textId="77777777" w:rsidR="00377FE5" w:rsidRDefault="00377FE5">
      <w:pPr>
        <w:spacing w:after="3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9040"/>
      </w:tblGrid>
      <w:tr w:rsidR="00377FE5" w14:paraId="1E40EE7A"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2E4A7A"/>
            <w:tcMar>
              <w:top w:w="0" w:type="dxa"/>
              <w:left w:w="0" w:type="dxa"/>
              <w:bottom w:w="0" w:type="dxa"/>
              <w:right w:w="0" w:type="dxa"/>
            </w:tcMar>
            <w:vAlign w:val="center"/>
          </w:tcPr>
          <w:p w14:paraId="02CBC9D1" w14:textId="77777777" w:rsidR="00377FE5" w:rsidRDefault="00000000">
            <w:pPr>
              <w:jc w:val="center"/>
            </w:pPr>
            <w:r>
              <w:rPr>
                <w:b/>
                <w:bCs/>
                <w:color w:val="FFFFFF"/>
                <w:sz w:val="30"/>
                <w:szCs w:val="30"/>
              </w:rPr>
              <w:t>01</w:t>
            </w:r>
          </w:p>
        </w:tc>
        <w:tc>
          <w:tcPr>
            <w:tcW w:w="9040" w:type="dxa"/>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0" w:type="dxa"/>
            </w:tcMar>
          </w:tcPr>
          <w:p w14:paraId="5F0A03CE" w14:textId="77777777" w:rsidR="00377FE5" w:rsidRDefault="00000000">
            <w:pPr>
              <w:pStyle w:val="Heading2"/>
            </w:pPr>
            <w:r>
              <w:t>Prompt Templates</w:t>
            </w:r>
          </w:p>
        </w:tc>
      </w:tr>
    </w:tbl>
    <w:p w14:paraId="3C09735F" w14:textId="77777777" w:rsidR="00377FE5" w:rsidRDefault="00377FE5">
      <w:pPr>
        <w:pBdr>
          <w:bottom w:val="single" w:sz="4" w:space="1" w:color="2E4A7A"/>
        </w:pBdr>
        <w:spacing w:after="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77FE5" w14:paraId="613D31BF" w14:textId="77777777">
        <w:tblPrEx>
          <w:tblCellMar>
            <w:top w:w="0" w:type="dxa"/>
            <w:bottom w:w="0" w:type="dxa"/>
          </w:tblCellMar>
        </w:tblPrEx>
        <w:tc>
          <w:tcPr>
            <w:tcW w:w="9720" w:type="dxa"/>
            <w:tcBorders>
              <w:top w:val="none" w:sz="0" w:space="0" w:color="FFFFFF"/>
              <w:left w:val="single" w:sz="16" w:space="0" w:color="E8A020"/>
              <w:bottom w:val="none" w:sz="0" w:space="0" w:color="FFFFFF"/>
              <w:right w:val="none" w:sz="0" w:space="0" w:color="FFFFFF"/>
            </w:tcBorders>
            <w:shd w:val="clear" w:color="auto" w:fill="FFF8EC"/>
            <w:tcMar>
              <w:top w:w="100" w:type="dxa"/>
              <w:left w:w="200" w:type="dxa"/>
              <w:bottom w:w="100" w:type="dxa"/>
              <w:right w:w="200" w:type="dxa"/>
            </w:tcMar>
          </w:tcPr>
          <w:p w14:paraId="519BCE11" w14:textId="77777777" w:rsidR="00377FE5" w:rsidRDefault="00000000">
            <w:r>
              <w:rPr>
                <w:b/>
                <w:bCs/>
                <w:color w:val="1B2A4A"/>
                <w:sz w:val="20"/>
                <w:szCs w:val="20"/>
              </w:rPr>
              <w:t xml:space="preserve">Source:  </w:t>
            </w:r>
            <w:r>
              <w:rPr>
                <w:i/>
                <w:iCs/>
                <w:color w:val="666666"/>
                <w:sz w:val="20"/>
                <w:szCs w:val="20"/>
              </w:rPr>
              <w:t>IBM Prompt Engineering Framework</w:t>
            </w:r>
            <w:r>
              <w:rPr>
                <w:color w:val="666666"/>
                <w:sz w:val="18"/>
                <w:szCs w:val="18"/>
              </w:rPr>
              <w:t xml:space="preserve">  —  No web URL (IBM internal documentation / course material)</w:t>
            </w:r>
          </w:p>
        </w:tc>
      </w:tr>
    </w:tbl>
    <w:p w14:paraId="03AA68D9" w14:textId="77777777" w:rsidR="00377FE5" w:rsidRDefault="00377FE5">
      <w:pPr>
        <w:spacing w:after="200"/>
      </w:pPr>
    </w:p>
    <w:p w14:paraId="3B84F4FF" w14:textId="77777777" w:rsidR="00377FE5" w:rsidRDefault="00000000">
      <w:pPr>
        <w:spacing w:after="160"/>
      </w:pPr>
      <w:r>
        <w:t>There are various ways to write a prompt. No matter what method you use, the instructions and the intent must be clear. A well-structured prompt template is the foundation of consistent, high-quality output — it ensures nothing critical is left to the model's assumption.</w:t>
      </w:r>
    </w:p>
    <w:p w14:paraId="76B79BE5" w14:textId="77777777" w:rsidR="00377FE5" w:rsidRDefault="00000000">
      <w:pPr>
        <w:pStyle w:val="Heading3"/>
      </w:pPr>
      <w:r>
        <w:t>The 12 Template Elements (IBM)</w:t>
      </w:r>
    </w:p>
    <w:p w14:paraId="7CE4A868" w14:textId="77777777" w:rsidR="00377FE5" w:rsidRDefault="00000000">
      <w:pPr>
        <w:spacing w:after="140"/>
      </w:pPr>
      <w:r>
        <w:rPr>
          <w:color w:val="666666"/>
        </w:rPr>
        <w:t>A prompt template includes some combination of these elements. Not every element is required for every prompt — the skill is knowing which subset applies to your task:</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377FE5" w14:paraId="04BFD2E2" w14:textId="77777777">
        <w:tblPrEx>
          <w:tblCellMar>
            <w:top w:w="0" w:type="dxa"/>
            <w:bottom w:w="0" w:type="dxa"/>
          </w:tblCellMar>
        </w:tblPrEx>
        <w:trPr>
          <w:tblHeader/>
        </w:trPr>
        <w:tc>
          <w:tcPr>
            <w:tcW w:w="3240" w:type="dxa"/>
            <w:tcBorders>
              <w:top w:val="single" w:sz="1" w:space="0" w:color="BBCFE8"/>
              <w:left w:val="single" w:sz="1" w:space="0" w:color="BBCFE8"/>
              <w:bottom w:val="single" w:sz="1" w:space="0" w:color="BBCFE8"/>
              <w:right w:val="single" w:sz="1" w:space="0" w:color="BBCFE8"/>
            </w:tcBorders>
            <w:shd w:val="clear" w:color="auto" w:fill="2E4A7A"/>
            <w:tcMar>
              <w:top w:w="100" w:type="dxa"/>
              <w:left w:w="150" w:type="dxa"/>
              <w:bottom w:w="100" w:type="dxa"/>
              <w:right w:w="150" w:type="dxa"/>
            </w:tcMar>
          </w:tcPr>
          <w:p w14:paraId="6B1DA6AC" w14:textId="77777777" w:rsidR="00377FE5" w:rsidRDefault="00000000">
            <w:r>
              <w:rPr>
                <w:b/>
                <w:bCs/>
                <w:color w:val="FFFFFF"/>
                <w:sz w:val="20"/>
                <w:szCs w:val="20"/>
              </w:rPr>
              <w:t>Element</w:t>
            </w:r>
          </w:p>
        </w:tc>
        <w:tc>
          <w:tcPr>
            <w:tcW w:w="3240" w:type="dxa"/>
            <w:tcBorders>
              <w:top w:val="single" w:sz="1" w:space="0" w:color="BBCFE8"/>
              <w:left w:val="single" w:sz="1" w:space="0" w:color="BBCFE8"/>
              <w:bottom w:val="single" w:sz="1" w:space="0" w:color="BBCFE8"/>
              <w:right w:val="single" w:sz="1" w:space="0" w:color="BBCFE8"/>
            </w:tcBorders>
            <w:shd w:val="clear" w:color="auto" w:fill="2E4A7A"/>
            <w:tcMar>
              <w:top w:w="100" w:type="dxa"/>
              <w:left w:w="150" w:type="dxa"/>
              <w:bottom w:w="100" w:type="dxa"/>
              <w:right w:w="150" w:type="dxa"/>
            </w:tcMar>
          </w:tcPr>
          <w:p w14:paraId="6B900F4A" w14:textId="77777777" w:rsidR="00377FE5" w:rsidRDefault="00000000">
            <w:r>
              <w:rPr>
                <w:b/>
                <w:bCs/>
                <w:color w:val="FFFFFF"/>
                <w:sz w:val="20"/>
                <w:szCs w:val="20"/>
              </w:rPr>
              <w:t>Element</w:t>
            </w:r>
          </w:p>
        </w:tc>
        <w:tc>
          <w:tcPr>
            <w:tcW w:w="3240" w:type="dxa"/>
            <w:tcBorders>
              <w:top w:val="single" w:sz="1" w:space="0" w:color="BBCFE8"/>
              <w:left w:val="single" w:sz="1" w:space="0" w:color="BBCFE8"/>
              <w:bottom w:val="single" w:sz="1" w:space="0" w:color="BBCFE8"/>
              <w:right w:val="single" w:sz="1" w:space="0" w:color="BBCFE8"/>
            </w:tcBorders>
            <w:shd w:val="clear" w:color="auto" w:fill="2E4A7A"/>
            <w:tcMar>
              <w:top w:w="100" w:type="dxa"/>
              <w:left w:w="150" w:type="dxa"/>
              <w:bottom w:w="100" w:type="dxa"/>
              <w:right w:w="150" w:type="dxa"/>
            </w:tcMar>
          </w:tcPr>
          <w:p w14:paraId="10A77F00" w14:textId="77777777" w:rsidR="00377FE5" w:rsidRDefault="00000000">
            <w:r>
              <w:rPr>
                <w:b/>
                <w:bCs/>
                <w:color w:val="FFFFFF"/>
                <w:sz w:val="20"/>
                <w:szCs w:val="20"/>
              </w:rPr>
              <w:t>Element</w:t>
            </w:r>
          </w:p>
        </w:tc>
      </w:tr>
      <w:tr w:rsidR="00377FE5" w14:paraId="6E551C96" w14:textId="77777777">
        <w:tblPrEx>
          <w:tblCellMar>
            <w:top w:w="0" w:type="dxa"/>
            <w:bottom w:w="0" w:type="dxa"/>
          </w:tblCellMar>
        </w:tblPrEx>
        <w:tc>
          <w:tcPr>
            <w:tcW w:w="3240" w:type="dxa"/>
            <w:tcBorders>
              <w:top w:val="single" w:sz="1" w:space="0" w:color="BBCFE8"/>
              <w:left w:val="single" w:sz="1" w:space="0" w:color="BBCFE8"/>
              <w:bottom w:val="single" w:sz="1" w:space="0" w:color="BBCFE8"/>
              <w:right w:val="single" w:sz="1" w:space="0" w:color="BBCFE8"/>
            </w:tcBorders>
            <w:shd w:val="clear" w:color="auto" w:fill="EDF3FC"/>
            <w:tcMar>
              <w:top w:w="100" w:type="dxa"/>
              <w:left w:w="150" w:type="dxa"/>
              <w:bottom w:w="100" w:type="dxa"/>
              <w:right w:w="150" w:type="dxa"/>
            </w:tcMar>
          </w:tcPr>
          <w:p w14:paraId="4E09DE33" w14:textId="77777777" w:rsidR="00377FE5" w:rsidRDefault="00000000">
            <w:r>
              <w:rPr>
                <w:b/>
                <w:bCs/>
                <w:color w:val="1B2A4A"/>
                <w:sz w:val="21"/>
                <w:szCs w:val="21"/>
              </w:rPr>
              <w:t>Task</w:t>
            </w:r>
            <w:r>
              <w:rPr>
                <w:color w:val="666666"/>
                <w:sz w:val="20"/>
                <w:szCs w:val="20"/>
              </w:rPr>
              <w:t xml:space="preserve"> — What needs to be done</w:t>
            </w:r>
          </w:p>
        </w:tc>
        <w:tc>
          <w:tcPr>
            <w:tcW w:w="3240" w:type="dxa"/>
            <w:tcBorders>
              <w:top w:val="single" w:sz="1" w:space="0" w:color="BBCFE8"/>
              <w:left w:val="single" w:sz="1" w:space="0" w:color="BBCFE8"/>
              <w:bottom w:val="single" w:sz="1" w:space="0" w:color="BBCFE8"/>
              <w:right w:val="single" w:sz="1" w:space="0" w:color="BBCFE8"/>
            </w:tcBorders>
            <w:shd w:val="clear" w:color="auto" w:fill="FFFFFF"/>
            <w:tcMar>
              <w:top w:w="100" w:type="dxa"/>
              <w:left w:w="150" w:type="dxa"/>
              <w:bottom w:w="100" w:type="dxa"/>
              <w:right w:w="150" w:type="dxa"/>
            </w:tcMar>
          </w:tcPr>
          <w:p w14:paraId="6B9E29E9" w14:textId="77777777" w:rsidR="00377FE5" w:rsidRDefault="00000000">
            <w:r>
              <w:rPr>
                <w:b/>
                <w:bCs/>
                <w:color w:val="1B2A4A"/>
                <w:sz w:val="21"/>
                <w:szCs w:val="21"/>
              </w:rPr>
              <w:t>Goal</w:t>
            </w:r>
            <w:r>
              <w:rPr>
                <w:color w:val="666666"/>
                <w:sz w:val="20"/>
                <w:szCs w:val="20"/>
              </w:rPr>
              <w:t xml:space="preserve"> — The desired end state</w:t>
            </w:r>
          </w:p>
        </w:tc>
        <w:tc>
          <w:tcPr>
            <w:tcW w:w="3240" w:type="dxa"/>
            <w:tcBorders>
              <w:top w:val="single" w:sz="1" w:space="0" w:color="BBCFE8"/>
              <w:left w:val="single" w:sz="1" w:space="0" w:color="BBCFE8"/>
              <w:bottom w:val="single" w:sz="1" w:space="0" w:color="BBCFE8"/>
              <w:right w:val="single" w:sz="1" w:space="0" w:color="BBCFE8"/>
            </w:tcBorders>
            <w:shd w:val="clear" w:color="auto" w:fill="EDF3FC"/>
            <w:tcMar>
              <w:top w:w="100" w:type="dxa"/>
              <w:left w:w="150" w:type="dxa"/>
              <w:bottom w:w="100" w:type="dxa"/>
              <w:right w:w="150" w:type="dxa"/>
            </w:tcMar>
          </w:tcPr>
          <w:p w14:paraId="2DBAB240" w14:textId="77777777" w:rsidR="00377FE5" w:rsidRDefault="00000000">
            <w:r>
              <w:rPr>
                <w:b/>
                <w:bCs/>
                <w:color w:val="1B2A4A"/>
                <w:sz w:val="21"/>
                <w:szCs w:val="21"/>
              </w:rPr>
              <w:t>Action</w:t>
            </w:r>
            <w:r>
              <w:rPr>
                <w:color w:val="666666"/>
                <w:sz w:val="20"/>
                <w:szCs w:val="20"/>
              </w:rPr>
              <w:t xml:space="preserve"> — Specific operation to perform</w:t>
            </w:r>
          </w:p>
        </w:tc>
      </w:tr>
      <w:tr w:rsidR="00377FE5" w14:paraId="693354A2" w14:textId="77777777">
        <w:tblPrEx>
          <w:tblCellMar>
            <w:top w:w="0" w:type="dxa"/>
            <w:bottom w:w="0" w:type="dxa"/>
          </w:tblCellMar>
        </w:tblPrEx>
        <w:tc>
          <w:tcPr>
            <w:tcW w:w="3240" w:type="dxa"/>
            <w:tcBorders>
              <w:top w:val="single" w:sz="1" w:space="0" w:color="BBCFE8"/>
              <w:left w:val="single" w:sz="1" w:space="0" w:color="BBCFE8"/>
              <w:bottom w:val="single" w:sz="1" w:space="0" w:color="BBCFE8"/>
              <w:right w:val="single" w:sz="1" w:space="0" w:color="BBCFE8"/>
            </w:tcBorders>
            <w:shd w:val="clear" w:color="auto" w:fill="FFFFFF"/>
            <w:tcMar>
              <w:top w:w="100" w:type="dxa"/>
              <w:left w:w="150" w:type="dxa"/>
              <w:bottom w:w="100" w:type="dxa"/>
              <w:right w:w="150" w:type="dxa"/>
            </w:tcMar>
          </w:tcPr>
          <w:p w14:paraId="52369071" w14:textId="77777777" w:rsidR="00377FE5" w:rsidRDefault="00000000">
            <w:r>
              <w:rPr>
                <w:b/>
                <w:bCs/>
                <w:color w:val="1B2A4A"/>
                <w:sz w:val="21"/>
                <w:szCs w:val="21"/>
              </w:rPr>
              <w:t>Problem</w:t>
            </w:r>
            <w:r>
              <w:rPr>
                <w:color w:val="666666"/>
                <w:sz w:val="20"/>
                <w:szCs w:val="20"/>
              </w:rPr>
              <w:t xml:space="preserve"> — What is being solved</w:t>
            </w:r>
          </w:p>
        </w:tc>
        <w:tc>
          <w:tcPr>
            <w:tcW w:w="3240" w:type="dxa"/>
            <w:tcBorders>
              <w:top w:val="single" w:sz="1" w:space="0" w:color="BBCFE8"/>
              <w:left w:val="single" w:sz="1" w:space="0" w:color="BBCFE8"/>
              <w:bottom w:val="single" w:sz="1" w:space="0" w:color="BBCFE8"/>
              <w:right w:val="single" w:sz="1" w:space="0" w:color="BBCFE8"/>
            </w:tcBorders>
            <w:shd w:val="clear" w:color="auto" w:fill="EDF3FC"/>
            <w:tcMar>
              <w:top w:w="100" w:type="dxa"/>
              <w:left w:w="150" w:type="dxa"/>
              <w:bottom w:w="100" w:type="dxa"/>
              <w:right w:w="150" w:type="dxa"/>
            </w:tcMar>
          </w:tcPr>
          <w:p w14:paraId="125012E6" w14:textId="77777777" w:rsidR="00377FE5" w:rsidRDefault="00000000">
            <w:r>
              <w:rPr>
                <w:b/>
                <w:bCs/>
                <w:color w:val="1B2A4A"/>
                <w:sz w:val="21"/>
                <w:szCs w:val="21"/>
              </w:rPr>
              <w:t>Outcome</w:t>
            </w:r>
            <w:r>
              <w:rPr>
                <w:color w:val="666666"/>
                <w:sz w:val="20"/>
                <w:szCs w:val="20"/>
              </w:rPr>
              <w:t xml:space="preserve"> — What a correct result looks like</w:t>
            </w:r>
          </w:p>
        </w:tc>
        <w:tc>
          <w:tcPr>
            <w:tcW w:w="3240" w:type="dxa"/>
            <w:tcBorders>
              <w:top w:val="single" w:sz="1" w:space="0" w:color="BBCFE8"/>
              <w:left w:val="single" w:sz="1" w:space="0" w:color="BBCFE8"/>
              <w:bottom w:val="single" w:sz="1" w:space="0" w:color="BBCFE8"/>
              <w:right w:val="single" w:sz="1" w:space="0" w:color="BBCFE8"/>
            </w:tcBorders>
            <w:shd w:val="clear" w:color="auto" w:fill="FFFFFF"/>
            <w:tcMar>
              <w:top w:w="100" w:type="dxa"/>
              <w:left w:w="150" w:type="dxa"/>
              <w:bottom w:w="100" w:type="dxa"/>
              <w:right w:w="150" w:type="dxa"/>
            </w:tcMar>
          </w:tcPr>
          <w:p w14:paraId="24F1BED9" w14:textId="77777777" w:rsidR="00377FE5" w:rsidRDefault="00000000">
            <w:r>
              <w:rPr>
                <w:b/>
                <w:bCs/>
                <w:color w:val="1B2A4A"/>
                <w:sz w:val="21"/>
                <w:szCs w:val="21"/>
              </w:rPr>
              <w:t>Role</w:t>
            </w:r>
            <w:r>
              <w:rPr>
                <w:color w:val="666666"/>
                <w:sz w:val="20"/>
                <w:szCs w:val="20"/>
              </w:rPr>
              <w:t xml:space="preserve"> — Who the model is acting as</w:t>
            </w:r>
          </w:p>
        </w:tc>
      </w:tr>
      <w:tr w:rsidR="00377FE5" w14:paraId="31D98A07" w14:textId="77777777">
        <w:tblPrEx>
          <w:tblCellMar>
            <w:top w:w="0" w:type="dxa"/>
            <w:bottom w:w="0" w:type="dxa"/>
          </w:tblCellMar>
        </w:tblPrEx>
        <w:tc>
          <w:tcPr>
            <w:tcW w:w="3240" w:type="dxa"/>
            <w:tcBorders>
              <w:top w:val="single" w:sz="1" w:space="0" w:color="BBCFE8"/>
              <w:left w:val="single" w:sz="1" w:space="0" w:color="BBCFE8"/>
              <w:bottom w:val="single" w:sz="1" w:space="0" w:color="BBCFE8"/>
              <w:right w:val="single" w:sz="1" w:space="0" w:color="BBCFE8"/>
            </w:tcBorders>
            <w:shd w:val="clear" w:color="auto" w:fill="EDF3FC"/>
            <w:tcMar>
              <w:top w:w="100" w:type="dxa"/>
              <w:left w:w="150" w:type="dxa"/>
              <w:bottom w:w="100" w:type="dxa"/>
              <w:right w:w="150" w:type="dxa"/>
            </w:tcMar>
          </w:tcPr>
          <w:p w14:paraId="7142C7D4" w14:textId="77777777" w:rsidR="00377FE5" w:rsidRDefault="00000000">
            <w:r>
              <w:rPr>
                <w:b/>
                <w:bCs/>
                <w:color w:val="1B2A4A"/>
                <w:sz w:val="21"/>
                <w:szCs w:val="21"/>
              </w:rPr>
              <w:t>Format</w:t>
            </w:r>
            <w:r>
              <w:rPr>
                <w:color w:val="666666"/>
                <w:sz w:val="20"/>
                <w:szCs w:val="20"/>
              </w:rPr>
              <w:t xml:space="preserve"> — Output structure / shape</w:t>
            </w:r>
          </w:p>
        </w:tc>
        <w:tc>
          <w:tcPr>
            <w:tcW w:w="3240" w:type="dxa"/>
            <w:tcBorders>
              <w:top w:val="single" w:sz="1" w:space="0" w:color="BBCFE8"/>
              <w:left w:val="single" w:sz="1" w:space="0" w:color="BBCFE8"/>
              <w:bottom w:val="single" w:sz="1" w:space="0" w:color="BBCFE8"/>
              <w:right w:val="single" w:sz="1" w:space="0" w:color="BBCFE8"/>
            </w:tcBorders>
            <w:shd w:val="clear" w:color="auto" w:fill="FFFFFF"/>
            <w:tcMar>
              <w:top w:w="100" w:type="dxa"/>
              <w:left w:w="150" w:type="dxa"/>
              <w:bottom w:w="100" w:type="dxa"/>
              <w:right w:w="150" w:type="dxa"/>
            </w:tcMar>
          </w:tcPr>
          <w:p w14:paraId="29F90F52" w14:textId="77777777" w:rsidR="00377FE5" w:rsidRDefault="00000000">
            <w:r>
              <w:rPr>
                <w:b/>
                <w:bCs/>
                <w:color w:val="1B2A4A"/>
                <w:sz w:val="21"/>
                <w:szCs w:val="21"/>
              </w:rPr>
              <w:t>Input</w:t>
            </w:r>
            <w:r>
              <w:rPr>
                <w:color w:val="666666"/>
                <w:sz w:val="20"/>
                <w:szCs w:val="20"/>
              </w:rPr>
              <w:t xml:space="preserve"> — Raw material the model works on</w:t>
            </w:r>
          </w:p>
        </w:tc>
        <w:tc>
          <w:tcPr>
            <w:tcW w:w="3240" w:type="dxa"/>
            <w:tcBorders>
              <w:top w:val="single" w:sz="1" w:space="0" w:color="BBCFE8"/>
              <w:left w:val="single" w:sz="1" w:space="0" w:color="BBCFE8"/>
              <w:bottom w:val="single" w:sz="1" w:space="0" w:color="BBCFE8"/>
              <w:right w:val="single" w:sz="1" w:space="0" w:color="BBCFE8"/>
            </w:tcBorders>
            <w:shd w:val="clear" w:color="auto" w:fill="EDF3FC"/>
            <w:tcMar>
              <w:top w:w="100" w:type="dxa"/>
              <w:left w:w="150" w:type="dxa"/>
              <w:bottom w:w="100" w:type="dxa"/>
              <w:right w:w="150" w:type="dxa"/>
            </w:tcMar>
          </w:tcPr>
          <w:p w14:paraId="52CD87A4" w14:textId="77777777" w:rsidR="00377FE5" w:rsidRDefault="00000000">
            <w:r>
              <w:rPr>
                <w:b/>
                <w:bCs/>
                <w:color w:val="1B2A4A"/>
                <w:sz w:val="21"/>
                <w:szCs w:val="21"/>
              </w:rPr>
              <w:t>Steps</w:t>
            </w:r>
            <w:r>
              <w:rPr>
                <w:color w:val="666666"/>
                <w:sz w:val="20"/>
                <w:szCs w:val="20"/>
              </w:rPr>
              <w:t xml:space="preserve"> — Ordered actions to follow</w:t>
            </w:r>
          </w:p>
        </w:tc>
      </w:tr>
      <w:tr w:rsidR="00377FE5" w14:paraId="32D86A45" w14:textId="77777777">
        <w:tblPrEx>
          <w:tblCellMar>
            <w:top w:w="0" w:type="dxa"/>
            <w:bottom w:w="0" w:type="dxa"/>
          </w:tblCellMar>
        </w:tblPrEx>
        <w:tc>
          <w:tcPr>
            <w:tcW w:w="3240" w:type="dxa"/>
            <w:tcBorders>
              <w:top w:val="single" w:sz="1" w:space="0" w:color="BBCFE8"/>
              <w:left w:val="single" w:sz="1" w:space="0" w:color="BBCFE8"/>
              <w:bottom w:val="single" w:sz="1" w:space="0" w:color="BBCFE8"/>
              <w:right w:val="single" w:sz="1" w:space="0" w:color="BBCFE8"/>
            </w:tcBorders>
            <w:shd w:val="clear" w:color="auto" w:fill="FFFFFF"/>
            <w:tcMar>
              <w:top w:w="100" w:type="dxa"/>
              <w:left w:w="150" w:type="dxa"/>
              <w:bottom w:w="100" w:type="dxa"/>
              <w:right w:w="150" w:type="dxa"/>
            </w:tcMar>
          </w:tcPr>
          <w:p w14:paraId="0190F428" w14:textId="77777777" w:rsidR="00377FE5" w:rsidRDefault="00000000">
            <w:r>
              <w:rPr>
                <w:b/>
                <w:bCs/>
                <w:color w:val="1B2A4A"/>
                <w:sz w:val="21"/>
                <w:szCs w:val="21"/>
              </w:rPr>
              <w:t>Expectation</w:t>
            </w:r>
            <w:r>
              <w:rPr>
                <w:color w:val="666666"/>
                <w:sz w:val="20"/>
                <w:szCs w:val="20"/>
              </w:rPr>
              <w:t xml:space="preserve"> — Quality bar &amp; constraints</w:t>
            </w:r>
          </w:p>
        </w:tc>
        <w:tc>
          <w:tcPr>
            <w:tcW w:w="3240" w:type="dxa"/>
            <w:tcBorders>
              <w:top w:val="single" w:sz="1" w:space="0" w:color="BBCFE8"/>
              <w:left w:val="single" w:sz="1" w:space="0" w:color="BBCFE8"/>
              <w:bottom w:val="single" w:sz="1" w:space="0" w:color="BBCFE8"/>
              <w:right w:val="single" w:sz="1" w:space="0" w:color="BBCFE8"/>
            </w:tcBorders>
            <w:shd w:val="clear" w:color="auto" w:fill="EDF3FC"/>
            <w:tcMar>
              <w:top w:w="100" w:type="dxa"/>
              <w:left w:w="150" w:type="dxa"/>
              <w:bottom w:w="100" w:type="dxa"/>
              <w:right w:w="150" w:type="dxa"/>
            </w:tcMar>
          </w:tcPr>
          <w:p w14:paraId="30F34C31" w14:textId="77777777" w:rsidR="00377FE5" w:rsidRDefault="00000000">
            <w:r>
              <w:rPr>
                <w:b/>
                <w:bCs/>
                <w:color w:val="1B2A4A"/>
                <w:sz w:val="21"/>
                <w:szCs w:val="21"/>
              </w:rPr>
              <w:t>Context</w:t>
            </w:r>
            <w:r>
              <w:rPr>
                <w:color w:val="666666"/>
                <w:sz w:val="20"/>
                <w:szCs w:val="20"/>
              </w:rPr>
              <w:t xml:space="preserve"> — Background info provided</w:t>
            </w:r>
          </w:p>
        </w:tc>
        <w:tc>
          <w:tcPr>
            <w:tcW w:w="3240" w:type="dxa"/>
            <w:tcBorders>
              <w:top w:val="single" w:sz="1" w:space="0" w:color="BBCFE8"/>
              <w:left w:val="single" w:sz="1" w:space="0" w:color="BBCFE8"/>
              <w:bottom w:val="single" w:sz="1" w:space="0" w:color="BBCFE8"/>
              <w:right w:val="single" w:sz="1" w:space="0" w:color="BBCFE8"/>
            </w:tcBorders>
            <w:shd w:val="clear" w:color="auto" w:fill="FFFFFF"/>
            <w:tcMar>
              <w:top w:w="100" w:type="dxa"/>
              <w:left w:w="150" w:type="dxa"/>
              <w:bottom w:w="100" w:type="dxa"/>
              <w:right w:w="150" w:type="dxa"/>
            </w:tcMar>
          </w:tcPr>
          <w:p w14:paraId="00BECD58" w14:textId="77777777" w:rsidR="00377FE5" w:rsidRDefault="00000000">
            <w:r>
              <w:rPr>
                <w:b/>
                <w:bCs/>
                <w:color w:val="1B2A4A"/>
                <w:sz w:val="21"/>
                <w:szCs w:val="21"/>
              </w:rPr>
              <w:t>Elaboration</w:t>
            </w:r>
            <w:r>
              <w:rPr>
                <w:color w:val="666666"/>
                <w:sz w:val="20"/>
                <w:szCs w:val="20"/>
              </w:rPr>
              <w:t xml:space="preserve"> — Extra details, edge cases, caveats</w:t>
            </w:r>
          </w:p>
        </w:tc>
      </w:tr>
    </w:tbl>
    <w:p w14:paraId="3371AB3A" w14:textId="77777777" w:rsidR="00377FE5" w:rsidRDefault="00377FE5">
      <w:pPr>
        <w:spacing w:after="200"/>
      </w:pPr>
    </w:p>
    <w:p w14:paraId="2AC2A8B6" w14:textId="77777777" w:rsidR="00377FE5" w:rsidRDefault="00000000">
      <w:pPr>
        <w:pStyle w:val="Heading3"/>
      </w:pPr>
      <w:r>
        <w:t>Key Principle</w:t>
      </w:r>
    </w:p>
    <w:p w14:paraId="08CF2364" w14:textId="77777777" w:rsidR="00377FE5" w:rsidRDefault="00000000">
      <w:r>
        <w:t>You do not need all 12 elements every time. What matters is that the combination you choose makes your intent unambiguous. A prompt missing Role when one is needed will produce a generic answer. A prompt missing Format when a specific output structure is expected will produce freeform text you have to reprocess. Selecting the right subset and filling it precisely is the skill IBM's framework is teaching.</w:t>
      </w:r>
    </w:p>
    <w:p w14:paraId="0D8D5B91" w14:textId="77777777" w:rsidR="00377FE5" w:rsidRDefault="00377FE5">
      <w:pPr>
        <w:spacing w:after="320"/>
      </w:pPr>
    </w:p>
    <w:p w14:paraId="02FE91E9" w14:textId="77777777" w:rsidR="00377FE5" w:rsidRDefault="00377FE5">
      <w:pPr>
        <w:pBdr>
          <w:bottom w:val="single" w:sz="6" w:space="1" w:color="1B2A4A"/>
        </w:pBdr>
        <w:spacing w:after="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9040"/>
      </w:tblGrid>
      <w:tr w:rsidR="00377FE5" w14:paraId="06518DEC"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1B2A4A"/>
            <w:tcMar>
              <w:top w:w="0" w:type="dxa"/>
              <w:left w:w="0" w:type="dxa"/>
              <w:bottom w:w="0" w:type="dxa"/>
              <w:right w:w="0" w:type="dxa"/>
            </w:tcMar>
            <w:vAlign w:val="center"/>
          </w:tcPr>
          <w:p w14:paraId="7B304F03" w14:textId="77777777" w:rsidR="00377FE5" w:rsidRDefault="00000000">
            <w:pPr>
              <w:jc w:val="center"/>
            </w:pPr>
            <w:r>
              <w:rPr>
                <w:b/>
                <w:bCs/>
                <w:color w:val="FFFFFF"/>
                <w:sz w:val="30"/>
                <w:szCs w:val="30"/>
              </w:rPr>
              <w:lastRenderedPageBreak/>
              <w:t>02</w:t>
            </w:r>
          </w:p>
        </w:tc>
        <w:tc>
          <w:tcPr>
            <w:tcW w:w="9040" w:type="dxa"/>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0" w:type="dxa"/>
            </w:tcMar>
          </w:tcPr>
          <w:p w14:paraId="07542F37" w14:textId="77777777" w:rsidR="00377FE5" w:rsidRDefault="00000000">
            <w:pPr>
              <w:pStyle w:val="Heading2"/>
            </w:pPr>
            <w:r>
              <w:t>Meta-Prompting</w:t>
            </w:r>
          </w:p>
          <w:p w14:paraId="43A4049B" w14:textId="77777777" w:rsidR="00377FE5" w:rsidRDefault="00000000">
            <w:r>
              <w:rPr>
                <w:i/>
                <w:iCs/>
                <w:color w:val="2E4A7A"/>
                <w:sz w:val="24"/>
                <w:szCs w:val="24"/>
              </w:rPr>
              <w:t>Let the Model Write Its Own Prompt</w:t>
            </w:r>
          </w:p>
        </w:tc>
      </w:tr>
    </w:tbl>
    <w:p w14:paraId="01BE4186" w14:textId="77777777" w:rsidR="00377FE5" w:rsidRDefault="00377FE5">
      <w:pPr>
        <w:pBdr>
          <w:bottom w:val="single" w:sz="4" w:space="1" w:color="1B2A4A"/>
        </w:pBdr>
        <w:spacing w:after="200"/>
      </w:pPr>
    </w:p>
    <w:p w14:paraId="34A51C1E" w14:textId="77777777" w:rsidR="00377FE5" w:rsidRDefault="00000000">
      <w:pPr>
        <w:spacing w:after="160"/>
      </w:pPr>
      <w:r>
        <w:t>This is the technique most people in production overlook. Instead of writing a detailed prompt yourself and guessing at the structure the model needs, you ask the model to first design the optimal prompt for the task — then run that generated prompt to get your actual output.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77FE5" w14:paraId="1EB907AB" w14:textId="77777777">
        <w:tblPrEx>
          <w:tblCellMar>
            <w:top w:w="0" w:type="dxa"/>
            <w:bottom w:w="0" w:type="dxa"/>
          </w:tblCellMar>
        </w:tblPrEx>
        <w:tc>
          <w:tcPr>
            <w:tcW w:w="9720" w:type="dxa"/>
            <w:tcBorders>
              <w:top w:val="single" w:sz="12" w:space="0" w:color="2E4A7A"/>
              <w:left w:val="single" w:sz="1" w:space="0" w:color="BBCFE8"/>
              <w:bottom w:val="single" w:sz="1" w:space="0" w:color="BBCFE8"/>
              <w:right w:val="single" w:sz="1" w:space="0" w:color="BBCFE8"/>
            </w:tcBorders>
            <w:shd w:val="clear" w:color="auto" w:fill="EDF3FC"/>
            <w:tcMar>
              <w:top w:w="140" w:type="dxa"/>
              <w:left w:w="220" w:type="dxa"/>
              <w:bottom w:w="140" w:type="dxa"/>
              <w:right w:w="220" w:type="dxa"/>
            </w:tcMar>
          </w:tcPr>
          <w:p w14:paraId="3D346950" w14:textId="77777777" w:rsidR="00377FE5" w:rsidRDefault="00000000">
            <w:r>
              <w:rPr>
                <w:b/>
                <w:bCs/>
                <w:color w:val="1B2A4A"/>
                <w:sz w:val="26"/>
                <w:szCs w:val="26"/>
              </w:rPr>
              <w:t xml:space="preserve">+17.1% improvement in output quality </w:t>
            </w:r>
            <w:r>
              <w:rPr>
                <w:color w:val="666666"/>
              </w:rPr>
              <w:t>over standard prompting — Stanford / OpenAI research. Anthropic and OpenAI have both built official tooling around this technique.</w:t>
            </w:r>
          </w:p>
        </w:tc>
      </w:tr>
    </w:tbl>
    <w:p w14:paraId="3B67EA49" w14:textId="77777777" w:rsidR="00377FE5" w:rsidRDefault="00377FE5">
      <w:pPr>
        <w:spacing w:after="220"/>
      </w:pPr>
    </w:p>
    <w:p w14:paraId="1C93D115" w14:textId="77777777" w:rsidR="00377FE5" w:rsidRDefault="00000000">
      <w:pPr>
        <w:pStyle w:val="Heading3"/>
      </w:pPr>
      <w:r>
        <w:t>Why It Works</w:t>
      </w:r>
    </w:p>
    <w:p w14:paraId="6DC8CEF2" w14:textId="77777777" w:rsidR="00377FE5" w:rsidRDefault="00000000">
      <w:r>
        <w:t>Given the right context, the AI is better at writing prompts than humans are. It understands its own input preferences — what structure, role framing, constraints, and output format lead to the best response — from training. By applying this discipline to prompt design, you reduce randomness, eliminate conversational drift, and get closer to production-quality output faster.</w:t>
      </w:r>
    </w:p>
    <w:p w14:paraId="4BB7FC38" w14:textId="77777777" w:rsidR="00377FE5" w:rsidRDefault="00377FE5">
      <w:pPr>
        <w:spacing w:after="200"/>
      </w:pPr>
    </w:p>
    <w:p w14:paraId="6C53D62B" w14:textId="77777777" w:rsidR="00377FE5" w:rsidRDefault="00000000">
      <w:pPr>
        <w:pStyle w:val="Heading3"/>
      </w:pPr>
      <w:r>
        <w:t>The Two-Step Pattern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8400"/>
      </w:tblGrid>
      <w:tr w:rsidR="00377FE5" w14:paraId="0D88B70B" w14:textId="77777777">
        <w:tblPrEx>
          <w:tblCellMar>
            <w:top w:w="0" w:type="dxa"/>
            <w:bottom w:w="0" w:type="dxa"/>
          </w:tblCellMar>
        </w:tblPrEx>
        <w:tc>
          <w:tcPr>
            <w:tcW w:w="1320" w:type="dxa"/>
            <w:tcBorders>
              <w:top w:val="single" w:sz="1" w:space="0" w:color="BBCFE8"/>
              <w:left w:val="single" w:sz="1" w:space="0" w:color="BBCFE8"/>
              <w:bottom w:val="single" w:sz="1" w:space="0" w:color="BBCFE8"/>
              <w:right w:val="single" w:sz="1" w:space="0" w:color="BBCFE8"/>
            </w:tcBorders>
            <w:shd w:val="clear" w:color="auto" w:fill="2E4A7A"/>
            <w:tcMar>
              <w:top w:w="100" w:type="dxa"/>
              <w:left w:w="150" w:type="dxa"/>
              <w:bottom w:w="100" w:type="dxa"/>
              <w:right w:w="150" w:type="dxa"/>
            </w:tcMar>
            <w:vAlign w:val="center"/>
          </w:tcPr>
          <w:p w14:paraId="674C2A0D" w14:textId="77777777" w:rsidR="00377FE5" w:rsidRDefault="00000000">
            <w:pPr>
              <w:jc w:val="center"/>
            </w:pPr>
            <w:r>
              <w:rPr>
                <w:b/>
                <w:bCs/>
                <w:color w:val="FFFFFF"/>
                <w:sz w:val="21"/>
                <w:szCs w:val="21"/>
              </w:rPr>
              <w:t>STEP 1</w:t>
            </w:r>
            <w:r>
              <w:rPr>
                <w:color w:val="9AB8D8"/>
                <w:sz w:val="18"/>
                <w:szCs w:val="18"/>
              </w:rPr>
              <w:t xml:space="preserve"> Meta Layer</w:t>
            </w:r>
          </w:p>
        </w:tc>
        <w:tc>
          <w:tcPr>
            <w:tcW w:w="8400" w:type="dxa"/>
            <w:tcBorders>
              <w:top w:val="single" w:sz="1" w:space="0" w:color="BBCFE8"/>
              <w:left w:val="single" w:sz="1" w:space="0" w:color="BBCFE8"/>
              <w:bottom w:val="single" w:sz="1" w:space="0" w:color="BBCFE8"/>
              <w:right w:val="single" w:sz="1" w:space="0" w:color="BBCFE8"/>
            </w:tcBorders>
            <w:shd w:val="clear" w:color="auto" w:fill="FFFFFF"/>
            <w:tcMar>
              <w:top w:w="100" w:type="dxa"/>
              <w:left w:w="150" w:type="dxa"/>
              <w:bottom w:w="100" w:type="dxa"/>
              <w:right w:w="150" w:type="dxa"/>
            </w:tcMar>
          </w:tcPr>
          <w:p w14:paraId="6FF62D6E" w14:textId="77777777" w:rsidR="00377FE5" w:rsidRDefault="00000000">
            <w:pPr>
              <w:spacing w:after="60"/>
            </w:pPr>
            <w:r>
              <w:rPr>
                <w:b/>
                <w:bCs/>
                <w:color w:val="1B2A4A"/>
              </w:rPr>
              <w:t>Ask the model what it needs to know before starting</w:t>
            </w:r>
          </w:p>
          <w:p w14:paraId="5239C6B4" w14:textId="77777777" w:rsidR="00377FE5" w:rsidRDefault="00000000">
            <w:r>
              <w:rPr>
                <w:i/>
                <w:iCs/>
                <w:color w:val="666666"/>
                <w:sz w:val="20"/>
                <w:szCs w:val="20"/>
              </w:rPr>
              <w:t>"I want you to build a CI/CD pipeline for a Node.js microservice with Docker, EKS blue-green deployment, and security scanning. Before writing any code, give me the 10 most critical questions you would need answered to produce a production-grade result."</w:t>
            </w:r>
          </w:p>
        </w:tc>
      </w:tr>
      <w:tr w:rsidR="00377FE5" w14:paraId="7A2662AE" w14:textId="77777777">
        <w:tblPrEx>
          <w:tblCellMar>
            <w:top w:w="0" w:type="dxa"/>
            <w:bottom w:w="0" w:type="dxa"/>
          </w:tblCellMar>
        </w:tblPrEx>
        <w:tc>
          <w:tcPr>
            <w:tcW w:w="1320" w:type="dxa"/>
            <w:tcBorders>
              <w:top w:val="single" w:sz="1" w:space="0" w:color="BBCFE8"/>
              <w:left w:val="single" w:sz="1" w:space="0" w:color="BBCFE8"/>
              <w:bottom w:val="single" w:sz="1" w:space="0" w:color="BBCFE8"/>
              <w:right w:val="single" w:sz="1" w:space="0" w:color="BBCFE8"/>
            </w:tcBorders>
            <w:shd w:val="clear" w:color="auto" w:fill="1B2A4A"/>
            <w:tcMar>
              <w:top w:w="100" w:type="dxa"/>
              <w:left w:w="150" w:type="dxa"/>
              <w:bottom w:w="100" w:type="dxa"/>
              <w:right w:w="150" w:type="dxa"/>
            </w:tcMar>
            <w:vAlign w:val="center"/>
          </w:tcPr>
          <w:p w14:paraId="50E2D7B1" w14:textId="77777777" w:rsidR="00377FE5" w:rsidRDefault="00000000">
            <w:pPr>
              <w:jc w:val="center"/>
            </w:pPr>
            <w:r>
              <w:rPr>
                <w:b/>
                <w:bCs/>
                <w:color w:val="FFFFFF"/>
                <w:sz w:val="21"/>
                <w:szCs w:val="21"/>
              </w:rPr>
              <w:t>STEP 2</w:t>
            </w:r>
            <w:r>
              <w:rPr>
                <w:color w:val="9AB8D8"/>
                <w:sz w:val="18"/>
                <w:szCs w:val="18"/>
              </w:rPr>
              <w:t xml:space="preserve"> Execution</w:t>
            </w:r>
          </w:p>
        </w:tc>
        <w:tc>
          <w:tcPr>
            <w:tcW w:w="8400" w:type="dxa"/>
            <w:tcBorders>
              <w:top w:val="single" w:sz="1" w:space="0" w:color="BBCFE8"/>
              <w:left w:val="single" w:sz="1" w:space="0" w:color="BBCFE8"/>
              <w:bottom w:val="single" w:sz="1" w:space="0" w:color="BBCFE8"/>
              <w:right w:val="single" w:sz="1" w:space="0" w:color="BBCFE8"/>
            </w:tcBorders>
            <w:shd w:val="clear" w:color="auto" w:fill="EDF3FC"/>
            <w:tcMar>
              <w:top w:w="100" w:type="dxa"/>
              <w:left w:w="150" w:type="dxa"/>
              <w:bottom w:w="100" w:type="dxa"/>
              <w:right w:w="150" w:type="dxa"/>
            </w:tcMar>
          </w:tcPr>
          <w:p w14:paraId="29799212" w14:textId="77777777" w:rsidR="00377FE5" w:rsidRDefault="00000000">
            <w:pPr>
              <w:spacing w:after="60"/>
            </w:pPr>
            <w:r>
              <w:rPr>
                <w:b/>
                <w:bCs/>
                <w:color w:val="1B2A4A"/>
              </w:rPr>
              <w:t>Feed the answers back as context, then run the actual task</w:t>
            </w:r>
          </w:p>
          <w:p w14:paraId="37E57E2D" w14:textId="77777777" w:rsidR="00377FE5" w:rsidRDefault="00000000">
            <w:r>
              <w:rPr>
                <w:color w:val="666666"/>
                <w:sz w:val="20"/>
                <w:szCs w:val="20"/>
              </w:rPr>
              <w:t>Your prompt is now structurally complete — no guesswork, no missing context. The meta-generated prompt becomes a reusable artifact. After generating it, evaluate: Does the role make sense? Is context complete? Are constraints appropriate? Does the output format match what you need? Then lock it for reuse.</w:t>
            </w:r>
          </w:p>
        </w:tc>
      </w:tr>
    </w:tbl>
    <w:p w14:paraId="2DA4A15A" w14:textId="77777777" w:rsidR="00377FE5" w:rsidRDefault="00377FE5">
      <w:pPr>
        <w:spacing w:after="220"/>
      </w:pPr>
    </w:p>
    <w:p w14:paraId="1FCEC227" w14:textId="77777777" w:rsidR="00377FE5" w:rsidRDefault="00000000">
      <w:pPr>
        <w:pStyle w:val="Heading3"/>
      </w:pPr>
      <w:r>
        <w:t>Real-World Proof — Google DeepMind</w:t>
      </w:r>
    </w:p>
    <w:p w14:paraId="59FB1E72" w14:textId="77777777" w:rsidR="00377FE5" w:rsidRDefault="00000000">
      <w:r>
        <w:t>A Google DeepMind engineer used this exact approach to generate video prompts for Veo 3. Instead of writing terse prompts manually, she instructed Gemini to write the detailed prompt. The model then produced 5–10 richly structured variants covering textures, motion, lighting, and sound cues — far exceeding what a human would specify from scratch.</w:t>
      </w:r>
    </w:p>
    <w:p w14:paraId="11CBD1CF" w14:textId="77777777" w:rsidR="00377FE5" w:rsidRDefault="00377FE5">
      <w:pPr>
        <w:spacing w:after="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77FE5" w14:paraId="5B27F2F0" w14:textId="77777777">
        <w:tblPrEx>
          <w:tblCellMar>
            <w:top w:w="0" w:type="dxa"/>
            <w:bottom w:w="0" w:type="dxa"/>
          </w:tblCellMar>
        </w:tblPrEx>
        <w:tc>
          <w:tcPr>
            <w:tcW w:w="9720" w:type="dxa"/>
            <w:tcBorders>
              <w:top w:val="none" w:sz="0" w:space="0" w:color="FFFFFF"/>
              <w:left w:val="single" w:sz="16" w:space="0" w:color="E8A020"/>
              <w:bottom w:val="none" w:sz="0" w:space="0" w:color="FFFFFF"/>
              <w:right w:val="none" w:sz="0" w:space="0" w:color="FFFFFF"/>
            </w:tcBorders>
            <w:shd w:val="clear" w:color="auto" w:fill="FFF8EC"/>
            <w:tcMar>
              <w:top w:w="120" w:type="dxa"/>
              <w:left w:w="200" w:type="dxa"/>
              <w:bottom w:w="120" w:type="dxa"/>
              <w:right w:w="200" w:type="dxa"/>
            </w:tcMar>
          </w:tcPr>
          <w:p w14:paraId="533CB63C" w14:textId="77777777" w:rsidR="00377FE5" w:rsidRDefault="00000000">
            <w:r>
              <w:rPr>
                <w:b/>
                <w:bCs/>
                <w:color w:val="A07000"/>
              </w:rPr>
              <w:t xml:space="preserve">Key Takeaway:  </w:t>
            </w:r>
            <w:r>
              <w:rPr>
                <w:color w:val="666666"/>
              </w:rPr>
              <w:t>A meta-generated prompt is a starting point, not a finished artifact. The real value is that it externalizes the model's own knowledge about what makes a good prompt — turning guesswork into a documented, repeatable process.</w:t>
            </w:r>
          </w:p>
        </w:tc>
      </w:tr>
    </w:tbl>
    <w:p w14:paraId="269FC48B" w14:textId="77777777" w:rsidR="00377FE5" w:rsidRDefault="00377FE5">
      <w:pPr>
        <w:spacing w:after="200"/>
      </w:pPr>
    </w:p>
    <w:sectPr w:rsidR="00377FE5">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466C3" w14:textId="77777777" w:rsidR="002549E6" w:rsidRDefault="002549E6">
      <w:r>
        <w:separator/>
      </w:r>
    </w:p>
  </w:endnote>
  <w:endnote w:type="continuationSeparator" w:id="0">
    <w:p w14:paraId="2A6F565B" w14:textId="77777777" w:rsidR="002549E6" w:rsidRDefault="00254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D6A5" w14:textId="1C45391E" w:rsidR="00377FE5" w:rsidRPr="006C0550" w:rsidRDefault="00000000">
    <w:pPr>
      <w:pBdr>
        <w:top w:val="single" w:sz="4" w:space="1" w:color="BBCFE8"/>
      </w:pBdr>
      <w:spacing w:before="80"/>
      <w:jc w:val="center"/>
      <w:rPr>
        <w:lang w:val="en-GB"/>
      </w:rPr>
    </w:pPr>
    <w:r>
      <w:rPr>
        <w:color w:val="666666"/>
        <w:sz w:val="16"/>
        <w:szCs w:val="16"/>
      </w:rPr>
      <w:t xml:space="preserve">Sources: IBM Prompt Engineering Framework  •  </w:t>
    </w:r>
    <w:r w:rsidR="006C0550">
      <w:rPr>
        <w:color w:val="666666"/>
        <w:sz w:val="16"/>
        <w:szCs w:val="16"/>
        <w:lang w:val="en-GB"/>
      </w:rPr>
      <w:t>Stanford/OpenAI research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52B46" w14:textId="77777777" w:rsidR="002549E6" w:rsidRDefault="002549E6">
      <w:r>
        <w:separator/>
      </w:r>
    </w:p>
  </w:footnote>
  <w:footnote w:type="continuationSeparator" w:id="0">
    <w:p w14:paraId="1049F8B8" w14:textId="77777777" w:rsidR="002549E6" w:rsidRDefault="002549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920"/>
    </w:tblGrid>
    <w:tr w:rsidR="00377FE5" w14:paraId="0CBEF465" w14:textId="77777777">
      <w:tblPrEx>
        <w:tblCellMar>
          <w:top w:w="0" w:type="dxa"/>
          <w:bottom w:w="0" w:type="dxa"/>
        </w:tblCellMar>
      </w:tblPrEx>
      <w:tc>
        <w:tcPr>
          <w:tcW w:w="6800" w:type="dxa"/>
          <w:tcBorders>
            <w:top w:val="none" w:sz="0" w:space="0" w:color="FFFFFF"/>
            <w:left w:val="none" w:sz="0" w:space="0" w:color="FFFFFF"/>
            <w:bottom w:val="single" w:sz="1" w:space="0" w:color="BBCFE8"/>
            <w:right w:val="none" w:sz="0" w:space="0" w:color="FFFFFF"/>
          </w:tcBorders>
          <w:shd w:val="clear" w:color="auto" w:fill="FFFFFF"/>
          <w:tcMar>
            <w:top w:w="60" w:type="dxa"/>
            <w:left w:w="0" w:type="dxa"/>
            <w:bottom w:w="60" w:type="dxa"/>
            <w:right w:w="0" w:type="dxa"/>
          </w:tcMar>
        </w:tcPr>
        <w:p w14:paraId="04113A71" w14:textId="77777777" w:rsidR="00377FE5" w:rsidRDefault="00000000">
          <w:r>
            <w:rPr>
              <w:b/>
              <w:bCs/>
              <w:color w:val="2E4A7A"/>
              <w:sz w:val="18"/>
              <w:szCs w:val="18"/>
            </w:rPr>
            <w:t>Prompt Engineering — Summary Report</w:t>
          </w:r>
        </w:p>
      </w:tc>
      <w:tc>
        <w:tcPr>
          <w:tcW w:w="2920" w:type="dxa"/>
          <w:tcBorders>
            <w:top w:val="none" w:sz="0" w:space="0" w:color="FFFFFF"/>
            <w:left w:val="none" w:sz="0" w:space="0" w:color="FFFFFF"/>
            <w:bottom w:val="single" w:sz="1" w:space="0" w:color="BBCFE8"/>
            <w:right w:val="none" w:sz="0" w:space="0" w:color="FFFFFF"/>
          </w:tcBorders>
          <w:shd w:val="clear" w:color="auto" w:fill="FFFFFF"/>
          <w:tcMar>
            <w:top w:w="60" w:type="dxa"/>
            <w:left w:w="0" w:type="dxa"/>
            <w:bottom w:w="60" w:type="dxa"/>
            <w:right w:w="0" w:type="dxa"/>
          </w:tcMar>
        </w:tcPr>
        <w:p w14:paraId="23FBC4F0" w14:textId="77777777" w:rsidR="00377FE5" w:rsidRDefault="00000000">
          <w:pPr>
            <w:jc w:val="right"/>
          </w:pPr>
          <w:r>
            <w:rPr>
              <w:color w:val="666666"/>
              <w:sz w:val="18"/>
              <w:szCs w:val="18"/>
            </w:rPr>
            <w:t>Internship Task Deliverable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DF66DD"/>
    <w:multiLevelType w:val="hybridMultilevel"/>
    <w:tmpl w:val="0E24C3A4"/>
    <w:lvl w:ilvl="0" w:tplc="EC146F28">
      <w:start w:val="1"/>
      <w:numFmt w:val="bullet"/>
      <w:lvlText w:val="●"/>
      <w:lvlJc w:val="left"/>
      <w:pPr>
        <w:ind w:left="720" w:hanging="360"/>
      </w:pPr>
    </w:lvl>
    <w:lvl w:ilvl="1" w:tplc="DA4658DE">
      <w:start w:val="1"/>
      <w:numFmt w:val="bullet"/>
      <w:lvlText w:val="○"/>
      <w:lvlJc w:val="left"/>
      <w:pPr>
        <w:ind w:left="1440" w:hanging="360"/>
      </w:pPr>
    </w:lvl>
    <w:lvl w:ilvl="2" w:tplc="BAD8864A">
      <w:start w:val="1"/>
      <w:numFmt w:val="bullet"/>
      <w:lvlText w:val="■"/>
      <w:lvlJc w:val="left"/>
      <w:pPr>
        <w:ind w:left="2160" w:hanging="360"/>
      </w:pPr>
    </w:lvl>
    <w:lvl w:ilvl="3" w:tplc="45C4D902">
      <w:start w:val="1"/>
      <w:numFmt w:val="bullet"/>
      <w:lvlText w:val="●"/>
      <w:lvlJc w:val="left"/>
      <w:pPr>
        <w:ind w:left="2880" w:hanging="360"/>
      </w:pPr>
    </w:lvl>
    <w:lvl w:ilvl="4" w:tplc="A4284066">
      <w:start w:val="1"/>
      <w:numFmt w:val="bullet"/>
      <w:lvlText w:val="○"/>
      <w:lvlJc w:val="left"/>
      <w:pPr>
        <w:ind w:left="3600" w:hanging="360"/>
      </w:pPr>
    </w:lvl>
    <w:lvl w:ilvl="5" w:tplc="E1448A64">
      <w:start w:val="1"/>
      <w:numFmt w:val="bullet"/>
      <w:lvlText w:val="■"/>
      <w:lvlJc w:val="left"/>
      <w:pPr>
        <w:ind w:left="4320" w:hanging="360"/>
      </w:pPr>
    </w:lvl>
    <w:lvl w:ilvl="6" w:tplc="B322B09A">
      <w:start w:val="1"/>
      <w:numFmt w:val="bullet"/>
      <w:lvlText w:val="●"/>
      <w:lvlJc w:val="left"/>
      <w:pPr>
        <w:ind w:left="5040" w:hanging="360"/>
      </w:pPr>
    </w:lvl>
    <w:lvl w:ilvl="7" w:tplc="9D8ED826">
      <w:start w:val="1"/>
      <w:numFmt w:val="bullet"/>
      <w:lvlText w:val="●"/>
      <w:lvlJc w:val="left"/>
      <w:pPr>
        <w:ind w:left="5760" w:hanging="360"/>
      </w:pPr>
    </w:lvl>
    <w:lvl w:ilvl="8" w:tplc="E84C3F08">
      <w:start w:val="1"/>
      <w:numFmt w:val="bullet"/>
      <w:lvlText w:val="●"/>
      <w:lvlJc w:val="left"/>
      <w:pPr>
        <w:ind w:left="6480" w:hanging="360"/>
      </w:pPr>
    </w:lvl>
  </w:abstractNum>
  <w:abstractNum w:abstractNumId="1" w15:restartNumberingAfterBreak="0">
    <w:nsid w:val="76C36211"/>
    <w:multiLevelType w:val="hybridMultilevel"/>
    <w:tmpl w:val="FB7A125A"/>
    <w:lvl w:ilvl="0" w:tplc="8596722C">
      <w:start w:val="1"/>
      <w:numFmt w:val="bullet"/>
      <w:lvlText w:val="•"/>
      <w:lvlJc w:val="left"/>
      <w:pPr>
        <w:ind w:left="640" w:hanging="320"/>
      </w:pPr>
    </w:lvl>
    <w:lvl w:ilvl="1" w:tplc="5D0E7CF6">
      <w:numFmt w:val="decimal"/>
      <w:lvlText w:val=""/>
      <w:lvlJc w:val="left"/>
    </w:lvl>
    <w:lvl w:ilvl="2" w:tplc="7A7429BA">
      <w:numFmt w:val="decimal"/>
      <w:lvlText w:val=""/>
      <w:lvlJc w:val="left"/>
    </w:lvl>
    <w:lvl w:ilvl="3" w:tplc="0D56EF7E">
      <w:numFmt w:val="decimal"/>
      <w:lvlText w:val=""/>
      <w:lvlJc w:val="left"/>
    </w:lvl>
    <w:lvl w:ilvl="4" w:tplc="4EEE86FE">
      <w:numFmt w:val="decimal"/>
      <w:lvlText w:val=""/>
      <w:lvlJc w:val="left"/>
    </w:lvl>
    <w:lvl w:ilvl="5" w:tplc="660C581C">
      <w:numFmt w:val="decimal"/>
      <w:lvlText w:val=""/>
      <w:lvlJc w:val="left"/>
    </w:lvl>
    <w:lvl w:ilvl="6" w:tplc="7E84F080">
      <w:numFmt w:val="decimal"/>
      <w:lvlText w:val=""/>
      <w:lvlJc w:val="left"/>
    </w:lvl>
    <w:lvl w:ilvl="7" w:tplc="13F4FF1A">
      <w:numFmt w:val="decimal"/>
      <w:lvlText w:val=""/>
      <w:lvlJc w:val="left"/>
    </w:lvl>
    <w:lvl w:ilvl="8" w:tplc="2E70E152">
      <w:numFmt w:val="decimal"/>
      <w:lvlText w:val=""/>
      <w:lvlJc w:val="left"/>
    </w:lvl>
  </w:abstractNum>
  <w:num w:numId="1" w16cid:durableId="17722410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FE5"/>
    <w:rsid w:val="002549E6"/>
    <w:rsid w:val="00377FE5"/>
    <w:rsid w:val="006C0550"/>
    <w:rsid w:val="008740C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77397"/>
  <w15:docId w15:val="{A5766323-A88F-4355-AEDC-AB8C9E0D1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160"/>
      <w:outlineLvl w:val="0"/>
    </w:pPr>
    <w:rPr>
      <w:b/>
      <w:bCs/>
      <w:color w:val="FFFFFF"/>
      <w:sz w:val="44"/>
      <w:szCs w:val="44"/>
    </w:rPr>
  </w:style>
  <w:style w:type="paragraph" w:styleId="Heading2">
    <w:name w:val="heading 2"/>
    <w:uiPriority w:val="9"/>
    <w:unhideWhenUsed/>
    <w:qFormat/>
    <w:pPr>
      <w:spacing w:before="240" w:after="100"/>
      <w:outlineLvl w:val="1"/>
    </w:pPr>
    <w:rPr>
      <w:b/>
      <w:bCs/>
      <w:color w:val="1B2A4A"/>
      <w:sz w:val="30"/>
      <w:szCs w:val="30"/>
    </w:rPr>
  </w:style>
  <w:style w:type="paragraph" w:styleId="Heading3">
    <w:name w:val="heading 3"/>
    <w:uiPriority w:val="9"/>
    <w:unhideWhenUsed/>
    <w:qFormat/>
    <w:pPr>
      <w:spacing w:before="200" w:after="80"/>
      <w:outlineLvl w:val="2"/>
    </w:pPr>
    <w:rPr>
      <w:b/>
      <w:bCs/>
      <w:color w:val="2E4A7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0550"/>
    <w:pPr>
      <w:tabs>
        <w:tab w:val="center" w:pos="4513"/>
        <w:tab w:val="right" w:pos="9026"/>
      </w:tabs>
    </w:pPr>
  </w:style>
  <w:style w:type="character" w:customStyle="1" w:styleId="HeaderChar">
    <w:name w:val="Header Char"/>
    <w:basedOn w:val="DefaultParagraphFont"/>
    <w:link w:val="Header"/>
    <w:uiPriority w:val="99"/>
    <w:rsid w:val="006C0550"/>
  </w:style>
  <w:style w:type="paragraph" w:styleId="Footer">
    <w:name w:val="footer"/>
    <w:basedOn w:val="Normal"/>
    <w:link w:val="FooterChar"/>
    <w:uiPriority w:val="99"/>
    <w:unhideWhenUsed/>
    <w:rsid w:val="006C0550"/>
    <w:pPr>
      <w:tabs>
        <w:tab w:val="center" w:pos="4513"/>
        <w:tab w:val="right" w:pos="9026"/>
      </w:tabs>
    </w:pPr>
  </w:style>
  <w:style w:type="character" w:customStyle="1" w:styleId="FooterChar">
    <w:name w:val="Footer Char"/>
    <w:basedOn w:val="DefaultParagraphFont"/>
    <w:link w:val="Footer"/>
    <w:uiPriority w:val="99"/>
    <w:rsid w:val="006C05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577</Words>
  <Characters>3293</Characters>
  <Application>Microsoft Office Word</Application>
  <DocSecurity>0</DocSecurity>
  <Lines>27</Lines>
  <Paragraphs>7</Paragraphs>
  <ScaleCrop>false</ScaleCrop>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Araish Ahmad</cp:lastModifiedBy>
  <cp:revision>2</cp:revision>
  <dcterms:created xsi:type="dcterms:W3CDTF">2026-06-27T07:03:00Z</dcterms:created>
  <dcterms:modified xsi:type="dcterms:W3CDTF">2026-06-27T07:12:00Z</dcterms:modified>
</cp:coreProperties>
</file>