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40"/>
          <w:szCs w:val="40"/>
          <w:rtl w:val="0"/>
        </w:rPr>
        <w:t xml:space="preserve">ANOOP RAJ NAIR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Principal Software Engineer, Vice President  ·  Wellington Management  ·  Boston, 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Rule="auto"/>
        <w:jc w:val="cente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https://anooprajnair.com/</w:t>
        </w:r>
      </w:hyperlink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·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https://www.linkedin.com/in/anooprajnair/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cccccc" w:space="1" w:sz="4" w:val="single"/>
        </w:pBd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Investment technology leader with 25+ years of experience architecting and delivering mission-critical platforms across asset management, energy trading, and capital markets. At Wellington Management for nearly two decades — first as an embedded Sapient consultant (2006–2013), then as a full-time Principal Engineer — I have built firm-wide systems spanning portfolio analytics, structured products, ESG computation, real-time data infrastructure, and next-generation investment platforms. Proven track record delivering complex, high-stakes programs under regulatory and commercial constraints, managing cross-geography teams, and translating quantitative investment frameworks into production-grade technology. Currently leading the Alpine Data Engine (real-time hedge fund analytics) and an AI-assisted redesign of Wellington's core portfolio analytics library using Claude Code CLI.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CORE COMPETENCIES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cccccc" w:space="1" w:sz="4" w:val="single"/>
        </w:pBd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4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Investment Technology Architecture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4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Portfolio Analytics &amp; Attribution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4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Real-Time Data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4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Fixed Income &amp; Structured Products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4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ESG Analytics Platforms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4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AWS / Cloud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4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Team Leadership &amp; Offshore Delivery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4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Stakeholder &amp; Client Management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4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AI-Assisted Engineering (LLM Tooling)</w:t>
            </w:r>
          </w:p>
        </w:tc>
      </w:tr>
    </w:tbl>
    <w:p w:rsidR="00000000" w:rsidDel="00000000" w:rsidP="00000000" w:rsidRDefault="00000000" w:rsidRPr="00000000" w14:paraId="0000001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cccccc" w:space="1" w:sz="4" w:val="single"/>
        </w:pBd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9"/>
                <w:szCs w:val="19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Java, SQL/PL-SQL, Perl, JavaScript/TypeScript, 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9"/>
                <w:szCs w:val="19"/>
                <w:rtl w:val="0"/>
              </w:rPr>
              <w:t xml:space="preserve">Cloud &amp;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AWS (EC2, Lambda, S3, Redshift, EMR, Athena), Hadoop HDFS, Apache Spark, Apache Hive, Elastic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9"/>
                <w:szCs w:val="19"/>
                <w:rtl w:val="0"/>
              </w:rPr>
              <w:t xml:space="preserve">Frameworks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GraphQL, React JS, Node.js, OpenFin, Socket.io, Redis, Grid Computing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9"/>
                <w:szCs w:val="19"/>
                <w:rtl w:val="0"/>
              </w:rPr>
              <w:t xml:space="preserve">Data &amp;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Bloomberg B-PIPE, Intex API, Oracle, Investment View Library, TIBCO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9"/>
                <w:szCs w:val="19"/>
                <w:rtl w:val="0"/>
              </w:rPr>
              <w:t xml:space="preserve">Tools &amp; 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Claude Code CLI, IBM Tivoli Maestro, Tableau, Crystal Reports, In3D Visual 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9"/>
                <w:szCs w:val="19"/>
                <w:rtl w:val="0"/>
              </w:rPr>
              <w:t xml:space="preserve">Databases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Oracle 9i/11g, Amazon Redshift, DynamoDB, Sybase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cccccc" w:space="1" w:sz="4" w:val="single"/>
        </w:pBd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9360"/>
        </w:tabs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Wellington Management Company LLP 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January 2013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Principal Software Engineer, Vice President  ·  Boston, 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Investment View Library — AI-Assisted Architectural Redesign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Core Investment Technology  · 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Leading the architectural redesign of the Investment View library — Wellington's core portfolio analytics engine underpinning virtually all investment platforms — using Claude Code CLI (Anthropic's agentic coding tool) to accelerate the rewrite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Redesigning for both end-of-day batch and high-throughput, tick-driven real-time demands; establishing an early institutional pattern for AI-assisted engineering on production-grade financial systems at Wellington</w:t>
      </w:r>
    </w:p>
    <w:p w:rsidR="00000000" w:rsidDel="00000000" w:rsidP="00000000" w:rsidRDefault="00000000" w:rsidRPr="00000000" w14:paraId="0000002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3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Alpine Data Engine — Real-Time Investment Analytics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Hedge Fund / Alternatives Desk  ·  2023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18"/>
          <w:szCs w:val="1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Architected the Alpine Data Engine — real-time data and computation layer powering Wellington's first hedge fund investment analytics platform, delivering live ticking positions, Bloomberg B-PIPE pricing, intraday P&amp;L, and portfolio and risk analytics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Designed the end-to-end real-time pipeline: live position ingestion → Bloomberg B-PIPE price feed → P&amp;L via valuation engine → portfolio analytics via upgraded Investment View library → risk engine integration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Led a significant upgrade of the Investment View library to support continuous tick-driven computation — extending a historically batch-oriented engine to hedge fund scale and throughput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Integrated with Wellington's proprietary XML-defined aggregation engine to roll up position-level analytics into configurable buckets in real time; exposed all output through the PRISM GraphQL layer with role-based authentication</w:t>
      </w:r>
    </w:p>
    <w:p w:rsidR="00000000" w:rsidDel="00000000" w:rsidP="00000000" w:rsidRDefault="00000000" w:rsidRPr="00000000" w14:paraId="0000003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18"/>
          <w:szCs w:val="18"/>
          <w:rtl w:val="0"/>
        </w:rPr>
        <w:t xml:space="preserve">Team 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Leading a team of 4 engineers — responsible for technical direction, architecture decisions, delivery planning, sprint execution, and stakeholder alignment with the Hedge Fund desk and platform teams</w:t>
      </w:r>
    </w:p>
    <w:p w:rsidR="00000000" w:rsidDel="00000000" w:rsidP="00000000" w:rsidRDefault="00000000" w:rsidRPr="00000000" w14:paraId="0000003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3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ESG Analytics Microservice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Firm-Wide · ESG / Sustainable Investing  ·  2021 –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Identified firm-wide duplication risk as multiple teams independently implemented ESG calculations; designed a centralized ESG Analytics microservice as the single authoritative computation layer for portfolio-level ESG analytics across all investment tools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Wellington was a founding signatory of the Net Zero Asset Managers initiative; consolidated complex, </w:t>
      </w:r>
      <w:r w:rsidDel="00000000" w:rsidR="00000000" w:rsidRPr="00000000">
        <w:rPr>
          <w:rtl w:val="0"/>
        </w:rPr>
        <w:t xml:space="preserve">rapidly evolving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ESG logic into one governed service consumed firm-wide, ensuring consistent and auditable analytics across all portfolios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Drove cross-team integration, testing, and cutover across multiple applications simultaneously; scaled the platform to handle firm-wide portfolio-level computation volume</w:t>
      </w:r>
    </w:p>
    <w:p w:rsidR="00000000" w:rsidDel="00000000" w:rsidP="00000000" w:rsidRDefault="00000000" w:rsidRPr="00000000" w14:paraId="0000003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3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PRISM — Firm-Wide GraphQL Data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Firm-Wide Investment Technology Platform  · 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Led the exposure of Wellington's Portfolio Position, Analytics, and Aggregation data through PRISM — the firm's GraphQL data layer aggregating all data producers, databases, and microservices into a single canonical API surface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Integrated with the Investment View library to expose end-of-day holdings, pricing, and computed portfolio analytics; designed data contracts, schema definitions, and access patterns for consumers across the firm</w:t>
      </w:r>
    </w:p>
    <w:p w:rsidR="00000000" w:rsidDel="00000000" w:rsidP="00000000" w:rsidRDefault="00000000" w:rsidRPr="00000000" w14:paraId="0000004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3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Mosaic — Next-Generation Investment Technology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Firm-Wide · Fixed Income · Cross-Asset  ·  2019 –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Led the engineering build-out of Mosaic — Wellington's firm-wide OpenFin-based investment desktop platform on a microservices architecture; worked with consulting partners to establish architecture standards and standardize UI design language across the firm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Led migration of Investor LaunchPad products (six Fixed Income desks) into the unified Mosaic Research Platform; built the Open Search infrastructure on Elastic Search, enabling firm-wide research discovery across securities, analysts, and asset classes for the first time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Managed a multi-geography engineering team following Agile principles; drove decommissioning of legacy applications in close cooperation with business teams</w:t>
      </w:r>
    </w:p>
    <w:p w:rsidR="00000000" w:rsidDel="00000000" w:rsidP="00000000" w:rsidRDefault="00000000" w:rsidRPr="00000000" w14:paraId="0000004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3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ARIA — Analyst Research Impact and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Investment Grade · High Yield Fixed Income  ·  2017 –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18"/>
          <w:szCs w:val="18"/>
          <w:rtl w:val="0"/>
        </w:rPr>
        <w:t xml:space="preserve">Platform &amp; Quantitative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Architected and delivered ARIA — a specialized performance attribution platform quantifying the research skill of Fixed Income credit analysts across IG and HY desks; no industry-standard solution existed for this problem at the time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Partnered directly with Wellington's Chief Fixed Income Strategist to translate complex quantitative evaluation models (DTS-based exposure normalization, RUDTS accuracy scoring, benchmark-relative alignment) into production engineering specifications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Implemented attribution engine decomposing portfolio alpha into aligned, misaligned, and uncovered contributions; built linked multi-period attribution with market-value weighted aggregation and smoothing across hundreds of accounts</w:t>
      </w:r>
    </w:p>
    <w:p w:rsidR="00000000" w:rsidDel="00000000" w:rsidP="00000000" w:rsidRDefault="00000000" w:rsidRPr="00000000" w14:paraId="0000004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18"/>
          <w:szCs w:val="18"/>
          <w:rtl w:val="0"/>
        </w:rPr>
        <w:t xml:space="preserve">Data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Designed a large-scale data pipeline on AWS and Hadoop sourcing from six internal systems; orchestrated daily batch via IBM Tivoli Maestro; built EMR/HDFS assimilation layer with Spark/Hive computation; surfaced results in Amazon Athena and Tableau for senior management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Replaced manual spreadsheet-based analyst evaluation with a systematic, daily, firm-wide attribution system — enabling Fixed Income Senior Management to objectively measure credit analyst skill across recommendation categories for the first time at Wellington</w:t>
      </w:r>
    </w:p>
    <w:p w:rsidR="00000000" w:rsidDel="00000000" w:rsidP="00000000" w:rsidRDefault="00000000" w:rsidRPr="00000000" w14:paraId="0000005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3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Investor LaunchPad (ILP) — Fixed Income Expansion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Investment Grade · High Yield · EM Corporate · EM Sovereign · Municipal · Insurance/BL  · 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Extended Investor LaunchPad — Wellington's existing firm-wide research and collaboration platform (originally Equity-only) to cover the full Fixed Income universe; onboarded six Fixed Income desks serving ~1,000 active users firm-wide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Designed Fixed Income-specific data models and integrations for securities, analytics, and research workflows; made Wellington's internal Fixed Income research accessible and searchable to all investors for the first time</w:t>
      </w:r>
    </w:p>
    <w:p w:rsidR="00000000" w:rsidDel="00000000" w:rsidP="00000000" w:rsidRDefault="00000000" w:rsidRPr="00000000" w14:paraId="0000005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3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Target Capture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US Multi-Strategy · Emerging Market Debt · Global Bond  ·  2014 –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Architected and owned Target Capture — replacing manual spreadsheet-based PM workflows with a centralized platform supporting active weight target management across sectors and securities in multiple sizing terms: MV%, CTD, CTSD, CTDTS, and CTIActiveRisk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Deployed across three desks managing ~$1B in notional; built integrated trade generation, performance attribution, and risk analytics; connected to downstream compliance and portfolio management systems for daily automated rebalancing</w:t>
      </w:r>
    </w:p>
    <w:p w:rsidR="00000000" w:rsidDel="00000000" w:rsidP="00000000" w:rsidRDefault="00000000" w:rsidRPr="00000000" w14:paraId="0000005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3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Rapid Solutions Team — Fixed Income Portal &amp; Bank Loan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Currency · Bank Loans · Multi-Boutique Fixed Income  · 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Led a combined team of engineers and business analysts on Wellington's Rapid Solutions team — purpose-built to deliver investor tools outside traditional development cycles, with direct PM/PA access and weekly production releases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Delivered Bank Loan legal document workflow system, Currency Order Workstation, TBA Roll System, Asset In-Kind Transfer System, Credit Research System, and multiple data feeds — all through a central role-based web portal</w:t>
      </w:r>
    </w:p>
    <w:p w:rsidR="00000000" w:rsidDel="00000000" w:rsidP="00000000" w:rsidRDefault="00000000" w:rsidRPr="00000000" w14:paraId="00000060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right" w:leader="none" w:pos="9360"/>
        </w:tabs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Sapient Corporation  ·  Client: Wellington Management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2006 – January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Embedded Technology Consultant  ·  Boston, 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3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Structured Products Platform &amp; Federal Reserve Mandate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Structured Products — RMBS · CMBS · ABS · CLO  ·  2008 –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Following the 2008 housing market crash, Wellington was selected to manage a large Federal Reserve mandate; embedded directly with the Structured Products desk to design and deliver production technology across RMBS, CMBS, ABS, and CLO asset classes under significant regulatory pressure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Designed and built the Structured Products Datamart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sourcing large-scale datasets from Intex; architected the Structured Product Analyzer (SPA) — a real-time cashflow scenario analysis tool integrating with Intex Solver API and Grid Computing for near-real-time results at scale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Built a dedicated Fed data feed and regulatory reporting tool meeting stringent data quality, format, and audit standards required under the mandate; coordinated with compliance and operations for timely, audit-ready submissions</w:t>
      </w:r>
    </w:p>
    <w:p w:rsidR="00000000" w:rsidDel="00000000" w:rsidP="00000000" w:rsidRDefault="00000000" w:rsidRPr="00000000" w14:paraId="0000006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3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Investment Strategy Workbench (ISW)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Global Bond Desk  ·  2006 – 2007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Architected and owned ISW — a performance attribution platform for Wellington's Global Bond desk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measuring contribution to return for abstract investment strategies across international sovereign bond markets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including German Bunds and UK Gilts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Bridged the gap between theoretical strategy construction and realized P&amp;L, giving PMs a systematic daily view of how yield curve ideas translated into performance across market-value and CTD-sized positions</w:t>
      </w:r>
    </w:p>
    <w:p w:rsidR="00000000" w:rsidDel="00000000" w:rsidP="00000000" w:rsidRDefault="00000000" w:rsidRPr="00000000" w14:paraId="0000006E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right" w:leader="none" w:pos="9360"/>
        </w:tabs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Sapient Corporation 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August 2000 – 2006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Track Lead · Infrastructure Lead · System Architect  ·  Multiple client locations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3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Cinergy Corporation — REAP Risk Engine &amp; Portfolio Optimization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Energy Trading · Power · Gas · Coal · Propane · Emissions  ·  March 2003 – February 2006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Cincinnati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 OH · Houston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 TX · Bangalore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 IN · New Delhi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18"/>
          <w:szCs w:val="18"/>
          <w:rtl w:val="0"/>
        </w:rPr>
        <w:t xml:space="preserve">Phase 1 — Market Risk · REAP  (Track Lead, 2003–2004)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Defined the end-to-end technical architecture for the REAP risk platform — foundational design reused across all subsequent phases; architected a data warehouse capturing deal and curve data hourly across a 25-year forward horizon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Implemented Monte Carlo simulation-based VaR engine with configurable parameter management; designed 3D analytical risk visualizations using In3D Visual Insight integrated via TIBCO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Presented 3D visual risk tools directly to the Cinergy Board of Directors in partnership with the company's Chief Risk Manager; contributed to business development that grew a small engagement into a major multi-year Sapient account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Led a team of 15 developers; managed all code and non-code releases, UAT, and production cutover; conducted hiring and team onboarding</w:t>
      </w:r>
    </w:p>
    <w:p w:rsidR="00000000" w:rsidDel="00000000" w:rsidP="00000000" w:rsidRDefault="00000000" w:rsidRPr="00000000" w14:paraId="0000007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18"/>
          <w:szCs w:val="18"/>
          <w:rtl w:val="0"/>
        </w:rPr>
        <w:t xml:space="preserve">Phase 2 — Portfolio Optimization · Power  (Track Lead &amp; Infrastructure Lead, 2004)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Built a Grid Computing system for nightly batch job scheduling across the optimization platform; worked directly with HP to procure and configure large-capacity servers; diagnosed and resolved 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critical server overheating issue by identifying a BIOS firmware upgrade as the root cause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Built a centralized SOAP-based valuation service consumed across the Cinergy organization; managed 8 senior developers (team of 28 total); prepared and presented project dashboards to client senior leadership and steering committee</w:t>
      </w:r>
    </w:p>
    <w:p w:rsidR="00000000" w:rsidDel="00000000" w:rsidP="00000000" w:rsidRDefault="00000000" w:rsidRPr="00000000" w14:paraId="0000007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18"/>
          <w:szCs w:val="18"/>
          <w:rtl w:val="0"/>
        </w:rPr>
        <w:t xml:space="preserve">Phase 3 — Fuels &amp; Multi-Commodity + Offshore Build  (Track Lead, 2004–2005)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Founded and built the offshore delivery team in Bangalore — hired, onboarded, and ramped 6 engineers; established 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cross-geography delivery model connecting Bangalore with client operations in Cincinnati and Houston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Extended the optimization platform to cover Gas, Coal, Propane, and Emissions; defined incremental release plans; instituted long-term production support processes for EOD operations</w:t>
      </w:r>
    </w:p>
    <w:p w:rsidR="00000000" w:rsidDel="00000000" w:rsidP="00000000" w:rsidRDefault="00000000" w:rsidRPr="00000000" w14:paraId="0000008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18"/>
          <w:szCs w:val="18"/>
          <w:rtl w:val="0"/>
        </w:rPr>
        <w:t xml:space="preserve">Phase 4 — Regulated/Deregulated Compliance Split  (System Architect &amp; Sole Delivery Lead, 2005–2006)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Sole Delivery Lead on a fixed-time, fixed-budget FERC regulatory compliance program — no schedule or cost overrun; regularly attended Cinergy Board of Directors meetings to provide program status updates directly to the Chief Risk Officer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Architected data-level and application-level security split across 8 systems (CMA, RMA, Risk Portal, Reconciliation, Ad-Hoc Analysis, Crystal Reports, Visual Insights, Reporting Tree) with Active Directory-based access controls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Managed full vendor transition — structured handoff of all applications and documentation to the incoming support vendor; worked closely with Cinergy developers and support staff throughout knowledge transfer</w:t>
      </w:r>
    </w:p>
    <w:p w:rsidR="00000000" w:rsidDel="00000000" w:rsidP="00000000" w:rsidRDefault="00000000" w:rsidRPr="00000000" w14:paraId="0000008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3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NYISO — New York Independent System Operator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Open Scheduling System (OSS) — Statewide Power Grid Market Platform  ·  March 2002 – February 2003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Albany, NY  ·  Travel: Boston–Albany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Built core components of OSS — the platform enabling market participants across New York State to schedule power usage and submit price bids through the Day-Ahead Market (DAM) and Hour-Ahead Market (HAM)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Contributed to technical architecture and business system specifications; built production Swing modules and supported integration with the PJM grid operator interface</w:t>
      </w:r>
    </w:p>
    <w:p w:rsidR="00000000" w:rsidDel="00000000" w:rsidP="00000000" w:rsidRDefault="00000000" w:rsidRPr="00000000" w14:paraId="0000008A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Notable: Had code reviewed by Grady Booch, co-creator of UML and pioneer of object-oriented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3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Royal Bank of Scotland  ·  Foreign Exchange Micro Payments (FXMP)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London, UK  ·  November 2001 – March 2002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Designed and developed Swing-based trading screens for FX rate viewing and transaction execution; built and deployed EJB components integrating FXMP with Rates and Blending engines</w:t>
      </w:r>
    </w:p>
    <w:p w:rsidR="00000000" w:rsidDel="00000000" w:rsidP="00000000" w:rsidRDefault="00000000" w:rsidRPr="00000000" w14:paraId="0000008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3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Janus Institutional Investors  ·  Institutional Sales Self-Service Toolbox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Denver, CO  ·  March 2001 – November 2001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Owned infrastructure across 11 servers and 13 integrated software components; implemented and maintained single sign-on via SiteMinder; served as DBA and central point of contact for all third-party vendors and deployment issues</w:t>
      </w:r>
    </w:p>
    <w:p w:rsidR="00000000" w:rsidDel="00000000" w:rsidP="00000000" w:rsidRDefault="00000000" w:rsidRPr="00000000" w14:paraId="0000009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3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PowerShare Inc  ·  Online Trading &amp; Portfolio Management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Westboro, MA  ·  August 2000 – February 2001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Module lead for a Java Swing-based trading SaaS targeting the Indian market; designed and built a configurable rules engine, real-time Reuters ticker feed via TIBCO messaging, and owned all functional and technical aspects of the PS-Tools module</w:t>
      </w:r>
    </w:p>
    <w:p w:rsidR="00000000" w:rsidDel="00000000" w:rsidP="00000000" w:rsidRDefault="00000000" w:rsidRPr="00000000" w14:paraId="00000097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Notable: Demoed the platform to an ICICI Bank-backed VC group; presented directly to KV Kamath and Lalita Gupte.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CONSULTING &amp; ENGAGEMENT MANAGEMENT  (SAPIENT CORPORATION, 2000–2013)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bottom w:color="cccccc" w:space="1" w:sz="4" w:val="single"/>
        </w:pBd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Managed client contracts, change orders, and scope negotiations across multiple engagements; provided revenue forecasting and budget guidance to Sapient Finance teams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Delivered against fixed-time, fixed-budget commercial structures across regulated industries; presented at Board and C-suite level (Cinergy Board of Directors / Chief Risk Officer)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Led planning exercises with clients and multi-vendor partner groups; conducted structured requirements-gathering with business stakeholders across financial services and energy trading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Built and grew teams from scratch onshore and offshore; conducted numerous hiring interviews; founded the Bangalore offshore delivery team for the Cinergy engagement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Managed complete knowledge transition at engagement close — worked closely with client developers, support staff, and incoming vendors to ensure fully supported handoffs on every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bottom w:color="cccccc" w:space="1" w:sz="4" w:val="single"/>
        </w:pBd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gridCol w:w="3360"/>
        <w:tblGridChange w:id="0">
          <w:tblGrid>
            <w:gridCol w:w="6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Wharton School, University of Pennsylvania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Executive CTO 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UC Berkeley School of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A5">
            <w:pPr>
              <w:rPr>
                <w:color w:val="555555"/>
              </w:rPr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Master of Information &amp; Data Science (MIDS)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Cochin University of Science and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color w:val="555555"/>
                <w:sz w:val="20"/>
                <w:szCs w:val="20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Bachelor's in Computer Science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nooprajnair.com/" TargetMode="External"/><Relationship Id="rId7" Type="http://schemas.openxmlformats.org/officeDocument/2006/relationships/hyperlink" Target="https://www.linkedin.com/in/anooprajnai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