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40"/>
          <w:szCs w:val="40"/>
          <w:rtl w:val="0"/>
        </w:rPr>
        <w:t xml:space="preserve">ANOOP RAJ NAIR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>Technology Executive | AI Transformation | Investment Platforms  ·  Wellington Management  ·  Boston, 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Rule="auto"/>
        <w:jc w:val="center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https://anooprajnair.com/</w:t>
        </w:r>
      </w:hyperlink>
      <w:r w:rsidDel="00000000" w:rsidR="00000000" w:rsidRPr="00000000">
        <w:rPr>
          <w:rFonts w:ascii="Arial" w:cs="Arial" w:eastAsia="Arial" w:hAnsi="Arial"/>
          <w:color w:val="555555"/>
          <w:sz w:val="20"/>
          <w:szCs w:val="20"/>
          <w:rtl w:val="0"/>
        </w:rPr>
        <w:t xml:space="preserve">  · 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https://www.linkedin.com/in/anooprajnair/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22"/>
          <w:szCs w:val="22"/>
          <w:rtl w:val="0"/>
        </w:rPr>
        <w:t xml:space="preserve">EXECUTIVE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cccccc" w:space="1" w:sz="4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color w:val="1a1a1a"/>
          <w:sz w:val="20"/>
          <w:szCs w:val="20"/>
          <w:rtl w:val="0"/>
        </w:rPr>
        <w:t>Technology executive and platform leader with 25+ years architecting and delivering mission-critical systems across asset management, capital markets, and energy trading. Known for translating strategic priorities into enterprise execution, I have led technology transformations spanning investment enablement, platform modernization, and organizational scaling. My experience includes building distributed teams, managing multimillion-dollar initiatives, partnering with CIO and investment leadership, and modernizing institutional platforms through AI-assisted engineering practices. I specialize in building technology that empowers investors, enables alpha generation, improves risk transparency, and evolves with the changing demands of global financial markets.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cccccc" w:space="1" w:sz="4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22"/>
          <w:szCs w:val="22"/>
          <w:rtl w:val="0"/>
        </w:rPr>
        <w:t>EXECUTIVE IMPACT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cccccc" w:space="1" w:sz="4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Supported investment workflows used by more than 1,000 investment professionals.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Led enterprise platform initiatives spanning diverse investment boutiques and operating models.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Helped establish the technology foundation supporting the firm's multi-strategy hedge fund growth initiatives.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Managed consulting programs with multimillion-dollar annual budgets and executive accountability.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Built and led distributed organizations across the United States and India.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Presented roadmaps and strategic trade-offs to CIO leadership, senior investment stakeholders, and steering committees.</w:t>
      </w:r>
    </w:p>
    <w:p w:rsidR="00000000" w:rsidDel="00000000" w:rsidP="00000000" w:rsidRDefault="00000000" w:rsidRPr="00000000" w14:paraId="00000005">
      <w:pPr>
        <w:pBdr>
          <w:bottom w:color="cccccc" w:space="1" w:sz="4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22"/>
          <w:szCs w:val="22"/>
          <w:rtl w:val="0"/>
        </w:rPr>
        <w:t xml:space="preserve">CORE COMPETENCIES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bottom w:color="cccccc" w:space="1" w:sz="4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44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Investment Platforms</w:t>
            </w:r>
          </w:p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44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Portfolio Analytics &amp; Attribution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44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Multi-Strategy Hedge Funds &amp; Real-Time Systems</w:t>
            </w:r>
          </w:p>
          <w:p>
            <w:r/>
          </w:p>
          <w:p>
            <w:r/>
          </w:p>
          <w:p>
            <w:r/>
          </w:p>
          <w:p>
            <w:r/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44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Enterprise Transformation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44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Platform Strategy &amp; Shared Integration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44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Technology Modernization</w:t>
            </w:r>
          </w:p>
          <w:p>
            <w:r/>
          </w:p>
          <w:p>
            <w:r/>
          </w:p>
          <w:p>
            <w:r/>
          </w:p>
          <w:p>
            <w:r/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44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Executive Leadership &amp; AI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44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CIO &amp; Steering Committee Partnership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440" w:right="0" w:hanging="28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1a1a1a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>Financial Stewardship &amp; Global Delivery</w:t>
            </w:r>
          </w:p>
          <w:p>
            <w:r/>
          </w:p>
          <w:p>
            <w:r/>
          </w:p>
          <w:p>
            <w:r/>
          </w:p>
          <w:p>
            <w:r/>
          </w:p>
        </w:tc>
      </w:tr>
    </w:tbl>
    <w:p w:rsidR="00000000" w:rsidDel="00000000" w:rsidP="00000000" w:rsidRDefault="00000000" w:rsidRPr="00000000" w14:paraId="00000013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22"/>
          <w:szCs w:val="2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bottom w:color="cccccc" w:space="1" w:sz="4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7760"/>
        <w:tblGridChange w:id="0">
          <w:tblGrid>
            <w:gridCol w:w="1600"/>
            <w:gridCol w:w="77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55555"/>
                <w:sz w:val="19"/>
                <w:szCs w:val="19"/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Java, SQL/PL-SQL, Perl, JavaScript/TypeScript, Python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55555"/>
                <w:sz w:val="19"/>
                <w:szCs w:val="19"/>
                <w:rtl w:val="0"/>
              </w:rPr>
              <w:t xml:space="preserve">Cloud &amp;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AWS (EC2, Lambda, S3, Redshift, EMR, Athena), Hadoop HDFS, Apache Spark, Apache Hive, Elastic Search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55555"/>
                <w:sz w:val="19"/>
                <w:szCs w:val="19"/>
                <w:rtl w:val="0"/>
              </w:rPr>
              <w:t xml:space="preserve">Frameworks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GraphQL, React JS, Node.js, OpenFin, Socket.io, Redis, Grid Computing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55555"/>
                <w:sz w:val="19"/>
                <w:szCs w:val="19"/>
                <w:rtl w:val="0"/>
              </w:rPr>
              <w:t xml:space="preserve">Data &amp; Analytics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Bloomberg B-PIPE, Intex API, Oracle, Investment View Library, TIBCO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55555"/>
                <w:sz w:val="19"/>
                <w:szCs w:val="19"/>
                <w:rtl w:val="0"/>
              </w:rPr>
              <w:t xml:space="preserve">Tools &amp; Platforms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Claude Code CLI, IBM Tivoli Maestro, Tableau, Crystal Reports, In3D Visual Insight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55555"/>
                <w:sz w:val="19"/>
                <w:szCs w:val="19"/>
                <w:rtl w:val="0"/>
              </w:rPr>
              <w:t xml:space="preserve">Databases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1a"/>
                <w:sz w:val="19"/>
                <w:szCs w:val="19"/>
                <w:rtl w:val="0"/>
              </w:rPr>
              <w:t xml:space="preserve">Oracle 9i/11g, Amazon Redshift, DynamoDB, Sybase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22"/>
          <w:szCs w:val="22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bottom w:color="cccccc" w:space="1" w:sz="4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right" w:leader="none" w:pos="9360"/>
        </w:tabs>
        <w:spacing w:after="4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Wellington Management Company LLP </w:t>
      </w: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January 2013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>Technology Executive &amp; Platform Leader · Principal Software Engineer, Vice President  ·  Boston, 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>Investment View Library — AI Modernization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>Core Investment Technology · Firm-Wide  ·  2026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Leading the modernization of Wellington's foundational portfolio analytics engine using AI-assisted engineering practices to evolve more than a decade of institutional knowledge into a maintainable, extensible, and high-performance architecture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Modernizing a core analytics platform responsible for columnar portfolio calculations across equities, fixed income, derivatives, structured products, and alternative investments while preserving specialized investment rules accumulated over years of operational experience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Improving code readability, maintainability, extensibility, and developer productivity through contemporary engineering approaches and modern Java capabilities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Leveraging AI-assisted development practices to accelerate architectural exploration and implementation while maintaining the rigor required for institutional investing</w:t>
      </w:r>
    </w:p>
    <w:p w:rsidR="00000000" w:rsidDel="00000000" w:rsidP="00000000" w:rsidRDefault="00000000" w:rsidRPr="00000000" w14:paraId="0000002C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Alpine Data Engine — Real-Time Investment Analytics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>Next-Generation Investment Platform · Multi-Strategy Hedge Funds · Alternatives  ·  2023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30" w:before="1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18"/>
          <w:szCs w:val="18"/>
          <w:rtl w:val="0"/>
        </w:rPr>
        <w:t>Strategic Platform Leadership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Led the development of the data foundation supporting Wellington's next generation of investment platforms and multi-strategy hedge fund initiatives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Introduced capabilities previously unavailable within Wellington's investment ecosystem, including real-time Bloomberg pricing, integrated intraday P&amp;L, portfolio risk analytics, and what-if scenario modeling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Unified portfolio analytics, market data, P&amp;L, risk, and aggregation capabilities into a single investor workflow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Enabled investors to analyze both current and historical positions using customizable aggregation models tailored to their investment processes; built a scalable architecture designed to evolve alongside modernization across portfolio, P&amp;L, reference data, and upstream investment platforms</w:t>
      </w:r>
    </w:p>
    <w:p w:rsidR="00000000" w:rsidDel="00000000" w:rsidP="00000000" w:rsidRDefault="00000000" w:rsidRPr="00000000" w14:paraId="00000034">
      <w:pPr>
        <w:spacing w:after="30" w:before="1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18"/>
          <w:szCs w:val="18"/>
          <w:rtl w:val="0"/>
        </w:rPr>
        <w:t xml:space="preserve">Team Leadership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Lead a team of senior engineers while partnering closely with CIO leadership, product management, and investment teams to prioritize capabilities and drive adoption across diverse investment businesses</w:t>
      </w:r>
    </w:p>
    <w:p w:rsidR="00000000" w:rsidDel="00000000" w:rsidP="00000000" w:rsidRDefault="00000000" w:rsidRPr="00000000" w14:paraId="00000036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>ESG Analytics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Firm-Wide · ESG / Sustainable Investing  ·  2021 –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Partnered with quantitative leadership to translate evolving ESG methodologies into scalable investment capabilities; designed and implemented centralized ESG calculations supporting portfolio and aggregate-level analytics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Enabled computation of metrics including Weighted Average Carbon Intensity (WACI), Carbon Emissions Scope 1, 2, and 3, and Implied Temperature Rise within governed investment workflows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Delivered auditable ESG analytics exposed directly within investment tools, allowing portfolio managers to monitor alignment with Net Zero objectives; established a single authoritative source consumed across investment applications</w:t>
      </w:r>
    </w:p>
    <w:p w:rsidR="00000000" w:rsidDel="00000000" w:rsidP="00000000" w:rsidRDefault="00000000" w:rsidRPr="00000000" w14:paraId="0000003C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PRISM — Firm-Wide GraphQL Data Layer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Firm-Wide Investment Technology Platform  · 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Led the exposure of Wellington's Portfolio Position, Analytics, and Aggregation data through PRISM — the firm's GraphQL data layer aggregating all data producers, databases, and microservices into a single canonical API surface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Integrated with the Investment View library to expose end-of-day holdings, pricing, and computed portfolio analytics; designed data contracts, schema definitions, and access patterns for consumers across the firm</w:t>
      </w:r>
    </w:p>
    <w:p w:rsidR="00000000" w:rsidDel="00000000" w:rsidP="00000000" w:rsidRDefault="00000000" w:rsidRPr="00000000" w14:paraId="00000041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>Mosaic — Enterprise Investment Platform Strategy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Firm-Wide · Fixed Income · Cross-Asset  ·  2019 –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Helped establish Wellington's enterprise investment platform strategy by introducing shared capabilities across independently operating investment businesses while preserving the flexibility that differentiated their investment approaches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Consolidated vendor integrations and reduced fragmentation across the investment technology landscape; established reusable platform capabilities that accelerated delivery of new investment applications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Simplified onboarding of new solutions into a common investment ecosystem; supported enterprise modernization without disrupting existing investor workflows</w:t>
      </w:r>
    </w:p>
    <w:p w:rsidR="00000000" w:rsidDel="00000000" w:rsidP="00000000" w:rsidRDefault="00000000" w:rsidRPr="00000000" w14:paraId="00000047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ARIA — Analyst Research Impact and Accuracy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Investment Grade · High Yield Fixed Income  ·  2017 –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30" w:before="1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18"/>
          <w:szCs w:val="18"/>
          <w:rtl w:val="0"/>
        </w:rPr>
        <w:t xml:space="preserve">Platform &amp; Quantitative 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Architected and delivered ARIA — a specialized performance attribution platform quantifying the research skill of Fixed Income credit analysts across IG and HY desks; no industry-standard solution existed for this problem at the time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Partnered directly with Wellington's Chief Fixed Income Strategist to translate complex quantitative evaluation models (DTS-based exposure normalization, RUDTS accuracy scoring, benchmark-relative alignment) into production engineering specifications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Implemented attribution engine decomposing portfolio alpha into aligned, misaligned, and uncovered contributions; built linked multi-period attribution with market-value weighted aggregation and smoothing across hundreds of accounts</w:t>
      </w:r>
    </w:p>
    <w:p w:rsidR="00000000" w:rsidDel="00000000" w:rsidP="00000000" w:rsidRDefault="00000000" w:rsidRPr="00000000" w14:paraId="0000004E">
      <w:pPr>
        <w:spacing w:after="30" w:before="1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18"/>
          <w:szCs w:val="18"/>
          <w:rtl w:val="0"/>
        </w:rPr>
        <w:t xml:space="preserve">Data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Designed a large-scale data pipeline on AWS and Hadoop sourcing from six internal systems; orchestrated daily batch via IBM Tivoli Maestro; built EMR/HDFS assimilation layer with Spark/Hive computation; surfaced results in Amazon Athena and Tableau for senior management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Replaced manual spreadsheet-based analyst evaluation with a systematic, daily, firm-wide attribution system — enabling Fixed Income Senior Management to objectively measure credit analyst skill across recommendation categories for the first time at Wellington</w:t>
      </w:r>
    </w:p>
    <w:p w:rsidR="00000000" w:rsidDel="00000000" w:rsidP="00000000" w:rsidRDefault="00000000" w:rsidRPr="00000000" w14:paraId="00000051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Investor LaunchPad (ILP) — Fixed Income Expansion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Investment Grade · High Yield · EM Corporate · EM Sovereign · Municipal · Insurance/BL  · 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Extended Investor LaunchPad — Wellington's existing firm-wide research and collaboration platform (originally Equity-only) to cover the full Fixed Income universe; onboarded six Fixed Income desks serving ~1,000 active users firm-wide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Designed Fixed Income-specific data models and integrations for securities, analytics, and research workflows; made Wellington's internal Fixed Income research accessible and searchable to all investors for the first time</w:t>
      </w:r>
    </w:p>
    <w:p w:rsidR="00000000" w:rsidDel="00000000" w:rsidP="00000000" w:rsidRDefault="00000000" w:rsidRPr="00000000" w14:paraId="00000056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Target Capture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US Multi-Strategy · Emerging Market Debt · Global Bond  ·  2014 – 2015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Architected and owned Target Capture — replacing manual spreadsheet-based PM workflows with a centralized platform supporting active weight target management across sectors and securities in multiple sizing terms: MV%, CTD, CTSD, CTDTS, and CTIActiveRisk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Deployed across three desks managing ~$1B in notional; built integrated trade generation, performance attribution, and risk analytics; connected to downstream compliance and portfolio management systems for daily automated rebalancing</w:t>
      </w:r>
    </w:p>
    <w:p w:rsidR="00000000" w:rsidDel="00000000" w:rsidP="00000000" w:rsidRDefault="00000000" w:rsidRPr="00000000" w14:paraId="0000005B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Rapid Solutions Team — Fixed Income Portal &amp; Bank Loan Workflow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Currency · Bank Loans · Multi-Boutique Fixed Income  · 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Led a combined team of engineers and business analysts on Wellington's Rapid Solutions team — purpose-built to deliver investor tools outside traditional development cycles, with direct PM/PA access and weekly production releases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Delivered Bank Loan legal document workflow system, Currency Order Workstation, TBA Roll System, Asset In-Kind Transfer System, Credit Research System, and multiple data feeds — all through a central role-based web portal</w:t>
      </w:r>
    </w:p>
    <w:p w:rsidR="00000000" w:rsidDel="00000000" w:rsidP="00000000" w:rsidRDefault="00000000" w:rsidRPr="00000000" w14:paraId="00000060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tabs>
          <w:tab w:val="right" w:leader="none" w:pos="9360"/>
        </w:tabs>
        <w:spacing w:after="4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>Sapient Corporation  ·  Client: Wellington Management  ·  2006 – January 2013</w:t>
      </w: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Embedded Technology Consultant  ·  Boston, 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Structured Products Platform &amp; Federal Reserve Mandate Technology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Structured Products — RMBS · CMBS · ABS · CLO  ·  2008 – 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Following the 2008 housing market crash, Wellington was selected to manage a large Federal Reserve mandate; embedded directly with the Structured Products desk to design and deliver production technology across RMBS, CMBS, ABS, and CLO asset classes under significant regulatory pressure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Designed and built the Structured Products Datamart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 sourcing large-scale datasets from Intex; architected the Structured Product Analyzer (SPA) — a real-time cashflow scenario analysis tool integrating with Intex Solver API and Grid Computing for near-real-time results at scale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Built a dedicated Fed data feed and regulatory reporting tool meeting stringent data quality, format, and audit standards required under the mandate; coordinated with compliance and operations for timely, audit-ready submissions</w:t>
      </w:r>
    </w:p>
    <w:p w:rsidR="00000000" w:rsidDel="00000000" w:rsidP="00000000" w:rsidRDefault="00000000" w:rsidRPr="00000000" w14:paraId="00000069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Investment Strategy Workbench (ISW)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Global Bond Desk  ·  2006 – 2007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Architected and owned ISW — a performance attribution platform for Wellington's Global Bond desk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 measuring contribution to return for abstract investment strategies across international sovereign bond markets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 including German Bunds and UK Gilts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Bridged the gap between theoretical strategy construction and realized P&amp;L, giving PMs a systematic daily view of how yield curve ideas translated into performance across market-value and CTD-sized positions</w:t>
      </w:r>
    </w:p>
    <w:p w:rsidR="00000000" w:rsidDel="00000000" w:rsidP="00000000" w:rsidRDefault="00000000" w:rsidRPr="00000000" w14:paraId="0000006E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tabs>
          <w:tab w:val="right" w:leader="none" w:pos="9360"/>
        </w:tabs>
        <w:spacing w:after="40" w:before="1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Sapient Corporation </w:t>
      </w: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August 2000 – 2006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Track Lead · Infrastructure Lead · System Architect  ·  Multiple client locations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>Cinergy Corporation — REAP Risk Engine &amp; Portfolio Optimization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Energy Trading · Power · Gas · Coal · Propane · Emissions  ·  March 2003 – February 2006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Cincinnati</w:t>
      </w:r>
      <w:r w:rsidDel="00000000" w:rsidR="00000000" w:rsidRPr="00000000">
        <w:rPr>
          <w:i w:val="1"/>
          <w:iCs w:val="1"/>
          <w:color w:val="555555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 OH · Houston</w:t>
      </w:r>
      <w:r w:rsidDel="00000000" w:rsidR="00000000" w:rsidRPr="00000000">
        <w:rPr>
          <w:i w:val="1"/>
          <w:iCs w:val="1"/>
          <w:color w:val="555555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 TX · Bangalore</w:t>
      </w:r>
      <w:r w:rsidDel="00000000" w:rsidR="00000000" w:rsidRPr="00000000">
        <w:rPr>
          <w:i w:val="1"/>
          <w:iCs w:val="1"/>
          <w:color w:val="555555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 IN · New Delhi</w:t>
      </w:r>
      <w:r w:rsidDel="00000000" w:rsidR="00000000" w:rsidRPr="00000000">
        <w:rPr>
          <w:i w:val="1"/>
          <w:iCs w:val="1"/>
          <w:color w:val="555555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 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30" w:before="1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18"/>
          <w:szCs w:val="18"/>
          <w:rtl w:val="0"/>
        </w:rPr>
        <w:t>Executive Leadership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Led large-scale technology programs spanning market risk, optimization, and regulatory initiatives in a complex energy trading environment.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Built and led organizations of more than 20 professionals across the United States and India, including managers, senior engineers, offshore teams, and project leadership.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Managed multimillion-dollar consulting programs involving forecasting, scope governance, change management, and executive accountability.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>Presented program status, risks, and strategic trade-offs to senior leadership and board-level stakeholders.</w:t>
      </w:r>
    </w:p>
    <w:p w:rsidR="00000000" w:rsidDel="00000000" w:rsidP="00000000" w:rsidRDefault="00000000" w:rsidRPr="00000000" w14:paraId="00000075">
      <w:pPr>
        <w:spacing w:after="30" w:before="1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18"/>
          <w:szCs w:val="18"/>
          <w:rtl w:val="0"/>
        </w:rPr>
        <w:t xml:space="preserve">Phase 1 — Market Risk · REAP  (Track Lead, 2003–2004)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Defined the end-to-end technical architecture for the REAP risk platform — foundational design reused across all subsequent phases; architected a data warehouse capturing deal and curve data hourly across a 25-year forward horizon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Implemented Monte Carlo simulation-based VaR engine with configurable parameter management; designed 3D analytical risk visualizations using In3D Visual Insight integrated via TIBCO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Presented 3D visual risk tools directly to the Cinergy Board of Directors in partnership with the company's Chief Risk Manager; contributed to business development that grew a small engagement into a major multi-year Sapient account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Led a team of 15 developers; managed all code and non-code releases, UAT, and production cutover; conducted hiring and team onboarding</w:t>
      </w:r>
    </w:p>
    <w:p w:rsidR="00000000" w:rsidDel="00000000" w:rsidP="00000000" w:rsidRDefault="00000000" w:rsidRPr="00000000" w14:paraId="0000007A">
      <w:pPr>
        <w:spacing w:after="30" w:before="1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18"/>
          <w:szCs w:val="18"/>
          <w:rtl w:val="0"/>
        </w:rPr>
        <w:t xml:space="preserve">Phase 2 — Portfolio Optimization · Power  (Track Lead &amp; Infrastructure Lead, 2004)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Built a Grid Computing system for nightly batch job scheduling across the optimization platform; worked directly with HP to procure and configure large-capacity servers; diagnosed and resolved </w:t>
      </w: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critical server overheating issue by identifying a BIOS firmware upgrade as the root cause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Built a centralized SOAP-based valuation service consumed across the Cinergy organization; managed 8 senior developers (team of 28 total); prepared and presented project dashboards to client senior leadership and steering committee</w:t>
      </w:r>
    </w:p>
    <w:p w:rsidR="00000000" w:rsidDel="00000000" w:rsidP="00000000" w:rsidRDefault="00000000" w:rsidRPr="00000000" w14:paraId="0000007D">
      <w:pPr>
        <w:spacing w:after="30" w:before="1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18"/>
          <w:szCs w:val="18"/>
          <w:rtl w:val="0"/>
        </w:rPr>
        <w:t xml:space="preserve">Phase 3 — Fuels &amp; Multi-Commodity + Offshore Build  (Track Lead, 2004–2005)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Founded and built the offshore delivery team in Bangalore — hired, onboarded, and ramped 6 engineers; established </w:t>
      </w: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cross-geography delivery model connecting Bangalore with client operations in Cincinnati and Houston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Extended the optimization platform to cover Gas, Coal, Propane, and Emissions; defined incremental release plans; instituted long-term production support processes for EOD operations</w:t>
      </w:r>
    </w:p>
    <w:p w:rsidR="00000000" w:rsidDel="00000000" w:rsidP="00000000" w:rsidRDefault="00000000" w:rsidRPr="00000000" w14:paraId="00000080">
      <w:pPr>
        <w:spacing w:after="30" w:before="1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18"/>
          <w:szCs w:val="18"/>
          <w:rtl w:val="0"/>
        </w:rPr>
        <w:t xml:space="preserve">Phase 4 — Regulated/Deregulated Compliance Split  (System Architect &amp; Sole Delivery Lead, 2005–2006)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Sole Delivery Lead on a fixed-time, fixed-budget FERC regulatory compliance program — no schedule or cost overrun; regularly attended Cinergy Board of Directors meetings to provide program status updates directly to the Chief Risk Officer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Architected data-level and application-level security split across 8 systems (CMA, RMA, Risk Portal, Reconciliation, Ad-Hoc Analysis, Crystal Reports, Visual Insights, Reporting Tree) with Active Directory-based access controls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Managed full vendor transition — structured handoff of all applications and documentation to the incoming support vendor; worked closely with Cinergy developers and support staff throughout knowledge transfer</w:t>
      </w:r>
    </w:p>
    <w:p w:rsidR="00000000" w:rsidDel="00000000" w:rsidP="00000000" w:rsidRDefault="00000000" w:rsidRPr="00000000" w14:paraId="00000084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NYISO — New York Independent System Operator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Open Scheduling System (OSS) — Statewide Power Grid Market Platform  ·  March 2002 – February 2003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Albany, NY  ·  Travel: Boston–Albany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Built core components of OSS — the platform enabling market participants across New York State to schedule power usage and submit price bids through the Day-Ahead Market (DAM) and Hour-Ahead Market (HAM)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Contributed to technical architecture and business system specifications; built production Swing modules and supported integration with the PJM grid operator interface</w:t>
      </w:r>
    </w:p>
    <w:p w:rsidR="00000000" w:rsidDel="00000000" w:rsidP="00000000" w:rsidRDefault="00000000" w:rsidRPr="00000000" w14:paraId="0000008A">
      <w:pPr>
        <w:spacing w:after="20" w:before="2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Notable: Had code reviewed by Grady Booch, co-creator of UML and pioneer of object-oriented design.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Royal Bank of Scotland  ·  Foreign Exchange Micro Payments (FXMP)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London, UK  ·  November 2001 – March 2002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Designed and developed Swing-based trading screens for FX rate viewing and transaction execution; built and deployed EJB components integrating FXMP with Rates and Blending engines</w:t>
      </w:r>
    </w:p>
    <w:p w:rsidR="00000000" w:rsidDel="00000000" w:rsidP="00000000" w:rsidRDefault="00000000" w:rsidRPr="00000000" w14:paraId="0000008F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Janus Institutional Investors  ·  Institutional Sales Self-Service Toolbox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Denver, CO  ·  March 2001 – November 2001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Owned infrastructure across 11 servers and 13 integrated software components; implemented and maintained single sign-on via SiteMinder; served as DBA and central point of contact for all third-party vendors and deployment issues</w:t>
      </w:r>
    </w:p>
    <w:p w:rsidR="00000000" w:rsidDel="00000000" w:rsidP="00000000" w:rsidRDefault="00000000" w:rsidRPr="00000000" w14:paraId="00000093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30" w:before="1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1"/>
          <w:szCs w:val="21"/>
          <w:rtl w:val="0"/>
        </w:rPr>
        <w:t xml:space="preserve">PowerShare Inc  ·  Online Trading &amp; Portfolio Management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40" w:before="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Westboro, MA  ·  August 2000 – February 2001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Module lead for a Java Swing-based trading SaaS targeting the Indian market; designed and built a configurable rules engine, real-time Reuters ticker feed via TIBCO messaging, and owned all functional and technical aspects of the PS-Tools module</w:t>
      </w:r>
    </w:p>
    <w:p w:rsidR="00000000" w:rsidDel="00000000" w:rsidP="00000000" w:rsidRDefault="00000000" w:rsidRPr="00000000" w14:paraId="00000097">
      <w:pPr>
        <w:spacing w:after="20" w:before="2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9"/>
          <w:szCs w:val="19"/>
          <w:rtl w:val="0"/>
        </w:rPr>
        <w:t xml:space="preserve">Notable: Demoed the platform to an ICICI Bank-backed VC group; presented directly to KV Kamath and Lalita Gupte.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22"/>
          <w:szCs w:val="22"/>
          <w:rtl w:val="0"/>
        </w:rPr>
        <w:t xml:space="preserve">CONSULTING &amp; ENGAGEMENT MANAGEMENT  (SAPIENT CORPORATION, 2000–2013)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Bdr>
          <w:bottom w:color="cccccc" w:space="1" w:sz="4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Managed client contracts, change orders, and scope negotiations across multiple engagements; provided revenue forecasting and budget guidance to Sapient Finance teams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Delivered against fixed-time, fixed-budget commercial structures across regulated industries; presented at Board and C-suite level (Cinergy Board of Directors / Chief Risk Officer)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Led planning exercises with clients and multi-vendor partner groups; conducted structured requirements-gathering with business stakeholders across financial services and energy trading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Built and grew teams from scratch onshore and offshore; conducted numerous hiring interviews; founded the Bangalore offshore delivery team for the Cinergy engagement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4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Managed complete knowledge transition at engagement close — worked closely with client developers, support staff, and incoming vendors to ensure fully supported handoffs on every program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b3a5c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Bdr>
          <w:bottom w:color="cccccc" w:space="1" w:sz="4" w:val="single"/>
        </w:pBdr>
        <w:spacing w:after="80" w:before="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3360"/>
        <w:tblGridChange w:id="0">
          <w:tblGrid>
            <w:gridCol w:w="6000"/>
            <w:gridCol w:w="3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Wharton School, University of Pennsylvania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555555"/>
                <w:sz w:val="20"/>
                <w:szCs w:val="20"/>
                <w:rtl w:val="0"/>
              </w:rPr>
              <w:t xml:space="preserve">Executive CTO Program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a1a1a"/>
                <w:sz w:val="20"/>
                <w:szCs w:val="20"/>
                <w:rtl w:val="0"/>
              </w:rPr>
              <w:t xml:space="preserve">UC Berkeley School of Information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A5">
            <w:pPr>
              <w:rPr>
                <w:color w:val="555555"/>
              </w:rPr>
            </w:pPr>
            <w:r w:rsidDel="00000000" w:rsidR="00000000" w:rsidRPr="00000000">
              <w:rPr>
                <w:rFonts w:ascii="Arial" w:cs="Arial" w:eastAsia="Arial" w:hAnsi="Arial"/>
                <w:color w:val="555555"/>
                <w:sz w:val="20"/>
                <w:szCs w:val="20"/>
                <w:rtl w:val="0"/>
              </w:rPr>
              <w:t xml:space="preserve">Master of Information &amp; Data Science (MIDS)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80.0" w:type="dxa"/>
            </w:tcMar>
          </w:tcPr>
          <w:p w:rsidR="00000000" w:rsidDel="00000000" w:rsidP="00000000" w:rsidRDefault="00000000" w:rsidRPr="00000000" w14:paraId="000000A6">
            <w:pPr>
              <w:rPr>
                <w:rFonts w:ascii="Arial" w:cs="Arial" w:eastAsia="Arial" w:hAnsi="Arial"/>
                <w:b w:val="1"/>
                <w:bCs w:val="1"/>
                <w:color w:val="1a1a1a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Cochin University of Science and Technology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40.0" w:type="dxa"/>
              <w:left w:w="0.0" w:type="dxa"/>
              <w:bottom w:w="40.0" w:type="dxa"/>
              <w:right w:w="0.0" w:type="dxa"/>
            </w:tcMar>
          </w:tcPr>
          <w:p w:rsidR="00000000" w:rsidDel="00000000" w:rsidP="00000000" w:rsidRDefault="00000000" w:rsidRPr="00000000" w14:paraId="000000A7">
            <w:pPr>
              <w:rPr>
                <w:rFonts w:ascii="Arial" w:cs="Arial" w:eastAsia="Arial" w:hAnsi="Arial"/>
                <w:color w:val="555555"/>
                <w:sz w:val="20"/>
                <w:szCs w:val="20"/>
              </w:rPr>
            </w:pPr>
            <w:r w:rsidDel="00000000" w:rsidR="00000000" w:rsidRPr="00000000">
              <w:rPr>
                <w:color w:val="555555"/>
                <w:rtl w:val="0"/>
              </w:rPr>
              <w:t xml:space="preserve">Bachelor's in Computer Science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2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40" w:hanging="28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1a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a1a1a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anooprajnair.com/" TargetMode="External"/><Relationship Id="rId7" Type="http://schemas.openxmlformats.org/officeDocument/2006/relationships/hyperlink" Target="https://www.linkedin.com/in/anooprajnai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