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6C42" w:rsidRDefault="009764D7" w:rsidP="006C4675">
      <w:pPr>
        <w:jc w:val="both"/>
        <w:rPr>
          <w:lang w:val="en-US"/>
        </w:rPr>
      </w:pPr>
      <w:r w:rsidRPr="009764D7">
        <w:rPr>
          <w:lang w:val="en-US"/>
        </w:rPr>
        <w:t>This report will present the main res</w:t>
      </w:r>
      <w:r>
        <w:rPr>
          <w:lang w:val="en-US"/>
        </w:rPr>
        <w:t>ults found in the prediction exerc</w:t>
      </w:r>
      <w:r w:rsidRPr="009764D7">
        <w:rPr>
          <w:lang w:val="en-US"/>
        </w:rPr>
        <w:t xml:space="preserve">ise. </w:t>
      </w:r>
    </w:p>
    <w:p w:rsidR="008466F5" w:rsidRDefault="009764D7" w:rsidP="006C4675">
      <w:pPr>
        <w:jc w:val="both"/>
        <w:rPr>
          <w:lang w:val="en-US"/>
        </w:rPr>
      </w:pPr>
      <w:r>
        <w:rPr>
          <w:lang w:val="en-US"/>
        </w:rPr>
        <w:t xml:space="preserve">The accuracy reported by the google team </w:t>
      </w:r>
      <w:r w:rsidR="00C559A8">
        <w:rPr>
          <w:lang w:val="en-US"/>
        </w:rPr>
        <w:t>(around 7</w:t>
      </w:r>
      <w:r w:rsidR="008466F5">
        <w:rPr>
          <w:lang w:val="en-US"/>
        </w:rPr>
        <w:t>7</w:t>
      </w:r>
      <w:r w:rsidR="00C559A8">
        <w:rPr>
          <w:lang w:val="en-US"/>
        </w:rPr>
        <w:t xml:space="preserve">%) </w:t>
      </w:r>
      <w:r>
        <w:rPr>
          <w:lang w:val="en-US"/>
        </w:rPr>
        <w:t xml:space="preserve">is not the real accuracy of a real-life experiment. Google reported the accuracy of its model after dropping draws from the sample. Therefore, their performance is overestimated. When we included draws in our sample, we </w:t>
      </w:r>
      <w:r w:rsidR="008065B9">
        <w:rPr>
          <w:lang w:val="en-US"/>
        </w:rPr>
        <w:t>achieve an accuracy of around 53</w:t>
      </w:r>
      <w:r>
        <w:rPr>
          <w:lang w:val="en-US"/>
        </w:rPr>
        <w:t>% in our test sample. Our performance is better than a random guess (1/3 with a big enough</w:t>
      </w:r>
      <w:r w:rsidR="0052355D">
        <w:rPr>
          <w:lang w:val="en-US"/>
        </w:rPr>
        <w:t xml:space="preserve"> </w:t>
      </w:r>
      <w:r w:rsidR="0052355D">
        <w:rPr>
          <w:lang w:val="en-US"/>
        </w:rPr>
        <w:t>sample</w:t>
      </w:r>
      <w:r>
        <w:rPr>
          <w:lang w:val="en-US"/>
        </w:rPr>
        <w:t>)</w:t>
      </w:r>
      <w:bookmarkStart w:id="0" w:name="_GoBack"/>
      <w:bookmarkEnd w:id="0"/>
      <w:r>
        <w:rPr>
          <w:lang w:val="en-US"/>
        </w:rPr>
        <w:t xml:space="preserve">, but not enough. </w:t>
      </w:r>
      <w:r w:rsidR="00817557">
        <w:rPr>
          <w:lang w:val="en-US"/>
        </w:rPr>
        <w:t>Figure 1 displays t</w:t>
      </w:r>
      <w:r w:rsidR="008466F5">
        <w:rPr>
          <w:lang w:val="en-US"/>
        </w:rPr>
        <w:t xml:space="preserve">he ROC curves obtained through </w:t>
      </w:r>
      <w:proofErr w:type="spellStart"/>
      <w:r w:rsidR="008466F5">
        <w:rPr>
          <w:lang w:val="en-US"/>
        </w:rPr>
        <w:t>google’s</w:t>
      </w:r>
      <w:proofErr w:type="spellEnd"/>
      <w:r w:rsidR="008466F5">
        <w:rPr>
          <w:lang w:val="en-US"/>
        </w:rPr>
        <w:t xml:space="preserve"> algorithm –excluding draws–</w:t>
      </w:r>
      <w:r w:rsidR="00817557">
        <w:rPr>
          <w:lang w:val="en-US"/>
        </w:rPr>
        <w:t>.</w:t>
      </w:r>
    </w:p>
    <w:p w:rsidR="00817557" w:rsidRPr="00817557" w:rsidRDefault="00817557" w:rsidP="006C4675">
      <w:pPr>
        <w:jc w:val="both"/>
        <w:rPr>
          <w:u w:val="single"/>
          <w:lang w:val="en-US"/>
        </w:rPr>
      </w:pPr>
      <w:r w:rsidRPr="00817557">
        <w:rPr>
          <w:u w:val="single"/>
          <w:lang w:val="en-US"/>
        </w:rPr>
        <w:t xml:space="preserve">Figure 1. ROC curves from </w:t>
      </w:r>
      <w:proofErr w:type="spellStart"/>
      <w:r w:rsidRPr="00817557">
        <w:rPr>
          <w:u w:val="single"/>
          <w:lang w:val="en-US"/>
        </w:rPr>
        <w:t>google’s</w:t>
      </w:r>
      <w:proofErr w:type="spellEnd"/>
      <w:r w:rsidRPr="00817557">
        <w:rPr>
          <w:u w:val="single"/>
          <w:lang w:val="en-US"/>
        </w:rPr>
        <w:t xml:space="preserve"> algorithm</w:t>
      </w:r>
    </w:p>
    <w:tbl>
      <w:tblPr>
        <w:tblStyle w:val="Tablaconcuadrcula"/>
        <w:tblW w:w="5000" w:type="pct"/>
        <w:tblLook w:val="04A0" w:firstRow="1" w:lastRow="0" w:firstColumn="1" w:lastColumn="0" w:noHBand="0" w:noVBand="1"/>
      </w:tblPr>
      <w:tblGrid>
        <w:gridCol w:w="8494"/>
      </w:tblGrid>
      <w:tr w:rsidR="000E3A61" w:rsidRPr="000E3A61" w:rsidTr="000E3A61">
        <w:tc>
          <w:tcPr>
            <w:tcW w:w="5000" w:type="pct"/>
            <w:shd w:val="clear" w:color="auto" w:fill="BFBFBF" w:themeFill="background1" w:themeFillShade="BF"/>
          </w:tcPr>
          <w:p w:rsidR="000E3A61" w:rsidRPr="000E3A61" w:rsidRDefault="000E3A61" w:rsidP="000E3A61">
            <w:pPr>
              <w:jc w:val="center"/>
              <w:rPr>
                <w:lang w:val="en-US"/>
              </w:rPr>
            </w:pPr>
            <w:r w:rsidRPr="000E3A61">
              <w:rPr>
                <w:lang w:val="en-US"/>
              </w:rPr>
              <w:t>ROC curve with initial data</w:t>
            </w:r>
          </w:p>
        </w:tc>
      </w:tr>
      <w:tr w:rsidR="000E3A61" w:rsidTr="000E3A61">
        <w:tc>
          <w:tcPr>
            <w:tcW w:w="5000" w:type="pct"/>
            <w:tcBorders>
              <w:bottom w:val="single" w:sz="4" w:space="0" w:color="auto"/>
            </w:tcBorders>
          </w:tcPr>
          <w:p w:rsidR="000E3A61" w:rsidRPr="000E3A61" w:rsidRDefault="000E3A61" w:rsidP="008466F5">
            <w:pPr>
              <w:jc w:val="center"/>
              <w:rPr>
                <w:lang w:val="en-US"/>
              </w:rPr>
            </w:pPr>
            <w:r w:rsidRPr="008466F5">
              <w:rPr>
                <w:noProof/>
                <w:lang w:eastAsia="es-PE"/>
              </w:rPr>
              <w:drawing>
                <wp:inline distT="0" distB="0" distL="0" distR="0" wp14:anchorId="497C0B5B" wp14:editId="36CC803F">
                  <wp:extent cx="2397600" cy="1800000"/>
                  <wp:effectExtent l="0" t="0" r="3175" b="0"/>
                  <wp:docPr id="5" name="Imagen 5" descr="F:\prediction\output\graphs\ROC_po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prediction\output\graphs\ROC_powe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97600" cy="1800000"/>
                          </a:xfrm>
                          <a:prstGeom prst="rect">
                            <a:avLst/>
                          </a:prstGeom>
                          <a:noFill/>
                          <a:ln>
                            <a:noFill/>
                          </a:ln>
                        </pic:spPr>
                      </pic:pic>
                    </a:graphicData>
                  </a:graphic>
                </wp:inline>
              </w:drawing>
            </w:r>
          </w:p>
        </w:tc>
      </w:tr>
      <w:tr w:rsidR="000E3A61" w:rsidRPr="000E3A61" w:rsidTr="000E3A61">
        <w:tc>
          <w:tcPr>
            <w:tcW w:w="5000" w:type="pct"/>
            <w:tcBorders>
              <w:top w:val="single" w:sz="4" w:space="0" w:color="auto"/>
              <w:left w:val="nil"/>
              <w:bottom w:val="nil"/>
              <w:right w:val="nil"/>
            </w:tcBorders>
          </w:tcPr>
          <w:p w:rsidR="000E3A61" w:rsidRPr="000E3A61" w:rsidRDefault="000E3A61" w:rsidP="000E3A61">
            <w:pPr>
              <w:jc w:val="both"/>
              <w:rPr>
                <w:noProof/>
                <w:lang w:val="en-US" w:eastAsia="es-PE"/>
              </w:rPr>
            </w:pPr>
            <w:r w:rsidRPr="000E3A61">
              <w:rPr>
                <w:noProof/>
                <w:sz w:val="20"/>
                <w:lang w:val="en-US" w:eastAsia="es-PE"/>
              </w:rPr>
              <w:t xml:space="preserve">Notes: the blue curve (ROC 3) was generated using </w:t>
            </w:r>
            <w:r>
              <w:rPr>
                <w:noProof/>
                <w:sz w:val="20"/>
                <w:lang w:val="en-US" w:eastAsia="es-PE"/>
              </w:rPr>
              <w:t xml:space="preserve">(i) </w:t>
            </w:r>
            <w:r w:rsidRPr="000E3A61">
              <w:rPr>
                <w:noProof/>
                <w:sz w:val="20"/>
                <w:lang w:val="en-US" w:eastAsia="es-PE"/>
              </w:rPr>
              <w:t>the basic da</w:t>
            </w:r>
            <w:r>
              <w:rPr>
                <w:noProof/>
                <w:sz w:val="20"/>
                <w:lang w:val="en-US" w:eastAsia="es-PE"/>
              </w:rPr>
              <w:t>taset and (ii)</w:t>
            </w:r>
            <w:r w:rsidRPr="000E3A61">
              <w:rPr>
                <w:noProof/>
                <w:sz w:val="20"/>
                <w:lang w:val="en-US" w:eastAsia="es-PE"/>
              </w:rPr>
              <w:t xml:space="preserve"> a “power” attribute. The orange curve (RO</w:t>
            </w:r>
            <w:r>
              <w:rPr>
                <w:noProof/>
                <w:sz w:val="20"/>
                <w:lang w:val="en-US" w:eastAsia="es-PE"/>
              </w:rPr>
              <w:t>C old) includes</w:t>
            </w:r>
            <w:r w:rsidRPr="000E3A61">
              <w:rPr>
                <w:noProof/>
                <w:sz w:val="20"/>
                <w:lang w:val="en-US" w:eastAsia="es-PE"/>
              </w:rPr>
              <w:t xml:space="preserve"> only the former.   </w:t>
            </w:r>
          </w:p>
        </w:tc>
      </w:tr>
    </w:tbl>
    <w:p w:rsidR="008466F5" w:rsidRDefault="008466F5" w:rsidP="006C4675">
      <w:pPr>
        <w:jc w:val="both"/>
        <w:rPr>
          <w:lang w:val="en-US"/>
        </w:rPr>
      </w:pPr>
    </w:p>
    <w:p w:rsidR="00896C42" w:rsidRDefault="00896C42" w:rsidP="006C4675">
      <w:pPr>
        <w:jc w:val="both"/>
        <w:rPr>
          <w:lang w:val="en-US"/>
        </w:rPr>
      </w:pPr>
      <w:r>
        <w:rPr>
          <w:lang w:val="en-US"/>
        </w:rPr>
        <w:t>The dataset used to get the per</w:t>
      </w:r>
      <w:r w:rsidR="007A045A">
        <w:rPr>
          <w:lang w:val="en-US"/>
        </w:rPr>
        <w:t>formance reported includes all</w:t>
      </w:r>
      <w:r>
        <w:rPr>
          <w:lang w:val="en-US"/>
        </w:rPr>
        <w:t xml:space="preserve"> games </w:t>
      </w:r>
      <w:r w:rsidR="007A045A">
        <w:rPr>
          <w:lang w:val="en-US"/>
        </w:rPr>
        <w:t>(</w:t>
      </w:r>
      <w:proofErr w:type="spellStart"/>
      <w:r w:rsidR="007A045A">
        <w:rPr>
          <w:lang w:val="en-US"/>
        </w:rPr>
        <w:t>i</w:t>
      </w:r>
      <w:proofErr w:type="spellEnd"/>
      <w:r w:rsidR="007A045A">
        <w:rPr>
          <w:lang w:val="en-US"/>
        </w:rPr>
        <w:t xml:space="preserve">) </w:t>
      </w:r>
      <w:r>
        <w:rPr>
          <w:lang w:val="en-US"/>
        </w:rPr>
        <w:t>balanced</w:t>
      </w:r>
      <w:r>
        <w:rPr>
          <w:rStyle w:val="Refdenotaalpie"/>
          <w:lang w:val="en-US"/>
        </w:rPr>
        <w:footnoteReference w:id="1"/>
      </w:r>
      <w:r w:rsidR="007A045A">
        <w:rPr>
          <w:lang w:val="en-US"/>
        </w:rPr>
        <w:t xml:space="preserve">, (ii) included in Premier League (Top division from England) and La </w:t>
      </w:r>
      <w:proofErr w:type="spellStart"/>
      <w:r w:rsidR="007A045A">
        <w:rPr>
          <w:lang w:val="en-US"/>
        </w:rPr>
        <w:t>Liga</w:t>
      </w:r>
      <w:proofErr w:type="spellEnd"/>
      <w:r w:rsidR="007A045A">
        <w:rPr>
          <w:lang w:val="en-US"/>
        </w:rPr>
        <w:t xml:space="preserve"> BBVA (Top division from Spain)</w:t>
      </w:r>
      <w:r>
        <w:rPr>
          <w:lang w:val="en-US"/>
        </w:rPr>
        <w:t>.</w:t>
      </w:r>
      <w:r w:rsidR="00C559A8">
        <w:rPr>
          <w:lang w:val="en-US"/>
        </w:rPr>
        <w:t xml:space="preserve"> The first filter is common practice. We must have two observations per match. The second filter was implemented because odds data has information about these leagues, but not the MLS (Top division from USA) or the World Cups. </w:t>
      </w:r>
    </w:p>
    <w:p w:rsidR="008065B9" w:rsidRDefault="008065B9" w:rsidP="006C4675">
      <w:pPr>
        <w:jc w:val="both"/>
        <w:rPr>
          <w:lang w:val="en-US"/>
        </w:rPr>
      </w:pPr>
      <w:r>
        <w:rPr>
          <w:lang w:val="en-US"/>
        </w:rPr>
        <w:t>The confusion matrix obtained by our model</w:t>
      </w:r>
      <w:r w:rsidR="00A3335C">
        <w:rPr>
          <w:lang w:val="en-US"/>
        </w:rPr>
        <w:t xml:space="preserve"> with a threshold of 0.5</w:t>
      </w:r>
      <w:r w:rsidR="00817557">
        <w:rPr>
          <w:lang w:val="en-US"/>
        </w:rPr>
        <w:t xml:space="preserve"> is presented in Figure 2.</w:t>
      </w:r>
    </w:p>
    <w:p w:rsidR="00817557" w:rsidRPr="004B5899" w:rsidRDefault="004B5899" w:rsidP="006C4675">
      <w:pPr>
        <w:jc w:val="both"/>
        <w:rPr>
          <w:u w:val="single"/>
          <w:lang w:val="en-US"/>
        </w:rPr>
      </w:pPr>
      <w:r w:rsidRPr="004B5899">
        <w:rPr>
          <w:u w:val="single"/>
          <w:lang w:val="en-US"/>
        </w:rPr>
        <w:t>Figure 2. Confusion matrix (threshold = 0.5)</w:t>
      </w:r>
    </w:p>
    <w:tbl>
      <w:tblPr>
        <w:tblW w:w="3600" w:type="dxa"/>
        <w:tblCellMar>
          <w:left w:w="70" w:type="dxa"/>
          <w:right w:w="70" w:type="dxa"/>
        </w:tblCellMar>
        <w:tblLook w:val="04A0" w:firstRow="1" w:lastRow="0" w:firstColumn="1" w:lastColumn="0" w:noHBand="0" w:noVBand="1"/>
      </w:tblPr>
      <w:tblGrid>
        <w:gridCol w:w="1699"/>
        <w:gridCol w:w="905"/>
        <w:gridCol w:w="996"/>
      </w:tblGrid>
      <w:tr w:rsidR="00A3335C" w:rsidRPr="00A3335C" w:rsidTr="00A3335C">
        <w:trPr>
          <w:trHeight w:val="300"/>
        </w:trPr>
        <w:tc>
          <w:tcPr>
            <w:tcW w:w="3600" w:type="dxa"/>
            <w:gridSpan w:val="3"/>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A3335C" w:rsidRPr="00A3335C" w:rsidRDefault="00A3335C" w:rsidP="006C4675">
            <w:pPr>
              <w:spacing w:after="0" w:line="240" w:lineRule="auto"/>
              <w:jc w:val="center"/>
              <w:rPr>
                <w:rFonts w:ascii="Calibri" w:eastAsia="Times New Roman" w:hAnsi="Calibri" w:cs="Calibri"/>
                <w:color w:val="000000"/>
                <w:lang w:val="en-US" w:eastAsia="es-PE"/>
              </w:rPr>
            </w:pPr>
            <w:r w:rsidRPr="00A3335C">
              <w:rPr>
                <w:rFonts w:ascii="Calibri" w:eastAsia="Times New Roman" w:hAnsi="Calibri" w:cs="Calibri"/>
                <w:color w:val="000000"/>
                <w:lang w:val="en-US" w:eastAsia="es-PE"/>
              </w:rPr>
              <w:t>Confusion matrix</w:t>
            </w:r>
          </w:p>
        </w:tc>
      </w:tr>
      <w:tr w:rsidR="00A3335C" w:rsidRPr="00A3335C" w:rsidTr="00A3335C">
        <w:trPr>
          <w:trHeight w:val="300"/>
        </w:trPr>
        <w:tc>
          <w:tcPr>
            <w:tcW w:w="1699" w:type="dxa"/>
            <w:tcBorders>
              <w:top w:val="nil"/>
              <w:left w:val="single" w:sz="4" w:space="0" w:color="auto"/>
              <w:bottom w:val="single" w:sz="4" w:space="0" w:color="auto"/>
              <w:right w:val="single" w:sz="4" w:space="0" w:color="auto"/>
            </w:tcBorders>
            <w:shd w:val="clear" w:color="000000" w:fill="D9D9D9"/>
            <w:noWrap/>
            <w:vAlign w:val="bottom"/>
            <w:hideMark/>
          </w:tcPr>
          <w:p w:rsidR="00A3335C" w:rsidRPr="00A3335C" w:rsidRDefault="00A3335C" w:rsidP="006C4675">
            <w:pPr>
              <w:spacing w:after="0" w:line="240" w:lineRule="auto"/>
              <w:jc w:val="both"/>
              <w:rPr>
                <w:rFonts w:ascii="Calibri" w:eastAsia="Times New Roman" w:hAnsi="Calibri" w:cs="Calibri"/>
                <w:color w:val="000000"/>
                <w:lang w:val="en-US" w:eastAsia="es-PE"/>
              </w:rPr>
            </w:pPr>
            <w:r w:rsidRPr="00A3335C">
              <w:rPr>
                <w:rFonts w:ascii="Calibri" w:eastAsia="Times New Roman" w:hAnsi="Calibri" w:cs="Calibri"/>
                <w:color w:val="000000"/>
                <w:lang w:val="en-US" w:eastAsia="es-PE"/>
              </w:rPr>
              <w:t> </w:t>
            </w:r>
          </w:p>
        </w:tc>
        <w:tc>
          <w:tcPr>
            <w:tcW w:w="905" w:type="dxa"/>
            <w:tcBorders>
              <w:top w:val="nil"/>
              <w:left w:val="nil"/>
              <w:bottom w:val="single" w:sz="4" w:space="0" w:color="auto"/>
              <w:right w:val="single" w:sz="4" w:space="0" w:color="auto"/>
            </w:tcBorders>
            <w:shd w:val="clear" w:color="000000" w:fill="D9D9D9"/>
            <w:noWrap/>
            <w:vAlign w:val="bottom"/>
            <w:hideMark/>
          </w:tcPr>
          <w:p w:rsidR="00A3335C" w:rsidRPr="00A3335C" w:rsidRDefault="00A3335C" w:rsidP="006C4675">
            <w:pPr>
              <w:spacing w:after="0" w:line="240" w:lineRule="auto"/>
              <w:jc w:val="center"/>
              <w:rPr>
                <w:rFonts w:ascii="Calibri" w:eastAsia="Times New Roman" w:hAnsi="Calibri" w:cs="Calibri"/>
                <w:color w:val="000000"/>
                <w:lang w:val="en-US" w:eastAsia="es-PE"/>
              </w:rPr>
            </w:pPr>
            <w:r w:rsidRPr="00A3335C">
              <w:rPr>
                <w:rFonts w:ascii="Calibri" w:eastAsia="Times New Roman" w:hAnsi="Calibri" w:cs="Calibri"/>
                <w:color w:val="000000"/>
                <w:lang w:val="en-US" w:eastAsia="es-PE"/>
              </w:rPr>
              <w:t>True</w:t>
            </w:r>
          </w:p>
        </w:tc>
        <w:tc>
          <w:tcPr>
            <w:tcW w:w="996" w:type="dxa"/>
            <w:tcBorders>
              <w:top w:val="nil"/>
              <w:left w:val="nil"/>
              <w:bottom w:val="single" w:sz="4" w:space="0" w:color="auto"/>
              <w:right w:val="single" w:sz="4" w:space="0" w:color="auto"/>
            </w:tcBorders>
            <w:shd w:val="clear" w:color="000000" w:fill="D9D9D9"/>
            <w:noWrap/>
            <w:vAlign w:val="bottom"/>
            <w:hideMark/>
          </w:tcPr>
          <w:p w:rsidR="00A3335C" w:rsidRPr="00A3335C" w:rsidRDefault="00A3335C" w:rsidP="006C4675">
            <w:pPr>
              <w:spacing w:after="0" w:line="240" w:lineRule="auto"/>
              <w:jc w:val="center"/>
              <w:rPr>
                <w:rFonts w:ascii="Calibri" w:eastAsia="Times New Roman" w:hAnsi="Calibri" w:cs="Calibri"/>
                <w:color w:val="000000"/>
                <w:lang w:val="en-US" w:eastAsia="es-PE"/>
              </w:rPr>
            </w:pPr>
            <w:r w:rsidRPr="00A3335C">
              <w:rPr>
                <w:rFonts w:ascii="Calibri" w:eastAsia="Times New Roman" w:hAnsi="Calibri" w:cs="Calibri"/>
                <w:color w:val="000000"/>
                <w:lang w:val="en-US" w:eastAsia="es-PE"/>
              </w:rPr>
              <w:t>False</w:t>
            </w:r>
          </w:p>
        </w:tc>
      </w:tr>
      <w:tr w:rsidR="00A3335C" w:rsidRPr="00A3335C" w:rsidTr="00A3335C">
        <w:trPr>
          <w:trHeight w:val="300"/>
        </w:trPr>
        <w:tc>
          <w:tcPr>
            <w:tcW w:w="1699" w:type="dxa"/>
            <w:tcBorders>
              <w:top w:val="nil"/>
              <w:left w:val="single" w:sz="4" w:space="0" w:color="auto"/>
              <w:bottom w:val="single" w:sz="4" w:space="0" w:color="auto"/>
              <w:right w:val="single" w:sz="4" w:space="0" w:color="auto"/>
            </w:tcBorders>
            <w:shd w:val="clear" w:color="000000" w:fill="D9D9D9"/>
            <w:noWrap/>
            <w:vAlign w:val="bottom"/>
            <w:hideMark/>
          </w:tcPr>
          <w:p w:rsidR="00A3335C" w:rsidRPr="00A3335C" w:rsidRDefault="00A3335C" w:rsidP="006C4675">
            <w:pPr>
              <w:spacing w:after="0" w:line="240" w:lineRule="auto"/>
              <w:jc w:val="both"/>
              <w:rPr>
                <w:rFonts w:ascii="Calibri" w:eastAsia="Times New Roman" w:hAnsi="Calibri" w:cs="Calibri"/>
                <w:color w:val="000000"/>
                <w:lang w:val="en-US" w:eastAsia="es-PE"/>
              </w:rPr>
            </w:pPr>
            <w:r w:rsidRPr="00A3335C">
              <w:rPr>
                <w:rFonts w:ascii="Calibri" w:eastAsia="Times New Roman" w:hAnsi="Calibri" w:cs="Calibri"/>
                <w:color w:val="000000"/>
                <w:lang w:val="en-US" w:eastAsia="es-PE"/>
              </w:rPr>
              <w:t>Positive</w:t>
            </w:r>
          </w:p>
        </w:tc>
        <w:tc>
          <w:tcPr>
            <w:tcW w:w="905" w:type="dxa"/>
            <w:tcBorders>
              <w:top w:val="nil"/>
              <w:left w:val="nil"/>
              <w:bottom w:val="single" w:sz="4" w:space="0" w:color="auto"/>
              <w:right w:val="single" w:sz="4" w:space="0" w:color="auto"/>
            </w:tcBorders>
            <w:shd w:val="clear" w:color="auto" w:fill="auto"/>
            <w:noWrap/>
            <w:vAlign w:val="bottom"/>
            <w:hideMark/>
          </w:tcPr>
          <w:p w:rsidR="00A3335C" w:rsidRPr="00A3335C" w:rsidRDefault="00A3335C" w:rsidP="006C4675">
            <w:pPr>
              <w:spacing w:after="0" w:line="240" w:lineRule="auto"/>
              <w:jc w:val="center"/>
              <w:rPr>
                <w:rFonts w:ascii="Calibri" w:eastAsia="Times New Roman" w:hAnsi="Calibri" w:cs="Calibri"/>
                <w:color w:val="000000"/>
                <w:lang w:val="en-US" w:eastAsia="es-PE"/>
              </w:rPr>
            </w:pPr>
            <w:r w:rsidRPr="00A3335C">
              <w:rPr>
                <w:rFonts w:ascii="Calibri" w:eastAsia="Times New Roman" w:hAnsi="Calibri" w:cs="Calibri"/>
                <w:color w:val="000000"/>
                <w:lang w:val="en-US" w:eastAsia="es-PE"/>
              </w:rPr>
              <w:t>533</w:t>
            </w:r>
          </w:p>
        </w:tc>
        <w:tc>
          <w:tcPr>
            <w:tcW w:w="996" w:type="dxa"/>
            <w:tcBorders>
              <w:top w:val="nil"/>
              <w:left w:val="nil"/>
              <w:bottom w:val="single" w:sz="4" w:space="0" w:color="auto"/>
              <w:right w:val="single" w:sz="4" w:space="0" w:color="auto"/>
            </w:tcBorders>
            <w:shd w:val="clear" w:color="auto" w:fill="auto"/>
            <w:noWrap/>
            <w:vAlign w:val="bottom"/>
            <w:hideMark/>
          </w:tcPr>
          <w:p w:rsidR="00A3335C" w:rsidRPr="00A3335C" w:rsidRDefault="00A3335C" w:rsidP="006C4675">
            <w:pPr>
              <w:spacing w:after="0" w:line="240" w:lineRule="auto"/>
              <w:jc w:val="center"/>
              <w:rPr>
                <w:rFonts w:ascii="Calibri" w:eastAsia="Times New Roman" w:hAnsi="Calibri" w:cs="Calibri"/>
                <w:color w:val="000000"/>
                <w:lang w:val="en-US" w:eastAsia="es-PE"/>
              </w:rPr>
            </w:pPr>
            <w:r w:rsidRPr="00A3335C">
              <w:rPr>
                <w:rFonts w:ascii="Calibri" w:eastAsia="Times New Roman" w:hAnsi="Calibri" w:cs="Calibri"/>
                <w:color w:val="000000"/>
                <w:lang w:val="en-US" w:eastAsia="es-PE"/>
              </w:rPr>
              <w:t>450</w:t>
            </w:r>
          </w:p>
        </w:tc>
      </w:tr>
      <w:tr w:rsidR="00A3335C" w:rsidRPr="00A3335C" w:rsidTr="00A3335C">
        <w:trPr>
          <w:trHeight w:val="300"/>
        </w:trPr>
        <w:tc>
          <w:tcPr>
            <w:tcW w:w="1699" w:type="dxa"/>
            <w:tcBorders>
              <w:top w:val="nil"/>
              <w:left w:val="single" w:sz="4" w:space="0" w:color="auto"/>
              <w:bottom w:val="single" w:sz="4" w:space="0" w:color="auto"/>
              <w:right w:val="single" w:sz="4" w:space="0" w:color="auto"/>
            </w:tcBorders>
            <w:shd w:val="clear" w:color="000000" w:fill="D9D9D9"/>
            <w:noWrap/>
            <w:vAlign w:val="bottom"/>
            <w:hideMark/>
          </w:tcPr>
          <w:p w:rsidR="00A3335C" w:rsidRPr="00A3335C" w:rsidRDefault="00A3335C" w:rsidP="006C4675">
            <w:pPr>
              <w:spacing w:after="0" w:line="240" w:lineRule="auto"/>
              <w:jc w:val="both"/>
              <w:rPr>
                <w:rFonts w:ascii="Calibri" w:eastAsia="Times New Roman" w:hAnsi="Calibri" w:cs="Calibri"/>
                <w:color w:val="000000"/>
                <w:lang w:val="en-US" w:eastAsia="es-PE"/>
              </w:rPr>
            </w:pPr>
            <w:r w:rsidRPr="00A3335C">
              <w:rPr>
                <w:rFonts w:ascii="Calibri" w:eastAsia="Times New Roman" w:hAnsi="Calibri" w:cs="Calibri"/>
                <w:color w:val="000000"/>
                <w:lang w:val="en-US" w:eastAsia="es-PE"/>
              </w:rPr>
              <w:t>Negative</w:t>
            </w:r>
          </w:p>
        </w:tc>
        <w:tc>
          <w:tcPr>
            <w:tcW w:w="905" w:type="dxa"/>
            <w:tcBorders>
              <w:top w:val="nil"/>
              <w:left w:val="nil"/>
              <w:bottom w:val="single" w:sz="4" w:space="0" w:color="auto"/>
              <w:right w:val="single" w:sz="4" w:space="0" w:color="auto"/>
            </w:tcBorders>
            <w:shd w:val="clear" w:color="auto" w:fill="auto"/>
            <w:noWrap/>
            <w:vAlign w:val="bottom"/>
            <w:hideMark/>
          </w:tcPr>
          <w:p w:rsidR="00A3335C" w:rsidRPr="00A3335C" w:rsidRDefault="00A3335C" w:rsidP="006C4675">
            <w:pPr>
              <w:spacing w:after="0" w:line="240" w:lineRule="auto"/>
              <w:jc w:val="center"/>
              <w:rPr>
                <w:rFonts w:ascii="Calibri" w:eastAsia="Times New Roman" w:hAnsi="Calibri" w:cs="Calibri"/>
                <w:color w:val="000000"/>
                <w:lang w:val="en-US" w:eastAsia="es-PE"/>
              </w:rPr>
            </w:pPr>
            <w:r w:rsidRPr="00A3335C">
              <w:rPr>
                <w:rFonts w:ascii="Calibri" w:eastAsia="Times New Roman" w:hAnsi="Calibri" w:cs="Calibri"/>
                <w:color w:val="000000"/>
                <w:lang w:val="en-US" w:eastAsia="es-PE"/>
              </w:rPr>
              <w:t>188</w:t>
            </w:r>
          </w:p>
        </w:tc>
        <w:tc>
          <w:tcPr>
            <w:tcW w:w="996" w:type="dxa"/>
            <w:tcBorders>
              <w:top w:val="nil"/>
              <w:left w:val="nil"/>
              <w:bottom w:val="single" w:sz="4" w:space="0" w:color="auto"/>
              <w:right w:val="single" w:sz="4" w:space="0" w:color="auto"/>
            </w:tcBorders>
            <w:shd w:val="clear" w:color="auto" w:fill="auto"/>
            <w:noWrap/>
            <w:vAlign w:val="bottom"/>
            <w:hideMark/>
          </w:tcPr>
          <w:p w:rsidR="00A3335C" w:rsidRPr="00A3335C" w:rsidRDefault="00A3335C" w:rsidP="006C4675">
            <w:pPr>
              <w:spacing w:after="0" w:line="240" w:lineRule="auto"/>
              <w:jc w:val="center"/>
              <w:rPr>
                <w:rFonts w:ascii="Calibri" w:eastAsia="Times New Roman" w:hAnsi="Calibri" w:cs="Calibri"/>
                <w:color w:val="000000"/>
                <w:lang w:val="en-US" w:eastAsia="es-PE"/>
              </w:rPr>
            </w:pPr>
            <w:r w:rsidRPr="00A3335C">
              <w:rPr>
                <w:rFonts w:ascii="Calibri" w:eastAsia="Times New Roman" w:hAnsi="Calibri" w:cs="Calibri"/>
                <w:color w:val="000000"/>
                <w:lang w:val="en-US" w:eastAsia="es-PE"/>
              </w:rPr>
              <w:t>189</w:t>
            </w:r>
          </w:p>
        </w:tc>
      </w:tr>
    </w:tbl>
    <w:p w:rsidR="00931070" w:rsidRDefault="00931070" w:rsidP="006C4675">
      <w:pPr>
        <w:jc w:val="both"/>
        <w:rPr>
          <w:lang w:val="en-US"/>
        </w:rPr>
      </w:pPr>
    </w:p>
    <w:p w:rsidR="00C42924" w:rsidRDefault="00A3335C" w:rsidP="006C4675">
      <w:pPr>
        <w:jc w:val="both"/>
        <w:rPr>
          <w:lang w:val="en-US"/>
        </w:rPr>
      </w:pPr>
      <w:r>
        <w:rPr>
          <w:lang w:val="en-US"/>
        </w:rPr>
        <w:t>We find that it is easier to predict the Spanish League than the English League.</w:t>
      </w:r>
      <w:r w:rsidR="006C4675">
        <w:rPr>
          <w:lang w:val="en-US"/>
        </w:rPr>
        <w:t xml:space="preserve"> For Spain, w</w:t>
      </w:r>
      <w:r>
        <w:rPr>
          <w:lang w:val="en-US"/>
        </w:rPr>
        <w:t xml:space="preserve">e get an accuracy of </w:t>
      </w:r>
      <w:r w:rsidR="006C4675">
        <w:rPr>
          <w:lang w:val="en-US"/>
        </w:rPr>
        <w:t xml:space="preserve">54.3%; for the latter, 51.7%. </w:t>
      </w:r>
      <w:r w:rsidR="003A7C35">
        <w:rPr>
          <w:lang w:val="en-US"/>
        </w:rPr>
        <w:t xml:space="preserve">This is reflected in the average payout. For Spain, we obtain, on average, 0.97 for each 1 </w:t>
      </w:r>
      <w:proofErr w:type="spellStart"/>
      <w:r w:rsidR="003A7C35">
        <w:rPr>
          <w:lang w:val="en-US"/>
        </w:rPr>
        <w:t>dolar</w:t>
      </w:r>
      <w:proofErr w:type="spellEnd"/>
      <w:r w:rsidR="003A7C35">
        <w:rPr>
          <w:lang w:val="en-US"/>
        </w:rPr>
        <w:t xml:space="preserve"> invested. For England, we receive 0.93. For both leagues, the average payout is 0.95. </w:t>
      </w:r>
    </w:p>
    <w:p w:rsidR="00D547BC" w:rsidRDefault="004B5899" w:rsidP="00977837">
      <w:pPr>
        <w:rPr>
          <w:lang w:val="en-US"/>
        </w:rPr>
      </w:pPr>
      <w:r>
        <w:rPr>
          <w:lang w:val="en-US"/>
        </w:rPr>
        <w:t>The distribution of the payouts received is shown in Figure 3. We only display the payouts that we managed to get by correctly predicting the outcome of a match. As expected, most of our payouts are lower than 2. These kind of payouts are of</w:t>
      </w:r>
      <w:r w:rsidR="00977837">
        <w:rPr>
          <w:lang w:val="en-US"/>
        </w:rPr>
        <w:t>t</w:t>
      </w:r>
      <w:r>
        <w:rPr>
          <w:lang w:val="en-US"/>
        </w:rPr>
        <w:t xml:space="preserve">en allocated to the favorite –stronger–  </w:t>
      </w:r>
      <w:r>
        <w:rPr>
          <w:lang w:val="en-US"/>
        </w:rPr>
        <w:lastRenderedPageBreak/>
        <w:t>team to win the match.</w:t>
      </w:r>
      <w:r w:rsidR="00977837">
        <w:rPr>
          <w:lang w:val="en-US"/>
        </w:rPr>
        <w:t xml:space="preserve"> Nonetheless, we still manage to predict games where the favorite does not win.</w:t>
      </w:r>
    </w:p>
    <w:p w:rsidR="00CB4B2E" w:rsidRPr="00977837" w:rsidRDefault="004B5899" w:rsidP="00977837">
      <w:pPr>
        <w:rPr>
          <w:lang w:val="en-US"/>
        </w:rPr>
      </w:pPr>
      <w:r w:rsidRPr="004B5899">
        <w:rPr>
          <w:u w:val="single"/>
          <w:lang w:val="en-US"/>
        </w:rPr>
        <w:t>Figure 3. Distribution of the payouts</w:t>
      </w:r>
      <w:r w:rsidR="00AE2AC2">
        <w:rPr>
          <w:u w:val="single"/>
          <w:lang w:val="en-US"/>
        </w:rPr>
        <w:t xml:space="preserve"> from matches</w:t>
      </w:r>
      <w:r w:rsidR="00485649">
        <w:rPr>
          <w:u w:val="single"/>
          <w:lang w:val="en-US"/>
        </w:rPr>
        <w:t xml:space="preserve"> correctly predicted</w:t>
      </w:r>
    </w:p>
    <w:tbl>
      <w:tblPr>
        <w:tblStyle w:val="Tablaconcuadrcula"/>
        <w:tblW w:w="0" w:type="auto"/>
        <w:tblLook w:val="04A0" w:firstRow="1" w:lastRow="0" w:firstColumn="1" w:lastColumn="0" w:noHBand="0" w:noVBand="1"/>
      </w:tblPr>
      <w:tblGrid>
        <w:gridCol w:w="4247"/>
        <w:gridCol w:w="4247"/>
      </w:tblGrid>
      <w:tr w:rsidR="00CB4B2E" w:rsidRPr="000E3A61" w:rsidTr="00931070">
        <w:tc>
          <w:tcPr>
            <w:tcW w:w="4247" w:type="dxa"/>
            <w:shd w:val="clear" w:color="auto" w:fill="BFBFBF" w:themeFill="background1" w:themeFillShade="BF"/>
          </w:tcPr>
          <w:p w:rsidR="00CB4B2E" w:rsidRPr="00931070" w:rsidRDefault="00931070" w:rsidP="00C42924">
            <w:pPr>
              <w:pStyle w:val="Prrafodelista"/>
              <w:numPr>
                <w:ilvl w:val="0"/>
                <w:numId w:val="2"/>
              </w:numPr>
              <w:rPr>
                <w:lang w:val="en-US"/>
              </w:rPr>
            </w:pPr>
            <w:r w:rsidRPr="00931070">
              <w:rPr>
                <w:lang w:val="en-US"/>
              </w:rPr>
              <w:t>Distribution of the payouts</w:t>
            </w:r>
          </w:p>
        </w:tc>
        <w:tc>
          <w:tcPr>
            <w:tcW w:w="4247" w:type="dxa"/>
            <w:shd w:val="clear" w:color="auto" w:fill="BFBFBF" w:themeFill="background1" w:themeFillShade="BF"/>
          </w:tcPr>
          <w:p w:rsidR="00CB4B2E" w:rsidRPr="00931070" w:rsidRDefault="00931070" w:rsidP="00C42924">
            <w:pPr>
              <w:pStyle w:val="Prrafodelista"/>
              <w:numPr>
                <w:ilvl w:val="0"/>
                <w:numId w:val="2"/>
              </w:numPr>
              <w:rPr>
                <w:lang w:val="en-US"/>
              </w:rPr>
            </w:pPr>
            <w:r w:rsidRPr="00931070">
              <w:rPr>
                <w:lang w:val="en-US"/>
              </w:rPr>
              <w:t>Distribution of the payouts higher than 0</w:t>
            </w:r>
          </w:p>
        </w:tc>
      </w:tr>
      <w:tr w:rsidR="00CB4B2E" w:rsidTr="00CB4B2E">
        <w:tc>
          <w:tcPr>
            <w:tcW w:w="4247" w:type="dxa"/>
          </w:tcPr>
          <w:p w:rsidR="00CB4B2E" w:rsidRDefault="00CB4B2E" w:rsidP="00CB4B2E">
            <w:pPr>
              <w:jc w:val="center"/>
              <w:rPr>
                <w:lang w:val="en-US"/>
              </w:rPr>
            </w:pPr>
            <w:r w:rsidRPr="00CB4B2E">
              <w:rPr>
                <w:noProof/>
                <w:lang w:eastAsia="es-PE"/>
              </w:rPr>
              <w:drawing>
                <wp:inline distT="0" distB="0" distL="0" distR="0">
                  <wp:extent cx="2458800" cy="1800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58800" cy="1800000"/>
                          </a:xfrm>
                          <a:prstGeom prst="rect">
                            <a:avLst/>
                          </a:prstGeom>
                          <a:noFill/>
                          <a:ln>
                            <a:noFill/>
                          </a:ln>
                        </pic:spPr>
                      </pic:pic>
                    </a:graphicData>
                  </a:graphic>
                </wp:inline>
              </w:drawing>
            </w:r>
          </w:p>
        </w:tc>
        <w:tc>
          <w:tcPr>
            <w:tcW w:w="4247" w:type="dxa"/>
          </w:tcPr>
          <w:p w:rsidR="00CB4B2E" w:rsidRDefault="00CB4B2E" w:rsidP="00CB4B2E">
            <w:pPr>
              <w:jc w:val="center"/>
              <w:rPr>
                <w:lang w:val="en-US"/>
              </w:rPr>
            </w:pPr>
            <w:r w:rsidRPr="00CB4B2E">
              <w:rPr>
                <w:noProof/>
                <w:lang w:eastAsia="es-PE"/>
              </w:rPr>
              <w:drawing>
                <wp:inline distT="0" distB="0" distL="0" distR="0">
                  <wp:extent cx="2458800" cy="18000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58800" cy="1800000"/>
                          </a:xfrm>
                          <a:prstGeom prst="rect">
                            <a:avLst/>
                          </a:prstGeom>
                          <a:noFill/>
                          <a:ln>
                            <a:noFill/>
                          </a:ln>
                        </pic:spPr>
                      </pic:pic>
                    </a:graphicData>
                  </a:graphic>
                </wp:inline>
              </w:drawing>
            </w:r>
          </w:p>
        </w:tc>
      </w:tr>
    </w:tbl>
    <w:p w:rsidR="00CB4B2E" w:rsidRDefault="00CB4B2E" w:rsidP="006C4675">
      <w:pPr>
        <w:jc w:val="both"/>
        <w:rPr>
          <w:lang w:val="en-US"/>
        </w:rPr>
      </w:pPr>
    </w:p>
    <w:p w:rsidR="00C42924" w:rsidRDefault="00C42924" w:rsidP="00C42924">
      <w:pPr>
        <w:jc w:val="both"/>
        <w:rPr>
          <w:lang w:val="en-US"/>
        </w:rPr>
      </w:pPr>
      <w:r>
        <w:rPr>
          <w:lang w:val="en-US"/>
        </w:rPr>
        <w:t>The predicted probability of home team winning is</w:t>
      </w:r>
      <w:r w:rsidR="00817557">
        <w:rPr>
          <w:lang w:val="en-US"/>
        </w:rPr>
        <w:t xml:space="preserve"> highly</w:t>
      </w:r>
      <w:r>
        <w:rPr>
          <w:lang w:val="en-US"/>
        </w:rPr>
        <w:t xml:space="preserve"> correlated with the implicit probability of the home team winning</w:t>
      </w:r>
      <w:r w:rsidR="00817557">
        <w:rPr>
          <w:lang w:val="en-US"/>
        </w:rPr>
        <w:t xml:space="preserve"> (rho = 0.89)</w:t>
      </w:r>
      <w:r>
        <w:rPr>
          <w:lang w:val="en-US"/>
        </w:rPr>
        <w:t>. The former value is obtained through our model and equal to the outcome predicted (</w:t>
      </w:r>
      <w:proofErr w:type="spellStart"/>
      <w:r>
        <w:rPr>
          <w:lang w:val="en-US"/>
        </w:rPr>
        <w:t>y_hat</w:t>
      </w:r>
      <w:proofErr w:type="spellEnd"/>
      <w:r>
        <w:rPr>
          <w:lang w:val="en-US"/>
        </w:rPr>
        <w:t xml:space="preserve">). The second probability is the inverse of the home payout, assuming it is a fair game. We know that it is not a fair game, but the loss of precision is little. </w:t>
      </w:r>
      <w:r w:rsidR="00817557">
        <w:rPr>
          <w:lang w:val="en-US"/>
        </w:rPr>
        <w:t>We can see the evolution of these two variables for the first 50 played games.</w:t>
      </w:r>
    </w:p>
    <w:p w:rsidR="003C5959" w:rsidRPr="00977837" w:rsidRDefault="003C5959" w:rsidP="003C5959">
      <w:pPr>
        <w:rPr>
          <w:lang w:val="en-US"/>
        </w:rPr>
      </w:pPr>
      <w:r w:rsidRPr="004B5899">
        <w:rPr>
          <w:u w:val="single"/>
          <w:lang w:val="en-US"/>
        </w:rPr>
        <w:t xml:space="preserve">Figure </w:t>
      </w:r>
      <w:r>
        <w:rPr>
          <w:u w:val="single"/>
          <w:lang w:val="en-US"/>
        </w:rPr>
        <w:t>4</w:t>
      </w:r>
      <w:r w:rsidRPr="004B5899">
        <w:rPr>
          <w:u w:val="single"/>
          <w:lang w:val="en-US"/>
        </w:rPr>
        <w:t xml:space="preserve">. </w:t>
      </w:r>
      <w:r>
        <w:rPr>
          <w:u w:val="single"/>
          <w:lang w:val="en-US"/>
        </w:rPr>
        <w:t>Implicit and predicted probability of winning</w:t>
      </w:r>
    </w:p>
    <w:tbl>
      <w:tblPr>
        <w:tblStyle w:val="Tablaconcuadrcula"/>
        <w:tblW w:w="0" w:type="auto"/>
        <w:tblLook w:val="04A0" w:firstRow="1" w:lastRow="0" w:firstColumn="1" w:lastColumn="0" w:noHBand="0" w:noVBand="1"/>
      </w:tblPr>
      <w:tblGrid>
        <w:gridCol w:w="4247"/>
      </w:tblGrid>
      <w:tr w:rsidR="003C5959" w:rsidRPr="003C5959" w:rsidTr="00A51697">
        <w:tc>
          <w:tcPr>
            <w:tcW w:w="4247" w:type="dxa"/>
            <w:shd w:val="clear" w:color="auto" w:fill="BFBFBF" w:themeFill="background1" w:themeFillShade="BF"/>
          </w:tcPr>
          <w:p w:rsidR="003C5959" w:rsidRPr="00931070" w:rsidRDefault="003C5959" w:rsidP="003C5959">
            <w:pPr>
              <w:pStyle w:val="Prrafodelista"/>
              <w:numPr>
                <w:ilvl w:val="0"/>
                <w:numId w:val="3"/>
              </w:numPr>
              <w:rPr>
                <w:lang w:val="en-US"/>
              </w:rPr>
            </w:pPr>
            <w:r>
              <w:rPr>
                <w:lang w:val="en-US"/>
              </w:rPr>
              <w:t>Probability of winning</w:t>
            </w:r>
          </w:p>
        </w:tc>
      </w:tr>
      <w:tr w:rsidR="003C5959" w:rsidTr="00A51697">
        <w:tc>
          <w:tcPr>
            <w:tcW w:w="4247" w:type="dxa"/>
          </w:tcPr>
          <w:p w:rsidR="003C5959" w:rsidRDefault="003C5959" w:rsidP="003C5959">
            <w:pPr>
              <w:jc w:val="center"/>
              <w:rPr>
                <w:lang w:val="en-US"/>
              </w:rPr>
            </w:pPr>
            <w:r w:rsidRPr="003C5959">
              <w:rPr>
                <w:noProof/>
                <w:lang w:eastAsia="es-PE"/>
              </w:rPr>
              <w:drawing>
                <wp:inline distT="0" distB="0" distL="0" distR="0">
                  <wp:extent cx="2397600" cy="1800000"/>
                  <wp:effectExtent l="0" t="0" r="3175" b="0"/>
                  <wp:docPr id="7" name="Imagen 7" descr="F:\prediction\output\graphs\perform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rediction\output\graphs\performanc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97600" cy="1800000"/>
                          </a:xfrm>
                          <a:prstGeom prst="rect">
                            <a:avLst/>
                          </a:prstGeom>
                          <a:noFill/>
                          <a:ln>
                            <a:noFill/>
                          </a:ln>
                        </pic:spPr>
                      </pic:pic>
                    </a:graphicData>
                  </a:graphic>
                </wp:inline>
              </w:drawing>
            </w:r>
          </w:p>
          <w:p w:rsidR="003C5959" w:rsidRDefault="003C5959" w:rsidP="003C5959">
            <w:pPr>
              <w:jc w:val="center"/>
              <w:rPr>
                <w:lang w:val="en-US"/>
              </w:rPr>
            </w:pPr>
          </w:p>
        </w:tc>
      </w:tr>
    </w:tbl>
    <w:p w:rsidR="003C5959" w:rsidRDefault="003C5959" w:rsidP="00C42924">
      <w:pPr>
        <w:jc w:val="both"/>
        <w:rPr>
          <w:lang w:val="en-US"/>
        </w:rPr>
      </w:pPr>
    </w:p>
    <w:p w:rsidR="005A2B0E" w:rsidRDefault="008E2045" w:rsidP="00C42924">
      <w:pPr>
        <w:jc w:val="both"/>
        <w:rPr>
          <w:lang w:val="en-US"/>
        </w:rPr>
      </w:pPr>
      <w:r>
        <w:rPr>
          <w:lang w:val="en-US"/>
        </w:rPr>
        <w:t>There we only 10 extreme events in the sample. An extreme event is defined as a match where the less likely team to win (or the one with the highest payout) actually wins. Of these 10 matches, we only predicted 1 correctly. The payout received was 4.2.</w:t>
      </w:r>
    </w:p>
    <w:p w:rsidR="008466F5" w:rsidRPr="009764D7" w:rsidRDefault="008466F5" w:rsidP="006C4675">
      <w:pPr>
        <w:jc w:val="both"/>
        <w:rPr>
          <w:lang w:val="en-US"/>
        </w:rPr>
      </w:pPr>
    </w:p>
    <w:sectPr w:rsidR="008466F5" w:rsidRPr="009764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601B" w:rsidRDefault="000F601B" w:rsidP="00896C42">
      <w:pPr>
        <w:spacing w:after="0" w:line="240" w:lineRule="auto"/>
      </w:pPr>
      <w:r>
        <w:separator/>
      </w:r>
    </w:p>
  </w:endnote>
  <w:endnote w:type="continuationSeparator" w:id="0">
    <w:p w:rsidR="000F601B" w:rsidRDefault="000F601B" w:rsidP="00896C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601B" w:rsidRDefault="000F601B" w:rsidP="00896C42">
      <w:pPr>
        <w:spacing w:after="0" w:line="240" w:lineRule="auto"/>
      </w:pPr>
      <w:r>
        <w:separator/>
      </w:r>
    </w:p>
  </w:footnote>
  <w:footnote w:type="continuationSeparator" w:id="0">
    <w:p w:rsidR="000F601B" w:rsidRDefault="000F601B" w:rsidP="00896C42">
      <w:pPr>
        <w:spacing w:after="0" w:line="240" w:lineRule="auto"/>
      </w:pPr>
      <w:r>
        <w:continuationSeparator/>
      </w:r>
    </w:p>
  </w:footnote>
  <w:footnote w:id="1">
    <w:p w:rsidR="00896C42" w:rsidRPr="007A045A" w:rsidRDefault="00896C42">
      <w:pPr>
        <w:pStyle w:val="Textonotapie"/>
        <w:rPr>
          <w:lang w:val="en-US"/>
        </w:rPr>
      </w:pPr>
      <w:r>
        <w:rPr>
          <w:rStyle w:val="Refdenotaalpie"/>
        </w:rPr>
        <w:footnoteRef/>
      </w:r>
      <w:r w:rsidRPr="007A045A">
        <w:rPr>
          <w:lang w:val="en-US"/>
        </w:rPr>
        <w:t xml:space="preserve"> A balanced observation means </w:t>
      </w:r>
      <w:r w:rsidR="007A045A" w:rsidRPr="007A045A">
        <w:rPr>
          <w:lang w:val="en-US"/>
        </w:rPr>
        <w:t xml:space="preserve">that there is complete information </w:t>
      </w:r>
      <w:r w:rsidR="007A045A">
        <w:rPr>
          <w:lang w:val="en-US"/>
        </w:rPr>
        <w:t>about both teams participating.</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70B6F"/>
    <w:multiLevelType w:val="hybridMultilevel"/>
    <w:tmpl w:val="74A41D5A"/>
    <w:lvl w:ilvl="0" w:tplc="A9965F38">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35DC056E"/>
    <w:multiLevelType w:val="hybridMultilevel"/>
    <w:tmpl w:val="74A41D5A"/>
    <w:lvl w:ilvl="0" w:tplc="A9965F38">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618C7D12"/>
    <w:multiLevelType w:val="hybridMultilevel"/>
    <w:tmpl w:val="74A41D5A"/>
    <w:lvl w:ilvl="0" w:tplc="A9965F38">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749"/>
    <w:rsid w:val="000E3A61"/>
    <w:rsid w:val="000F601B"/>
    <w:rsid w:val="00250618"/>
    <w:rsid w:val="002A0FFB"/>
    <w:rsid w:val="003A7C35"/>
    <w:rsid w:val="003C5959"/>
    <w:rsid w:val="00424749"/>
    <w:rsid w:val="00485649"/>
    <w:rsid w:val="004B5899"/>
    <w:rsid w:val="0052355D"/>
    <w:rsid w:val="005A2B0E"/>
    <w:rsid w:val="006C4675"/>
    <w:rsid w:val="006D0BA4"/>
    <w:rsid w:val="00727143"/>
    <w:rsid w:val="00732AF3"/>
    <w:rsid w:val="007A045A"/>
    <w:rsid w:val="008065B9"/>
    <w:rsid w:val="00817557"/>
    <w:rsid w:val="008466F5"/>
    <w:rsid w:val="00896C42"/>
    <w:rsid w:val="008E2045"/>
    <w:rsid w:val="00931070"/>
    <w:rsid w:val="009764D7"/>
    <w:rsid w:val="00977837"/>
    <w:rsid w:val="00A3335C"/>
    <w:rsid w:val="00AE2AC2"/>
    <w:rsid w:val="00B1319B"/>
    <w:rsid w:val="00C42924"/>
    <w:rsid w:val="00C559A8"/>
    <w:rsid w:val="00CB4B2E"/>
    <w:rsid w:val="00D2029D"/>
    <w:rsid w:val="00D547B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0B0B9"/>
  <w15:chartTrackingRefBased/>
  <w15:docId w15:val="{FED751A7-42DD-4E37-8BAB-7C2CFA90E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896C4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96C42"/>
    <w:rPr>
      <w:sz w:val="20"/>
      <w:szCs w:val="20"/>
    </w:rPr>
  </w:style>
  <w:style w:type="character" w:styleId="Refdenotaalpie">
    <w:name w:val="footnote reference"/>
    <w:basedOn w:val="Fuentedeprrafopredeter"/>
    <w:uiPriority w:val="99"/>
    <w:semiHidden/>
    <w:unhideWhenUsed/>
    <w:rsid w:val="00896C42"/>
    <w:rPr>
      <w:vertAlign w:val="superscript"/>
    </w:rPr>
  </w:style>
  <w:style w:type="table" w:styleId="Tablaconcuadrcula">
    <w:name w:val="Table Grid"/>
    <w:basedOn w:val="Tablanormal"/>
    <w:uiPriority w:val="39"/>
    <w:rsid w:val="00CB4B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310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4117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10B488-C683-47D8-AEB9-32C4620F1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2</Pages>
  <Words>478</Words>
  <Characters>2633</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Nicola ESPOSITO ACOSTA</dc:creator>
  <cp:keywords/>
  <dc:description/>
  <cp:lastModifiedBy>Bruno Nicola ESPOSITO ACOSTA</cp:lastModifiedBy>
  <cp:revision>29</cp:revision>
  <dcterms:created xsi:type="dcterms:W3CDTF">2017-08-14T18:27:00Z</dcterms:created>
  <dcterms:modified xsi:type="dcterms:W3CDTF">2017-08-16T22:14:00Z</dcterms:modified>
</cp:coreProperties>
</file>