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LeaseTeq Risk Engine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Technical Specification &amp; Scoring Documentation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Model Version 1.2  |  February 2026</w:t>
      </w:r>
    </w:p>
    <w:p>
      <w:pPr>
        <w:pBdr>
          <w:top w:val="single" w:color="1B4F72" w:sz="6" w:space="10"/>
        </w:pBdr>
        <w:spacing w:before="400" w:after="200"/>
        <w:jc w:val="center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LT-RE-SPEC-001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1.2.0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Internal / Confidential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Aralytiks Risk Analytics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26 February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Calibration Cycle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Quarterly (next: May 2026)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LeaseTeq Risk Engine is a real-time microservice that evaluates the credit risk of lease and financing applications. It is called synchronously by the Flowable business process orchestration platform during the application workflow.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engine receives all necessary data in a single HTTP POST request, performs scoring calculations, and returns a risk tier with a recommended decision. It does not query external databases or data warehouses at runtime — all inputs are provided by the caller.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1.1 Architecture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service follows a stateless request-response pattern: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Protocol: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REST/JSON over HTTPS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Endpoint: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POST /v1/risk/evaluate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Auth: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Keycloak OAuth2 Bearer Token (JWT)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Persistence: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Every evaluation is stored in lt_risk_engine.risk_assessment for audit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Events: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Kafka topic risk.assessment.events (async, fire-and-forget)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Latency target: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&lt; 50ms p99 (no external I/O during scoring)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1.2 Scoring Models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engine runs two scoring models in parallel: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Primary (v1.2):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10-factor weighted composite model producing BRIGHT GREEN / GREEN / YELLOW / RED tiers. This drives all decision-making.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Legacy (WoE):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Original 6-factor logistic regression scorecard producing A/B/C/D/E bands with intercept 389. Retained for backward compatibility with BAWAG reporting.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2. Input Specification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Flowable provides all data in the request body. The payload has four top-level sections: customer, vehicle, contract, and dealer. Below is the complete field inventory.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2.1 Customer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1500"/>
        <w:gridCol w:w="3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Audit trail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Age factor, BR-01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party_type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DSCR method, Permit factor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permit_type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Permit factor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monthly_net_income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OCR / manual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B2C DSCR calculation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monthly_rent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OCR / manual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B2C DSCR calculation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monthly_insurance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OCR / manual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B2C DSCR calculation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monthly_alimony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OCR / manual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B2C DSCR calculation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monthly_existing_obligations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B2C DSCR calculation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annual_ebitda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B2B financials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B2B DSCR calculation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total_debt_service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B2B financials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B2B DSCR calculation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crif_score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 (0-1000)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CRIF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CRIF factor, BR-05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intrum_score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 (0-10)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Intrum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Intrum factor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zek_has_entries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ZEK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ZEK factor, BR-04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zek_entry_count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ZEK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ZEK factor, BR-04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2.2 Vehicle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vehicle_price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float (CHF)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LTV factor, VehiclePriceTier factor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vehicle_type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Future use (EV scoring)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vehicle_age_months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Future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is_electric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Future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eurotax_code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Eurotax residual value lookup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2.3 Contract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contract_id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Audit trail, idempotency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financed_amount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float (CHF)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LTV calculation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downpayment_amount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float (CHF)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Reference (LTV uses financed_amount)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term_months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Term factor, BR-08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monthly_payment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float (CHF)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DSCR calculation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residual_value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float (CHF)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Future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interest_rate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float (%)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Pricing analytics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2.4 Dealer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dealer_id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Audit trail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dealer_default_rate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float (0-1)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DealerRisk factor, BR-07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dealer_active_months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DealerRisk factor (new dealer check)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dealer_volume_tier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Future use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3. Scoring Engine (v1.2)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v1.2 model uses 10 independent scoring factors. Each factor maps a raw input value to a bin and assigns a raw score. The composite score is the direct sum of all 10 raw scores. The theoretical range is approximately -59 to +58 points.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3.1 Factor Weights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Factor importance is reflected in the raw score ranges — higher-weight factors have wider score ranges, providing greater separation. The weights below are used for documentation and monitoring purposes.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Contribution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LTV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-8 to +8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CRIF 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-8 to +8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DSCR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-8 to +7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Term Length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-3 to +6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Medium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 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-10 to +7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Medium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Intrum 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-4 to +5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Medium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Permit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-3 to +5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Medium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Vehicle Price Tier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-2 to +3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Low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ZEK 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-7 to +5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Low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Dealer 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-6 to +4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Low impact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3.2 Factor Scoring Details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3.2.1  LTV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Loan-to-Value ratio = financed_amount / vehicle_price. Lower LTV means more equity, less risk.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500"/>
        <w:gridCol w:w="3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Score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Interpretation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&lt;75%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financed &lt; 75% of 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+8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Strong equity cushion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75-85%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75% to 85%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+4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Adequate equity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85-95%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85% to 95%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Neutral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&gt;95%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Over 95% financed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-8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Minimal equity, high exposure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Vehicle price = 0 or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Cannot assess</w:t>
            </w:r>
          </w:p>
        </w:tc>
      </w:tr>
    </w:tbl>
    <w:p>
      <w:pPr>
        <w:spacing w:after="20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3.2.2  Term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Contract term in months. Mid-range terms perform best historically.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500"/>
        <w:gridCol w:w="3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Score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Interpretation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37-48m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37 to 48 months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+6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Optimal term, lowest default 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≤36m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Up to 36 months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+5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Short term, fast amortisation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&gt;48m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Over 48 months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Long exposure window</w:t>
            </w:r>
          </w:p>
        </w:tc>
      </w:tr>
    </w:tbl>
    <w:p>
      <w:pPr>
        <w:spacing w:after="20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3.2.3  Age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Customer age at application date. Derived from date_of_birth.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500"/>
        <w:gridCol w:w="3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Score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Interpretation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-10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Hard decline (BR-01)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18-25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Young adult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-6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Higher risk segment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26-35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Early career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+2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Growing stability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36-45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Mid career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Neutral baseline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46-55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Peak earning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+7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Lowest default 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56+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Senior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Slightly elevated risk</w:t>
            </w:r>
          </w:p>
        </w:tc>
      </w:tr>
    </w:tbl>
    <w:p>
      <w:pPr>
        <w:spacing w:after="20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3.2.4  CRIF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Swiss credit bureau score (0-1000). Provided by upstream CRIF service.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500"/>
        <w:gridCol w:w="3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Score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Interpretation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≥700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Excellent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+8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Top creditworthiness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500-699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+4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Above average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300-499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Fair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Below average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&lt;300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-8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Serious credit issues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CRIF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Cannot assess</w:t>
            </w:r>
          </w:p>
        </w:tc>
      </w:tr>
    </w:tbl>
    <w:p>
      <w:pPr>
        <w:spacing w:after="20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3.2.5  Intrum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Intrum debt collection score. Higher = more positive history (counter-intuitive).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500"/>
        <w:gridCol w:w="3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Score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Interpretation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 / 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data available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Unverifiable 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Single record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+1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Minimal 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Few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Some concerns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&gt;3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Established track record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+5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Proven payment behaviour</w:t>
            </w:r>
          </w:p>
        </w:tc>
      </w:tr>
    </w:tbl>
    <w:p>
      <w:pPr>
        <w:spacing w:after="20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3.2.6  DSCR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Debt Service Coverage Ratio. Calculated internally (see Section 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500"/>
        <w:gridCol w:w="3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Score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Interpretation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Negative (expenses &gt; income)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-8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Cannot service debt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Minimal headroom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3-7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Adequate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Meets minimum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7-15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+3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Comfortable margin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&gt;15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Strong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+7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Very comfortable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Cannot calculate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Insufficient data</w:t>
            </w:r>
          </w:p>
        </w:tc>
      </w:tr>
    </w:tbl>
    <w:p>
      <w:pPr>
        <w:spacing w:after="20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3.2.7  Permit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Combines party_type (B2B/B2C) with Swiss residence permit. B2B overrides permit.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500"/>
        <w:gridCol w:w="3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Score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Interpretation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B2B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Business applicant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Higher volatility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B_permit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B2C + B permit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Temporary residence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C_permit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B2C + C permit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+5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Permanent settlement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 / Diplomat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Short-term / diplomatic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Limited stability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Other_B2C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Unknown / null permit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+2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Default B2C category</w:t>
            </w:r>
          </w:p>
        </w:tc>
      </w:tr>
    </w:tbl>
    <w:p>
      <w:pPr>
        <w:spacing w:after="20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3.2.8  VehiclePriceTier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Risk segmentation by vehicle price (CHF). Affects collateral recovery.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500"/>
        <w:gridCol w:w="3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 (CHF)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Score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Interpretation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Economy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≤ 20,000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Higher loss given default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20,001 - 50,000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+3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Best recovery rates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Premium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50,001 - 100,000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+2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Good collateral 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Luxury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&gt; 100,000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Concentration risk</w:t>
            </w:r>
          </w:p>
        </w:tc>
      </w:tr>
    </w:tbl>
    <w:p>
      <w:pPr>
        <w:spacing w:after="20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3.2.9  ZEK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Swiss central credit information bureau. Tracks negative payment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500"/>
        <w:gridCol w:w="3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Score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Interpretation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negative entries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+5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Clean 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 entry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Single negative entry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Isolated incident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2+ entries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Multiple negatives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Pattern of issues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NOT_CHECKED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ZEK not queried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Neutral (no info)</w:t>
            </w:r>
          </w:p>
        </w:tc>
      </w:tr>
    </w:tbl>
    <w:p>
      <w:pPr>
        <w:spacing w:after="20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3.2.10  DealerRisk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Dealer/partner historical default rate and track record.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500"/>
        <w:gridCol w:w="3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Score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Interpretation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DR ≤ 3%, active 6+ months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+4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Trusted partner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Average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DR 3-8%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Normal performance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Elevated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DR 8-15%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Under watch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DR &gt; 15%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-6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Watchlist dealer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New/Unknown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 6 months or no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Unproven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4. DSCR Calculation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Debt Service Coverage Ratio is calculated internally before factor scoring. Two methods exist depending on the party type.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4.1 B2C Method (Net Income)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individual applicants, DSCR measures how much disposable income remains relative to the new monthly payment.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Formula: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DSCR = (Net Income - Rent - Insurance - Alimony - Existing Obligations - Min Living Cost) / Monthly Payment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Min Living Cost: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CHF 1,350 base + 10% buffer = CHF 1,485 (Swiss Betreibungsrechtliches Existenzminimum)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4.2 B2B Method (EBITDA)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business applicants, DSCR uses company-level cash flow.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Formula: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DSCR = Annual EBITDA / (Existing Annual Debt Service + New Annual Payment)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New Annual Payment: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monthly_payment × 12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4.3 Fallback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required income fields are missing or zero, the DSCR calculator returns is_valid=false. The DSCR factor then assigns a MISSING bin score of -5. For B2C, this also triggers business rule BR-06.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5. Business Rule Overrides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Business rules act as hard gates that force the tier to RED regardless of the composite score. If any rule triggers, the decision becomes DECLINE. Multiple rules can fire simultaneously.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360"/>
        <w:gridCol w:w="2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Forced Outcome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 applicant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Age &lt; 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RED (Decline)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Extreme over-financing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LTV &gt; 120%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RED (Decline)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Negative DSCR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DSCR &lt; 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RED (Decline)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Multiple ZEK negatives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ZEK entries ≥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RED (Decline)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Critical CRIF score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CRIF &lt; 150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RED (Decline)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income data (B2C)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Net income null/0 + DSCR invalid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RED (Decline)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Watchlist dealer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Dealer default rate &gt; 20%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RED (Decline)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Excessive term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Term &gt; 72 months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RED (Decline)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6. Tier Assignment &amp; Decision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computing the composite score and checking business rules, the engine assigns a risk tier and maps it to an automated decision.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6.1 Tier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900"/>
        <w:gridCol w:w="1000"/>
        <w:gridCol w:w="1800"/>
        <w:gridCol w:w="27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PD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Portfolio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BRIGHT GREEN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≥ 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~1.5%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AUTO_APPROVE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Straight-through processing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GREEN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 to 24.99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~3.5%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APPROVE_STANDARD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Standard approval terms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YELLOW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 to 9.99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~7.0%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~24%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MANUAL_REVIEW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Credit analyst review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 0 or Override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~15.0%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DECLINE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Decline or max collateral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6.2 Score-to-Tier Logic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Compute composite_score = sum of all 10 factor raw_scores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Check all 8 business rules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If ANY business rule triggered: tier = RED, decision = DECLINE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Otherwise: apply tier thresholds (≥25 → BRIGHT GREEN, ≥10 → GREEN, ≥0 → YELLOW, &lt;0 → RED)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Map tier to decision (AUTO_APPROVE / APPROVE_STANDARD / MANUAL_REVIEW / DECLINE)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7. Output Specification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response payload returned to Flowable contains everything needed for decision-making and audit trail.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7.1 Primary Decision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BRIGHT_GREEN | GREEN | YELLOW | 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decision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AUTO_APPROVE | APPROVE_STANDARD | MANUAL_REVIEW | DECLINE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total_score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float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Composite score (approx -59 to +58)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probability_of_default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float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Calibrated PD estimate for the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assessment_id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Unique ID for this evaluation (audit key)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model_version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Scoring model version (e.g. 1.2)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7.2 Factor Breakdown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factor_scores array contains one entry per factor with full transparency: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factor_name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Name of the factor (e.g. LTV, CRIF, DSCR)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raw_value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The actual input value (e.g. 80.0%, 720, 4.07)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bin_label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Which bin the value fell into (e.g. 75-85%, ≥700)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float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Factor importance weight (0.05 to 0.15)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raw_score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float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Points assigned for this bin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weighted_score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float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Contribution to composite score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7.3 DSCR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dscr_value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float |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Computed DSCR ratio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monthly_disposable_income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float |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Income after deductions (B2C) or EBITDA/12 - payment (B2B)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monthly_payment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Contract monthly payment used in calculation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calculation_method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B2C_NET_INCOME | B2B_EBITDA | FALLBACK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is_valid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Whether DSCR could be calculated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7.4 Business Rule Override 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Empty array if no rules triggered. Each entry contains: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rule_code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BR-01 through BR-08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rule_description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Human-readable explanation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triggered_value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The actual value that triggered the rule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7.5 Legacy Scorecard (Backward Compatibility)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legacy_score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 | null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WoE scorecard total (range: 333 to 502, intercept: 389)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legacy_band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 (&gt;428) / B (401-428) / C (381-400) / D (361-380) / E (≤360)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8. Calibration &amp; Governance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scoring parameters (factor bins, raw scores, tier thresholds, and business rules) are stored in database tables and managed through a web-based calibration UI. This enables quarterly recalibration without code deployments.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8.1 Calibration Cycle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Frequency: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Every 3 months (March, June, September, December)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Process: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1) Backtest current model on latest portfolio  2) Adjust bins/scores via UI  3) Review &amp; approve  4) Publish new version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Audit: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Every parameter change is versioned with timestamp, author, and approval status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8.2 Configurable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Calibratable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Factor bin boundaries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scoring_factor_bins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 — via 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Factor raw scores per bin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scoring_factor_bins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 — via 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Factor weights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scoring_factor_config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 — via 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Tier thresholds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scoring_tier_thresholds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 — via 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Tier-to-decision mapping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scoring_tier_thresholds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 — via 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PD estimates per tier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scoring_tier_thresholds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 — via 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Business rule conditions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business_rules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 — via 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Business rule enabled/disabled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business_rules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 — via 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DSCR min living cost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scoring_factor_config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 — via UI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9. API Reference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9.1 Evaluate Risk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Endpoint: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POST /v1/risk/evaluate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Auth: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Bearer &lt;JWT&gt; (Keycloak)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Content-Type: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application/json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Idempotency: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Duplicate request_id returns cached result (no re-scoring)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Timeout: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&lt; 200ms recommended client timeout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9.2 Health Check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Endpoint: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GET /v1/risk/health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Response: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{ "status": "ok", "service": "lt-risk-engine", "model_version": "1.2"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</w:rPr>
        <w:t xml:space="preserve">9.3 Calibration API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GET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/v1/admin/factors — List all factor configurations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PUT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/v1/admin/factors/{factor_name}/bins — Update bin definitions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GET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/v1/admin/tiers — List tier thresholds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PUT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/v1/admin/tiers — Update tier thresholds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GET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/v1/admin/rules — List business rules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PUT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/v1/admin/rules/{rule_code} — Update a business rule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POST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/v1/admin/publish — Publish a new model version (snapshot)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2" w:space="4"/>
      </w:pBd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CONFIDENTIAL  |  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  <w:tabs>
        <w:tab w:val="right" w:pos="9026"/>
      </w:tabs>
    </w:pPr>
    <w:r>
      <w:rPr>
        <w:rFonts w:ascii="Arial" w:cs="Arial" w:eastAsia="Arial" w:hAnsi="Arial"/>
        <w:color w:val="7F8C8D"/>
        <w:sz w:val="16"/>
        <w:szCs w:val="16"/>
      </w:rPr>
      <w:t xml:space="preserve">LeaseTeq Risk Engine — Technical Specification</w:t>
    </w:r>
    <w:r>
      <w:rPr>
        <w:rFonts w:ascii="Arial" w:cs="Arial" w:eastAsia="Arial" w:hAnsi="Arial"/>
        <w:color w:val="7F8C8D"/>
        <w:sz w:val="16"/>
        <w:szCs w:val="16"/>
      </w:rPr>
      <w:t xml:space="preserve">	v1.2.0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2026-02-26T17:15:56.760Z</dcterms:created>
  <dcterms:modified xsi:type="dcterms:W3CDTF">2026-02-26T17:15:56.760Z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