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1E3A5F"/>
          <w:sz w:val="64"/>
          <w:szCs w:val="64"/>
        </w:rPr>
        <w:t xml:space="preserve">LeaseTeq Risk Engine</w:t>
      </w:r>
    </w:p>
    <w:p>
      <w:pPr>
        <w:spacing w:after="120" w:before="0"/>
      </w:pPr>
      <w:r>
        <w:rPr>
          <w:rFonts w:ascii="Arial" w:cs="Arial" w:eastAsia="Arial" w:hAnsi="Arial"/>
          <w:color w:val="2E75B6"/>
          <w:sz w:val="40"/>
          <w:szCs w:val="40"/>
        </w:rPr>
        <w:t xml:space="preserve">Business Reference Guide</w:t>
      </w:r>
    </w:p>
    <w:p>
      <w:pPr>
        <w:pBdr>
          <w:bottom w:val="single" w:color="2E75B6" w:sz="8" w:space="4"/>
        </w:pBdr>
        <w:spacing w:after="200" w:before="0"/>
      </w:pPr>
      <w:r>
        <w:rPr>
          <w:rFonts w:ascii="Arial" w:cs="Arial" w:eastAsia="Arial" w:hAnsi="Arial"/>
          <w:i/>
          <w:iCs/>
          <w:color w:val="555555"/>
          <w:sz w:val="22"/>
          <w:szCs w:val="22"/>
        </w:rPr>
        <w:t xml:space="preserve">Complete definition of inputs, scoring logic, and outputs  |  Version 1.2</w:t>
      </w:r>
    </w:p>
    <w:p>
      <w:pPr>
        <w:spacing w:after="80" w:before="160"/>
      </w:pPr>
      <w:r>
        <w:rPr>
          <w:rFonts w:ascii="Arial" w:cs="Arial" w:eastAsia="Arial" w:hAnsi="Arial"/>
          <w:color w:val="555555"/>
          <w:sz w:val="20"/>
          <w:szCs w:val="20"/>
        </w:rPr>
        <w:t xml:space="preserve">Prepared for:</w:t>
      </w:r>
    </w:p>
    <w:p>
      <w:pPr>
        <w:spacing w:after="80" w:before="0"/>
      </w:pPr>
      <w:r>
        <w:rPr>
          <w:rFonts w:ascii="Arial" w:cs="Arial" w:eastAsia="Arial" w:hAnsi="Arial"/>
          <w:b/>
          <w:bCs/>
          <w:color w:val="1E3A5F"/>
          <w:sz w:val="22"/>
          <w:szCs w:val="22"/>
        </w:rPr>
        <w:t xml:space="preserve">LeaseTeq AG, Risk &amp; Credit Team</w:t>
      </w:r>
    </w:p>
    <w:p>
      <w:pPr>
        <w:spacing w:after="80" w:before="0"/>
      </w:pPr>
      <w:r>
        <w:rPr>
          <w:rFonts w:ascii="Arial" w:cs="Arial" w:eastAsia="Arial" w:hAnsi="Arial"/>
          <w:color w:val="555555"/>
          <w:sz w:val="20"/>
          <w:szCs w:val="20"/>
        </w:rPr>
        <w:t xml:space="preserve">Prepared by:</w:t>
      </w:r>
    </w:p>
    <w:p>
      <w:pPr>
        <w:spacing w:after="80" w:before="0"/>
      </w:pPr>
      <w:r>
        <w:rPr>
          <w:rFonts w:ascii="Arial" w:cs="Arial" w:eastAsia="Arial" w:hAnsi="Arial"/>
          <w:b/>
          <w:bCs/>
          <w:color w:val="1E3A5F"/>
          <w:sz w:val="22"/>
          <w:szCs w:val="22"/>
        </w:rPr>
        <w:t xml:space="preserve">Aralytiks LLC</w:t>
      </w:r>
    </w:p>
    <w:p>
      <w:pPr>
        <w:spacing w:after="80" w:before="0"/>
      </w:pPr>
      <w:r>
        <w:rPr>
          <w:rFonts w:ascii="Arial" w:cs="Arial" w:eastAsia="Arial" w:hAnsi="Arial"/>
          <w:color w:val="555555"/>
          <w:sz w:val="20"/>
          <w:szCs w:val="20"/>
        </w:rPr>
        <w:t xml:space="preserve">Date:  February 2026</w:t>
      </w:r>
    </w:p>
    <w:p>
      <w:pPr>
        <w:spacing w:after="80" w:before="0"/>
      </w:pPr>
      <w:r>
        <w:rPr>
          <w:rFonts w:ascii="Arial" w:cs="Arial" w:eastAsia="Arial" w:hAnsi="Arial"/>
          <w:color w:val="555555"/>
          <w:sz w:val="20"/>
          <w:szCs w:val="20"/>
        </w:rPr>
        <w:t xml:space="preserve">Status:  FINAL  |  Classification: CONFIDENTIAL</w:t>
      </w: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1. Executive Overview</w:t>
      </w:r>
    </w:p>
    <w:p>
      <w:pPr>
        <w:spacing w:after="80" w:before="60"/>
      </w:pPr>
      <w:r>
        <w:rPr>
          <w:rFonts w:ascii="Arial" w:cs="Arial" w:eastAsia="Arial" w:hAnsi="Arial"/>
          <w:color w:val="1A1A1A"/>
          <w:sz w:val="20"/>
          <w:szCs w:val="20"/>
        </w:rPr>
        <w:t xml:space="preserve">The LeaseTeq Risk Engine is a real-time credit scoring microservice that evaluates every lease and finance application submitted through the Flowable business process platform. It returns a risk tier and a credit decision within milliseconds, enabling LeaseTeq to automate the majority of its credit decisions while flagging borderline cases for human review.</w:t>
      </w:r>
    </w:p>
    <w:p>
      <w:pPr>
        <w:spacing w:after="60" w:before="60"/>
      </w:pPr>
    </w:p>
    <w:p>
      <w:pPr>
        <w:spacing w:after="80" w:before="60"/>
      </w:pPr>
      <w:r>
        <w:rPr>
          <w:rFonts w:ascii="Arial" w:cs="Arial" w:eastAsia="Arial" w:hAnsi="Arial"/>
          <w:color w:val="1A1A1A"/>
          <w:sz w:val="20"/>
          <w:szCs w:val="20"/>
        </w:rPr>
        <w:t xml:space="preserve">The engine is the single source of truth for credit risk scoring at LeaseTeq. It replaces the previous manual credit review spreadsheets and ad-hoc bureau score lookups with a transparent, auditable, and model-driven process.</w:t>
      </w:r>
    </w:p>
    <w:p>
      <w:pPr>
        <w:spacing w:after="60" w:before="60"/>
      </w:pPr>
    </w:p>
    <w:p>
      <w:pPr>
        <w:pStyle w:val="Heading2"/>
        <w:spacing w:after="100" w:before="280"/>
      </w:pPr>
      <w:r>
        <w:rPr>
          <w:rFonts w:ascii="Arial" w:cs="Arial" w:eastAsia="Arial" w:hAnsi="Arial"/>
          <w:b/>
          <w:bCs/>
          <w:color w:val="2E75B6"/>
          <w:sz w:val="26"/>
          <w:szCs w:val="26"/>
        </w:rPr>
        <w:t xml:space="preserve">1.1  What Problem Does It Solve?</w:t>
      </w:r>
    </w:p>
    <w:p>
      <w:pPr>
        <w:pStyle w:val="ListParagraph"/>
        <w:numPr>
          <w:ilvl w:val="0"/>
          <w:numId w:val="2"/>
        </w:numPr>
        <w:spacing w:after="40" w:before="40"/>
      </w:pPr>
      <w:r>
        <w:rPr>
          <w:rFonts w:ascii="Arial" w:cs="Arial" w:eastAsia="Arial" w:hAnsi="Arial"/>
          <w:color w:val="1A1A1A"/>
          <w:sz w:val="20"/>
          <w:szCs w:val="20"/>
        </w:rPr>
        <w:t xml:space="preserve">Speed: Lease applications require a credit decision in seconds. The risk engine provides this instantly, allowing dealers to give customers immediate answers.</w:t>
      </w:r>
    </w:p>
    <w:p>
      <w:pPr>
        <w:pStyle w:val="ListParagraph"/>
        <w:numPr>
          <w:ilvl w:val="0"/>
          <w:numId w:val="2"/>
        </w:numPr>
        <w:spacing w:after="40" w:before="40"/>
      </w:pPr>
      <w:r>
        <w:rPr>
          <w:rFonts w:ascii="Arial" w:cs="Arial" w:eastAsia="Arial" w:hAnsi="Arial"/>
          <w:color w:val="1A1A1A"/>
          <w:sz w:val="20"/>
          <w:szCs w:val="20"/>
        </w:rPr>
        <w:t xml:space="preserve">Consistency: Every application is scored with the same criteria, eliminating variability caused by different credit analysts making different judgment calls.</w:t>
      </w:r>
    </w:p>
    <w:p>
      <w:pPr>
        <w:pStyle w:val="ListParagraph"/>
        <w:numPr>
          <w:ilvl w:val="0"/>
          <w:numId w:val="2"/>
        </w:numPr>
        <w:spacing w:after="40" w:before="40"/>
      </w:pPr>
      <w:r>
        <w:rPr>
          <w:rFonts w:ascii="Arial" w:cs="Arial" w:eastAsia="Arial" w:hAnsi="Arial"/>
          <w:color w:val="1A1A1A"/>
          <w:sz w:val="20"/>
          <w:szCs w:val="20"/>
        </w:rPr>
        <w:t xml:space="preserve">Auditability: Every input, every factor score, every business rule check, and the final decision are stored permanently and can be retrieved for regulatory review or dispute resolution.</w:t>
      </w:r>
    </w:p>
    <w:p>
      <w:pPr>
        <w:pStyle w:val="ListParagraph"/>
        <w:numPr>
          <w:ilvl w:val="0"/>
          <w:numId w:val="2"/>
        </w:numPr>
        <w:spacing w:after="40" w:before="40"/>
      </w:pPr>
      <w:r>
        <w:rPr>
          <w:rFonts w:ascii="Arial" w:cs="Arial" w:eastAsia="Arial" w:hAnsi="Arial"/>
          <w:color w:val="1A1A1A"/>
          <w:sz w:val="20"/>
          <w:szCs w:val="20"/>
        </w:rPr>
        <w:t xml:space="preserve">Flexibility: Scoring parameters (factor weights, bin boundaries, tier thresholds, business rules) are stored in the database and can be recalibrated quarterly without code changes.</w:t>
      </w:r>
    </w:p>
    <w:p>
      <w:pPr>
        <w:spacing w:after="60" w:before="60"/>
      </w:pPr>
    </w:p>
    <w:p>
      <w:pPr>
        <w:pStyle w:val="Heading2"/>
        <w:spacing w:after="100" w:before="280"/>
      </w:pPr>
      <w:r>
        <w:rPr>
          <w:rFonts w:ascii="Arial" w:cs="Arial" w:eastAsia="Arial" w:hAnsi="Arial"/>
          <w:b/>
          <w:bCs/>
          <w:color w:val="2E75B6"/>
          <w:sz w:val="26"/>
          <w:szCs w:val="26"/>
        </w:rPr>
        <w:t xml:space="preserve">1.2  Who Uses It?</w:t>
      </w:r>
    </w:p>
    <w:p>
      <w:pPr>
        <w:pStyle w:val="ListParagraph"/>
        <w:numPr>
          <w:ilvl w:val="0"/>
          <w:numId w:val="2"/>
        </w:numPr>
        <w:spacing w:after="40" w:before="40"/>
      </w:pPr>
      <w:r>
        <w:rPr>
          <w:rFonts w:ascii="Arial" w:cs="Arial" w:eastAsia="Arial" w:hAnsi="Arial"/>
          <w:color w:val="1A1A1A"/>
          <w:sz w:val="20"/>
          <w:szCs w:val="20"/>
        </w:rPr>
        <w:t xml:space="preserve">Flowable (automated): Calls the engine synchronously with every new lease application. Reads the tier and decision to route the application to the correct workflow branch.</w:t>
      </w:r>
    </w:p>
    <w:p>
      <w:pPr>
        <w:pStyle w:val="ListParagraph"/>
        <w:numPr>
          <w:ilvl w:val="0"/>
          <w:numId w:val="2"/>
        </w:numPr>
        <w:spacing w:after="40" w:before="40"/>
      </w:pPr>
      <w:r>
        <w:rPr>
          <w:rFonts w:ascii="Arial" w:cs="Arial" w:eastAsia="Arial" w:hAnsi="Arial"/>
          <w:color w:val="1A1A1A"/>
          <w:sz w:val="20"/>
          <w:szCs w:val="20"/>
        </w:rPr>
        <w:t xml:space="preserve">Credit Analysts (indirect): Review the detailed factor breakdown for MANUAL_REVIEW cases through the Flowable task interface.</w:t>
      </w:r>
    </w:p>
    <w:p>
      <w:pPr>
        <w:pStyle w:val="ListParagraph"/>
        <w:numPr>
          <w:ilvl w:val="0"/>
          <w:numId w:val="2"/>
        </w:numPr>
        <w:spacing w:after="40" w:before="40"/>
      </w:pPr>
      <w:r>
        <w:rPr>
          <w:rFonts w:ascii="Arial" w:cs="Arial" w:eastAsia="Arial" w:hAnsi="Arial"/>
          <w:color w:val="1A1A1A"/>
          <w:sz w:val="20"/>
          <w:szCs w:val="20"/>
        </w:rPr>
        <w:t xml:space="preserve">Risk Managers: Use the Calibration UI to adjust scoring parameters and publish new model versions.</w:t>
      </w:r>
    </w:p>
    <w:p>
      <w:pPr>
        <w:pStyle w:val="ListParagraph"/>
        <w:numPr>
          <w:ilvl w:val="0"/>
          <w:numId w:val="2"/>
        </w:numPr>
        <w:spacing w:after="40" w:before="40"/>
      </w:pPr>
      <w:r>
        <w:rPr>
          <w:rFonts w:ascii="Arial" w:cs="Arial" w:eastAsia="Arial" w:hAnsi="Arial"/>
          <w:color w:val="1A1A1A"/>
          <w:sz w:val="20"/>
          <w:szCs w:val="20"/>
        </w:rPr>
        <w:t xml:space="preserve">Management / BAWAG Reporting: The legacy WoE scorecard output (A-E band) is used for regulatory portfolio reports.</w:t>
      </w:r>
    </w:p>
    <w:p>
      <w:pPr>
        <w:spacing w:after="60" w:before="60"/>
      </w:pPr>
    </w:p>
    <w:p>
      <w:pPr>
        <w:pStyle w:val="Heading2"/>
        <w:spacing w:after="100" w:before="280"/>
      </w:pPr>
      <w:r>
        <w:rPr>
          <w:rFonts w:ascii="Arial" w:cs="Arial" w:eastAsia="Arial" w:hAnsi="Arial"/>
          <w:b/>
          <w:bCs/>
          <w:color w:val="2E75B6"/>
          <w:sz w:val="26"/>
          <w:szCs w:val="26"/>
        </w:rPr>
        <w:t xml:space="preserve">1.3  System Context</w:t>
      </w:r>
    </w:p>
    <w:p>
      <w:pPr>
        <w:spacing w:after="80" w:before="60"/>
      </w:pPr>
      <w:r>
        <w:rPr>
          <w:rFonts w:ascii="Arial" w:cs="Arial" w:eastAsia="Arial" w:hAnsi="Arial"/>
          <w:color w:val="1A1A1A"/>
          <w:sz w:val="20"/>
          <w:szCs w:val="20"/>
        </w:rPr>
        <w:t xml:space="preserve">The Risk Engine operates as a stateless microservice within the LeaseTeq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Flowable BPM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Caller (POST)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Sends full application context, receives tier + decision</w:t>
            </w:r>
          </w:p>
        </w:tc>
      </w:tr>
      <w:tr>
        <w:tc>
          <w:tcPr>
            <w:tcW w:type="dxa" w:w="22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DataHub / DWH</w:t>
            </w:r>
          </w:p>
        </w:tc>
        <w:tc>
          <w:tcPr>
            <w:tcW w:type="dxa" w:w="1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Read-only (batch)</w:t>
            </w:r>
          </w:p>
        </w:tc>
        <w:tc>
          <w:tcPr>
            <w:tcW w:type="dxa" w:w="5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Source of historical portfolio data for dealer metrics and model recalibration</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CRIF / Intrum / ZEK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Upstream (via Flowable)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Bureau scores are fetched by Flowable and passed in the request payload</w:t>
            </w:r>
          </w:p>
        </w:tc>
      </w:tr>
      <w:tr>
        <w:tc>
          <w:tcPr>
            <w:tcW w:type="dxa" w:w="22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Zefix / UID Register</w:t>
            </w:r>
          </w:p>
        </w:tc>
        <w:tc>
          <w:tcPr>
            <w:tcW w:type="dxa" w:w="1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Upstream (via Flowable)</w:t>
            </w:r>
          </w:p>
        </w:tc>
        <w:tc>
          <w:tcPr>
            <w:tcW w:type="dxa" w:w="5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Company registration status and legal form for B2B applications</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Keycloak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Authentication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Validates JWT bearer tokens on every API call</w:t>
            </w:r>
          </w:p>
        </w:tc>
      </w:tr>
      <w:tr>
        <w:tc>
          <w:tcPr>
            <w:tcW w:type="dxa" w:w="22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Kafka</w:t>
            </w:r>
          </w:p>
        </w:tc>
        <w:tc>
          <w:tcPr>
            <w:tcW w:type="dxa" w:w="1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Event stream (optional)</w:t>
            </w:r>
          </w:p>
        </w:tc>
        <w:tc>
          <w:tcPr>
            <w:tcW w:type="dxa" w:w="5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Publishes risk.assessment.events for downstream consumers</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PostgreSQL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Persistence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Stores every risk assessment for audit and recalibration</w:t>
            </w:r>
          </w:p>
        </w:tc>
      </w:tr>
      <w:tr>
        <w:tc>
          <w:tcPr>
            <w:tcW w:type="dxa" w:w="22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Prometheus</w:t>
            </w:r>
          </w:p>
        </w:tc>
        <w:tc>
          <w:tcPr>
            <w:tcW w:type="dxa" w:w="1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Monitoring</w:t>
            </w:r>
          </w:p>
        </w:tc>
        <w:tc>
          <w:tcPr>
            <w:tcW w:type="dxa" w:w="5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Collects engine performance metrics at /metrics</w:t>
            </w:r>
          </w:p>
        </w:tc>
      </w:tr>
    </w:tbl>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2. Input Payload — Complete Field Definitions</w:t>
      </w:r>
    </w:p>
    <w:p>
      <w:pPr>
        <w:spacing w:after="80" w:before="60"/>
      </w:pPr>
      <w:r>
        <w:rPr>
          <w:rFonts w:ascii="Arial" w:cs="Arial" w:eastAsia="Arial" w:hAnsi="Arial"/>
          <w:color w:val="1A1A1A"/>
          <w:sz w:val="20"/>
          <w:szCs w:val="20"/>
        </w:rPr>
        <w:t xml:space="preserve">Flowable sends a single JSON POST request to POST /v1/risk/evaluate. The request contains everything the engine needs — the risk engine is stateless and never fetches data from external sources during scoring. All bureau scores and company information are pre-fetched by upstream services and included in the request.</w:t>
      </w:r>
    </w:p>
    <w:p>
      <w:pPr>
        <w:pStyle w:val="Heading2"/>
        <w:spacing w:after="100" w:before="280"/>
      </w:pPr>
      <w:r>
        <w:rPr>
          <w:rFonts w:ascii="Arial" w:cs="Arial" w:eastAsia="Arial" w:hAnsi="Arial"/>
          <w:b/>
          <w:bCs/>
          <w:color w:val="2E75B6"/>
          <w:sz w:val="26"/>
          <w:szCs w:val="26"/>
        </w:rPr>
        <w:t xml:space="preserve">2.1  Top-Level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47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request_id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Unique idempotency key generated by Flowable. If the same request_id is received twice, the engine returns the cached result without re-scoring.</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timestamp</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ISO-8601 String</w:t>
            </w:r>
          </w:p>
        </w:tc>
        <w:tc>
          <w:tcPr>
            <w:tcW w:type="dxa" w:w="1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Timestamp of when Flowable initiated the scoring request. Used for audit trail.</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customer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Applicant demographics, financial data, and bureau scores. See Section 2.2.</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vehicle</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Object</w:t>
            </w:r>
          </w:p>
        </w:tc>
        <w:tc>
          <w:tcPr>
            <w:tcW w:type="dxa" w:w="1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Vehicle / collateral details. See Section 2.3.</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contract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Object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Proposed lease contract terms. See Section 2.4.</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dealer</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Object</w:t>
            </w:r>
          </w:p>
        </w:tc>
        <w:tc>
          <w:tcPr>
            <w:tcW w:type="dxa" w:w="1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Originating dealer information. See Section 2.5.</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model_version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Override the scoring model version. Defaults to the currently published version (1.2).</w:t>
            </w:r>
          </w:p>
        </w:tc>
      </w:tr>
    </w:tbl>
    <w:p>
      <w:pPr>
        <w:spacing w:after="60" w:before="60"/>
      </w:pPr>
    </w:p>
    <w:p>
      <w:pPr>
        <w:pStyle w:val="Heading2"/>
        <w:spacing w:after="100" w:before="280"/>
      </w:pPr>
      <w:r>
        <w:rPr>
          <w:rFonts w:ascii="Arial" w:cs="Arial" w:eastAsia="Arial" w:hAnsi="Arial"/>
          <w:b/>
          <w:bCs/>
          <w:color w:val="2E75B6"/>
          <w:sz w:val="26"/>
          <w:szCs w:val="26"/>
        </w:rPr>
        <w:t xml:space="preserve">2.2  Customer Data Fields</w:t>
      </w:r>
    </w:p>
    <w:p>
      <w:pPr>
        <w:spacing w:after="80" w:before="60"/>
      </w:pPr>
      <w:r>
        <w:rPr>
          <w:rFonts w:ascii="Arial" w:cs="Arial" w:eastAsia="Arial" w:hAnsi="Arial"/>
          <w:color w:val="1A1A1A"/>
          <w:sz w:val="20"/>
          <w:szCs w:val="20"/>
        </w:rPr>
        <w:t xml:space="preserve">Customer data is provided by Flowable from the ODS (Operational Data Store). For B2C applicants, this is individual financial data. For B2B applicants, this is company financial data.</w:t>
      </w:r>
    </w:p>
    <w:p>
      <w:pPr>
        <w:spacing w:after="60" w:before="60"/>
      </w:pPr>
    </w:p>
    <w:p>
      <w:pPr>
        <w:pStyle w:val="Heading3"/>
        <w:spacing w:after="60" w:before="180"/>
      </w:pPr>
      <w:r>
        <w:rPr>
          <w:rFonts w:ascii="Arial" w:cs="Arial" w:eastAsia="Arial" w:hAnsi="Arial"/>
          <w:b/>
          <w:bCs/>
          <w:color w:val="17A589"/>
          <w:sz w:val="22"/>
          <w:szCs w:val="22"/>
        </w:rPr>
        <w:t xml:space="preserve">2.2.1  Common Fields (B2C and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customer_id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Internal LeaseTeq customer identifier. Used for audit trail and deduplication.</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party_type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Enum</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B2C (individual consumer) or B2B (company/legal entity). Determines which scoring path and factor set the engine uses.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crif_score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Integer (0-1000)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CRIF bureau score. Higher is better. 700+ = excellent, &lt;300 = high risk. Missing triggers a -5.0 score penalty.</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annual_revenue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Total annual company revenue. Used in B2B debt ratio calculation.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annual_ebitda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Earnings Before Interest, Taxes, Depreciation, and Amortisation. Primary B2B DSCR numerator.</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total_debt_service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Float (CHF/year)</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Sum of all existing annual debt payments (existing loans, leases). New contract payment is added on top.</w:t>
            </w:r>
          </w:p>
        </w:tc>
      </w:tr>
    </w:tbl>
    <w:p>
      <w:pPr>
        <w:spacing w:after="60" w:before="60"/>
      </w:pPr>
    </w:p>
    <w:p>
      <w:pPr>
        <w:pStyle w:val="Heading3"/>
        <w:spacing w:after="60" w:before="180"/>
      </w:pPr>
      <w:r>
        <w:rPr>
          <w:rFonts w:ascii="Arial" w:cs="Arial" w:eastAsia="Arial" w:hAnsi="Arial"/>
          <w:b/>
          <w:bCs/>
          <w:color w:val="17A589"/>
          <w:sz w:val="22"/>
          <w:szCs w:val="22"/>
        </w:rPr>
        <w:t xml:space="preserve">2.2.2  B2C-Only Fields (Individual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Required for B2C</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date_of_birth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Recommended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Used to calculate age for factor scoring and BR-01 minor check. NULL for B2B companies.</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permit_type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Enum</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Swiss residence permit: B (limited), C (permanent), L (short-term), Diplomat, or Unknown. Affects residency risk scoring.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nationality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ISO country code. Provided for context; not directly used in scoring in v1.2.</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income_type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Enum</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Employment status: employed, self_employed, retired, unemployed, or other. Provides context for DSCR interpretation.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monthly_gross_income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Monthly gross income before tax. Used as a reference if net income is missing.</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monthly_net_income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Recommended</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Monthly net income after tax. Primary input for the B2C DSCR calculation.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monthly_existing_obligations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Sum of existing monthly loan and lease payments. Deducted in DSCR calculation.</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monthly_rent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Monthly housing cost. Deducted in DSCR calculation. Omitting this understates living costs.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monthly_insurance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Monthly insurance premiums. Deducted in DSCR calculation.</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monthly_alimony</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Monthly alimony or maintenance payments. Deducted in DSCR calculation.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intrum_score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Integer (0-10)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Intrum debt collection score. A score of 0 means no Intrum data exists (negative indicator). A score &gt;3 means established credit history (positive indicator).</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zek_has_entries</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Boolean</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True if the applicant has negative ZEK (Zentrale Kreditinformation) entries. ZEK is the Swiss central credit bureau.</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zek_entry_count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Number of negative ZEK entries. Three or more triggers a hard decline (BR-04).</w:t>
            </w:r>
          </w:p>
        </w:tc>
      </w:tr>
    </w:tbl>
    <w:p>
      <w:pPr>
        <w:spacing w:after="60" w:before="60"/>
      </w:pPr>
    </w:p>
    <w:p>
      <w:pPr>
        <w:pStyle w:val="Heading3"/>
        <w:spacing w:after="60" w:before="180"/>
      </w:pPr>
      <w:r>
        <w:rPr>
          <w:rFonts w:ascii="Arial" w:cs="Arial" w:eastAsia="Arial" w:hAnsi="Arial"/>
          <w:b/>
          <w:bCs/>
          <w:color w:val="17A589"/>
          <w:sz w:val="22"/>
          <w:szCs w:val="22"/>
        </w:rPr>
        <w:t xml:space="preserve">2.2.3  B2B-Only Fields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Required for B2B</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company_age_years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Integer (years)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Recommended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Years since the company was founded, sourced from Zefix UID Register or CRM. Companies under 2 years trigger BR-B03 hard decline.</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zefix_status</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Enum</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Recommended</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Company registration status from the Swiss Zefix commercial register. DISSOLVED and SUSPENDED trigger hard decline (BR-B01). NOT_FOUND triggers BR-B02. Values: ACTIVE, DISSOLVED, SUSPENDED, NOT_FOUND, UNKNOWN.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legal_form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Recommended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Swiss legal form (Rechtsform). AG (Aktiengesellschaft) is the most established form and scores highest. Einzelfirma (sole proprietorship) scores lowest. Values: AG, GmbH, KG, Einzelfirma, Other, Unknown.</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industry_risk</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Enum</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Recommended</w:t>
            </w:r>
          </w:p>
        </w:tc>
        <w:tc>
          <w:tcPr>
            <w:tcW w:type="dxa" w:w="4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Industry risk tier mapped from NACE/UID industry code by an upstream classification service. Values: Low (healthcare, education, finance), Medium (manufacturing, retail), High (construction, transport), Critical (mining, highly cyclical sectors), Unknown.</w:t>
            </w:r>
          </w:p>
        </w:tc>
      </w:tr>
    </w:tbl>
    <w:p>
      <w:pPr>
        <w:spacing w:after="60" w:before="60"/>
      </w:pPr>
    </w:p>
    <w:p>
      <w:pPr>
        <w:pStyle w:val="Heading2"/>
        <w:spacing w:after="100" w:before="280"/>
      </w:pPr>
      <w:r>
        <w:rPr>
          <w:rFonts w:ascii="Arial" w:cs="Arial" w:eastAsia="Arial" w:hAnsi="Arial"/>
          <w:b/>
          <w:bCs/>
          <w:color w:val="2E75B6"/>
          <w:sz w:val="26"/>
          <w:szCs w:val="26"/>
        </w:rPr>
        <w:t xml:space="preserve">2.3  Vehicle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vehicle_price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Full vehicle purchase price including VAT. Used to calculate LTV (Loan-to-Value ratio), which is the single most important collateral metric.</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vehicle_type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Vehicle category (e.g., 'passenger_car', 'van', 'truck'). Provided for context.</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vehicle_age_months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Age of the vehicle in months. New = 0. Provided for context; not used in v1.2 scoring.</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is_electric</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Boolean</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Whether the vehicle is fully electric. Provided for context; not used in v1.2 scoring.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eurotax_code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Eurotax vehicle code for residual value reference. Provided for context.</w:t>
            </w:r>
          </w:p>
        </w:tc>
      </w:tr>
    </w:tbl>
    <w:p>
      <w:pPr>
        <w:spacing w:after="60" w:before="60"/>
      </w:pPr>
    </w:p>
    <w:p>
      <w:pPr>
        <w:pStyle w:val="Heading2"/>
        <w:spacing w:after="100" w:before="280"/>
      </w:pPr>
      <w:r>
        <w:rPr>
          <w:rFonts w:ascii="Arial" w:cs="Arial" w:eastAsia="Arial" w:hAnsi="Arial"/>
          <w:b/>
          <w:bCs/>
          <w:color w:val="2E75B6"/>
          <w:sz w:val="26"/>
          <w:szCs w:val="26"/>
        </w:rPr>
        <w:t xml:space="preserve">2.4  Contract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contract_id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Flowable contract identifier. Used for linking the risk assessment to the contract in downstream systems.</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financed_amount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The total amount being financed (not necessarily the full vehicle price — may exclude downpayment). LTV = financed_amount / vehicle_price.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downpayment_amount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Upfront payment by the customer. Higher downpayment = lower LTV = lower risk.</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residual_value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Balloon/residual payment at end of term. Affects total cost but not directly used in v1.2 scoring.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term_months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Lease duration in months. Longer terms (&gt;48m) increase risk (more time for default) and score negatively. Maximum is 72 months (BR-08).</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monthly_payment</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Float (CHF)</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Proposed monthly lease payment. The denominator in the DSCR calculation.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interest_rate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Float (%)</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Annual interest rate. Provided for context.</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product_type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Product category (e.g., 'full_service_leasing', 'finance_leasing'). Provided for context.</w:t>
            </w:r>
          </w:p>
        </w:tc>
      </w:tr>
    </w:tbl>
    <w:p>
      <w:pPr>
        <w:spacing w:after="60" w:before="60"/>
      </w:pPr>
    </w:p>
    <w:p>
      <w:pPr>
        <w:pStyle w:val="Heading2"/>
        <w:spacing w:after="100" w:before="280"/>
      </w:pPr>
      <w:r>
        <w:rPr>
          <w:rFonts w:ascii="Arial" w:cs="Arial" w:eastAsia="Arial" w:hAnsi="Arial"/>
          <w:b/>
          <w:bCs/>
          <w:color w:val="2E75B6"/>
          <w:sz w:val="26"/>
          <w:szCs w:val="26"/>
        </w:rPr>
        <w:t xml:space="preserve">2.5  Dealer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dealer_id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Unique dealer identifier. Used to look up historical default rates from the dealer_risk_metrics table.</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dealer_name</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Human-readable dealer name for display and reporting.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dealer_default_rate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Float (0-1)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dealer's historical default rate from the nightly DataHub refresh. 0.05 = 5%. Rates above 20% trigger BR-07 hard decline.</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dealer_active_months</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Integer</w:t>
            </w:r>
          </w:p>
        </w:tc>
        <w:tc>
          <w:tcPr>
            <w:tcW w:type="dxa" w:w="9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How many months the dealer has been active with LeaseTeq. Dealers with fewer than 6 active months are treated as 'new' and score -2.0 (NEW_DEALER bin).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dealer_volume_tier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Portfolio size tier: BRONZE, SILVER, GOLD, PLATINUM. Provided for reference.</w:t>
            </w:r>
          </w:p>
        </w:tc>
      </w:tr>
    </w:tbl>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3. Scoring Logic</w:t>
      </w:r>
    </w:p>
    <w:p>
      <w:pPr>
        <w:spacing w:after="80" w:before="60"/>
      </w:pPr>
      <w:r>
        <w:rPr>
          <w:rFonts w:ascii="Arial" w:cs="Arial" w:eastAsia="Arial" w:hAnsi="Arial"/>
          <w:color w:val="1A1A1A"/>
          <w:sz w:val="20"/>
          <w:szCs w:val="20"/>
        </w:rPr>
        <w:t xml:space="preserve">The scoring engine operates in seven steps. Steps 1-6 are performed for every request, regardless of application type.</w:t>
      </w:r>
    </w:p>
    <w:p>
      <w:pPr>
        <w:spacing w:after="60" w:before="60"/>
      </w:pPr>
    </w:p>
    <w:p>
      <w:pPr>
        <w:pStyle w:val="Heading2"/>
        <w:spacing w:after="100" w:before="280"/>
      </w:pPr>
      <w:r>
        <w:rPr>
          <w:rFonts w:ascii="Arial" w:cs="Arial" w:eastAsia="Arial" w:hAnsi="Arial"/>
          <w:b/>
          <w:bCs/>
          <w:color w:val="2E75B6"/>
          <w:sz w:val="26"/>
          <w:szCs w:val="26"/>
        </w:rPr>
        <w:t xml:space="preserve">3.1  Step 1: DSCR Calculation</w:t>
      </w:r>
    </w:p>
    <w:p>
      <w:pPr>
        <w:spacing w:after="80" w:before="60"/>
      </w:pPr>
      <w:r>
        <w:rPr>
          <w:rFonts w:ascii="Arial" w:cs="Arial" w:eastAsia="Arial" w:hAnsi="Arial"/>
          <w:color w:val="1A1A1A"/>
          <w:sz w:val="20"/>
          <w:szCs w:val="20"/>
        </w:rPr>
        <w:t xml:space="preserve">The Debt Service Coverage Ratio (DSCR) measures whether the applicant can afford the new lease payment after all other financial obligations are met. The calculation method differs for B2C and B2B:</w:t>
      </w:r>
    </w:p>
    <w:p>
      <w:pPr>
        <w:spacing w:after="60" w:before="60"/>
      </w:pPr>
    </w:p>
    <w:p>
      <w:pPr>
        <w:pStyle w:val="Heading3"/>
        <w:spacing w:after="60" w:before="180"/>
      </w:pPr>
      <w:r>
        <w:rPr>
          <w:rFonts w:ascii="Arial" w:cs="Arial" w:eastAsia="Arial" w:hAnsi="Arial"/>
          <w:b/>
          <w:bCs/>
          <w:color w:val="17A589"/>
          <w:sz w:val="22"/>
          <w:szCs w:val="22"/>
        </w:rPr>
        <w:t xml:space="preserve">B2C DSCR (Individual Consumers)</w:t>
      </w:r>
    </w:p>
    <w:p>
      <w:pPr>
        <w:spacing w:after="80" w:before="60"/>
      </w:pPr>
      <w:r>
        <w:rPr>
          <w:rFonts w:ascii="Arial" w:cs="Arial" w:eastAsia="Arial" w:hAnsi="Arial"/>
          <w:color w:val="1A1A1A"/>
          <w:sz w:val="20"/>
          <w:szCs w:val="20"/>
        </w:rPr>
        <w:t xml:space="preserve">Formula:  DSCR = Disposable Income / Monthly Lease Payment</w:t>
      </w:r>
    </w:p>
    <w:p>
      <w:pPr>
        <w:spacing w:after="80" w:before="60"/>
      </w:pPr>
      <w:r>
        <w:rPr>
          <w:rFonts w:ascii="Arial" w:cs="Arial" w:eastAsia="Arial" w:hAnsi="Arial"/>
          <w:color w:val="1A1A1A"/>
          <w:sz w:val="20"/>
          <w:szCs w:val="20"/>
        </w:rPr>
        <w:t xml:space="preserve">Where:  Disposable Income = Net Monthly Income - Rent - Insurance - Alimony - Existing Obligations - Minimum Living Cost Buffer</w:t>
      </w:r>
    </w:p>
    <w:p>
      <w:pPr>
        <w:spacing w:after="80" w:before="60"/>
        <w:ind w:left="360"/>
      </w:pPr>
      <w:r>
        <w:rPr>
          <w:rFonts w:ascii="Arial" w:cs="Arial" w:eastAsia="Arial" w:hAnsi="Arial"/>
          <w:i/>
          <w:iCs/>
          <w:color w:val="555555"/>
          <w:sz w:val="18"/>
          <w:szCs w:val="18"/>
        </w:rPr>
        <w:t xml:space="preserve">The minimum living cost buffer is CHF 1,485 per month (CHF 1,350 base + 10% safety margin), based on the Swiss Betreibungsrechtliches Existenzminimum for a single person.</w:t>
      </w:r>
    </w:p>
    <w:p>
      <w:pPr>
        <w:spacing w:after="60" w:before="60"/>
      </w:pPr>
    </w:p>
    <w:p>
      <w:pPr>
        <w:pStyle w:val="Heading3"/>
        <w:spacing w:after="60" w:before="180"/>
      </w:pPr>
      <w:r>
        <w:rPr>
          <w:rFonts w:ascii="Arial" w:cs="Arial" w:eastAsia="Arial" w:hAnsi="Arial"/>
          <w:b/>
          <w:bCs/>
          <w:color w:val="17A589"/>
          <w:sz w:val="22"/>
          <w:szCs w:val="22"/>
        </w:rPr>
        <w:t xml:space="preserve">B2B DSCR (Companies)</w:t>
      </w:r>
    </w:p>
    <w:p>
      <w:pPr>
        <w:spacing w:after="80" w:before="60"/>
      </w:pPr>
      <w:r>
        <w:rPr>
          <w:rFonts w:ascii="Arial" w:cs="Arial" w:eastAsia="Arial" w:hAnsi="Arial"/>
          <w:color w:val="1A1A1A"/>
          <w:sz w:val="20"/>
          <w:szCs w:val="20"/>
        </w:rPr>
        <w:t xml:space="preserve">Formula:  DSCR = Annual EBITDA / Total Annual Debt Service</w:t>
      </w:r>
    </w:p>
    <w:p>
      <w:pPr>
        <w:spacing w:after="80" w:before="60"/>
      </w:pPr>
      <w:r>
        <w:rPr>
          <w:rFonts w:ascii="Arial" w:cs="Arial" w:eastAsia="Arial" w:hAnsi="Arial"/>
          <w:color w:val="1A1A1A"/>
          <w:sz w:val="20"/>
          <w:szCs w:val="20"/>
        </w:rPr>
        <w:t xml:space="preserve">Where:  Total Annual Debt Service = Existing Annual Debt Service + (New Monthly Payment x 12)</w:t>
      </w:r>
    </w:p>
    <w:p>
      <w:pPr>
        <w:spacing w:after="80" w:before="60"/>
        <w:ind w:left="360"/>
      </w:pPr>
      <w:r>
        <w:rPr>
          <w:rFonts w:ascii="Arial" w:cs="Arial" w:eastAsia="Arial" w:hAnsi="Arial"/>
          <w:i/>
          <w:iCs/>
          <w:color w:val="555555"/>
          <w:sz w:val="18"/>
          <w:szCs w:val="18"/>
        </w:rPr>
        <w:t xml:space="preserve">A B2B DSCR below 1.0 means the company's EBITDA does not cover its debt obligations — a strong indicator of distress. A healthy B2B DSCR is typically 1.5 or above.</w:t>
      </w:r>
    </w:p>
    <w:p>
      <w:pPr>
        <w:spacing w:after="60" w:before="60"/>
      </w:pPr>
    </w:p>
    <w:p>
      <w:pPr>
        <w:pStyle w:val="Heading2"/>
        <w:spacing w:after="100" w:before="280"/>
      </w:pPr>
      <w:r>
        <w:rPr>
          <w:rFonts w:ascii="Arial" w:cs="Arial" w:eastAsia="Arial" w:hAnsi="Arial"/>
          <w:b/>
          <w:bCs/>
          <w:color w:val="2E75B6"/>
          <w:sz w:val="26"/>
          <w:szCs w:val="26"/>
        </w:rPr>
        <w:t xml:space="preserve">3.2  Step 2: Factor Scoring</w:t>
      </w:r>
    </w:p>
    <w:p>
      <w:pPr>
        <w:spacing w:after="80" w:before="60"/>
      </w:pPr>
      <w:r>
        <w:rPr>
          <w:rFonts w:ascii="Arial" w:cs="Arial" w:eastAsia="Arial" w:hAnsi="Arial"/>
          <w:color w:val="1A1A1A"/>
          <w:sz w:val="20"/>
          <w:szCs w:val="20"/>
        </w:rPr>
        <w:t xml:space="preserve">Ten factors are scored for every application. B2C and B2B use different factor sets, though five factors are shared. Each factor maps the raw input to a score bin, and the bin has a raw score attached. The raw scores are derived from Weight of Evidence (WoE) analysis on the LeaseTeq historical portfolio (2,461-contract development sample, validated on 3,930 contracts in February 2026).</w:t>
      </w:r>
    </w:p>
    <w:p>
      <w:pPr>
        <w:spacing w:after="60" w:before="60"/>
      </w:pPr>
    </w:p>
    <w:p>
      <w:pPr>
        <w:spacing w:after="80" w:before="60"/>
      </w:pPr>
      <w:r>
        <w:rPr>
          <w:rFonts w:ascii="Arial" w:cs="Arial" w:eastAsia="Arial" w:hAnsi="Arial"/>
          <w:color w:val="1A1A1A"/>
          <w:sz w:val="20"/>
          <w:szCs w:val="20"/>
        </w:rPr>
        <w:t xml:space="preserve">Higher score = lower credit risk. Each factor's raw score ranges from approximately -10 to +8.</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2800"/>
        <w:gridCol w:w="27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B2C Wgt</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B2B Wgt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B2C: What It Measures</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B2B Equivalent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LTV</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Loan-to-Value ratio. &lt;75% = strong collateral protection (+8). &gt;95% = over-financed (-8).</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Same (LTV)</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Term</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Lease duration. 37-48 months is optimal (+6). &gt;48 months = extended repayment horizon (-3).</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Same (Term)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Age / CompanyAge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Applicant age. Peak at 46-55 years (+7). Under 25 or over 55 = higher statistical risk.</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Company age in years from Zefix. Mature firms (&gt;=20y) score +8. &lt;2y triggers hard decline.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CRIF</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External credit bureau score 0-1000. Excellent (&gt;=700) = +8. Poor (&lt;300) = -8.</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Same CRIF, lower weight for B2B (CRIF less predictive for companies).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Intrum / DebtRatio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Intrum debt collection history. &gt;3 entries = established history (+5). 0 entries = no data (-4).</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Annual debt service as % of revenue. &lt;20% = low leverage (+5). &gt;60% = distressed (-6).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DSCR</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B2C disposable income coverage ratio. 7-15x = good (+3). &lt;0 = negative DSCR (-8).</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B2B EBITDA-based. 1.5-2.0 = good (+5). &lt;1.0 = cannot service debt (-8). Higher weight in B2B.</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Permit / CompanyType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Swiss residence permit. C permit (permanent) = +5. B permit = -3.</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Legal form + Zefix status. AG = +5. Dissolved/Suspended = -10 (also hard decline).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VehiclePriceTier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Vehicle price segment. Mid-range CHF 20k-50k = +3. Economy (&lt;20k) or Luxury (&gt;100k) = lower.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Same (VehiclePriceTier)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ZEK / IndustryRisk</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Swiss ZEK central credit bureau. Clean record = +5. 2+ negative entries = -7.</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Industry risk tier. Low (healthcare, finance) = +5. Critical (mining) = -8.</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DealerRisk</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Dealer default rate. &lt;3% = trusted dealer (+4). &gt;15% = high-risk dealer (-6).</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Same (DealerRisk)</w:t>
            </w:r>
          </w:p>
        </w:tc>
      </w:tr>
    </w:tbl>
    <w:p>
      <w:pPr>
        <w:spacing w:after="60" w:before="60"/>
      </w:pPr>
    </w:p>
    <w:p>
      <w:pPr>
        <w:pStyle w:val="Heading2"/>
        <w:spacing w:after="100" w:before="280"/>
      </w:pPr>
      <w:r>
        <w:rPr>
          <w:rFonts w:ascii="Arial" w:cs="Arial" w:eastAsia="Arial" w:hAnsi="Arial"/>
          <w:b/>
          <w:bCs/>
          <w:color w:val="2E75B6"/>
          <w:sz w:val="26"/>
          <w:szCs w:val="26"/>
        </w:rPr>
        <w:t xml:space="preserve">3.3  Step 3: Composite Score</w:t>
      </w:r>
    </w:p>
    <w:p>
      <w:pPr>
        <w:spacing w:after="80" w:before="60"/>
      </w:pPr>
      <w:r>
        <w:rPr>
          <w:rFonts w:ascii="Arial" w:cs="Arial" w:eastAsia="Arial" w:hAnsi="Arial"/>
          <w:color w:val="1A1A1A"/>
          <w:sz w:val="20"/>
          <w:szCs w:val="20"/>
        </w:rPr>
        <w:t xml:space="preserve">The composite score is the direct sum of all ten factor raw scores. The weights shown above describe the relative importance of each factor and are used in the factor breakdown report, but the actual total score is additive (not a weighted average).</w:t>
      </w:r>
    </w:p>
    <w:p>
      <w:pPr>
        <w:spacing w:after="80" w:before="60"/>
        <w:ind w:left="360"/>
      </w:pPr>
      <w:r>
        <w:rPr>
          <w:rFonts w:ascii="Arial" w:cs="Arial" w:eastAsia="Arial" w:hAnsi="Arial"/>
          <w:i/>
          <w:iCs/>
          <w:color w:val="555555"/>
          <w:sz w:val="18"/>
          <w:szCs w:val="18"/>
        </w:rPr>
        <w:t xml:space="preserve">Score range approximately -75 (worst) to +53 (best). The typical applicant scores between -10 and +35.</w:t>
      </w:r>
    </w:p>
    <w:p>
      <w:pPr>
        <w:spacing w:after="60" w:before="60"/>
      </w:pPr>
    </w:p>
    <w:p>
      <w:pPr>
        <w:pStyle w:val="Heading2"/>
        <w:spacing w:after="100" w:before="280"/>
      </w:pPr>
      <w:r>
        <w:rPr>
          <w:rFonts w:ascii="Arial" w:cs="Arial" w:eastAsia="Arial" w:hAnsi="Arial"/>
          <w:b/>
          <w:bCs/>
          <w:color w:val="2E75B6"/>
          <w:sz w:val="26"/>
          <w:szCs w:val="26"/>
        </w:rPr>
        <w:t xml:space="preserve">3.4  Step 4: Tier Assignment</w:t>
      </w:r>
    </w:p>
    <w:p>
      <w:pPr>
        <w:spacing w:after="80" w:before="60"/>
      </w:pPr>
      <w:r>
        <w:rPr>
          <w:rFonts w:ascii="Arial" w:cs="Arial" w:eastAsia="Arial" w:hAnsi="Arial"/>
          <w:color w:val="1A1A1A"/>
          <w:sz w:val="20"/>
          <w:szCs w:val="20"/>
        </w:rPr>
        <w:t xml:space="preserve">The composite score is mapped to one of four risk tiers: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60"/>
        <w:gridCol w:w="200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3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Flowable Decision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Calibrated PD</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BRIGHT_GREEN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25 and above</w:t>
            </w:r>
          </w:p>
        </w:tc>
        <w:tc>
          <w:tcPr>
            <w:tcW w:type="dxa" w:w="30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AUTO_APPROVE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500"/>
            <w:tcBorders>
              <w:top w:val="single" w:color="CCCCCC" w:sz="1"/>
              <w:left w:val="single" w:color="CCCCCC" w:sz="1"/>
              <w:bottom w:val="single" w:color="CCCCCC" w:sz="1"/>
              <w:right w:val="single" w:color="CCCCCC" w:sz="1"/>
            </w:tcBorders>
            <w:shd w:fill="A9DFBF" w:val="clear"/>
            <w:tcMar>
              <w:top w:type="dxa" w:w="80"/>
              <w:left w:type="dxa" w:w="120"/>
              <w:bottom w:type="dxa" w:w="80"/>
              <w:right w:type="dxa" w:w="120"/>
            </w:tcMar>
          </w:tcPr>
          <w:p>
            <w:r>
              <w:rPr>
                <w:rFonts w:ascii="Arial" w:cs="Arial" w:eastAsia="Arial" w:hAnsi="Arial"/>
                <w:b/>
                <w:bCs/>
                <w:color w:val="217A3B"/>
                <w:sz w:val="20"/>
                <w:szCs w:val="20"/>
              </w:rPr>
              <w:t xml:space="preserve">GREEN</w:t>
            </w:r>
          </w:p>
        </w:tc>
        <w:tc>
          <w:tcPr>
            <w:tcW w:type="dxa" w:w="1800"/>
            <w:tcBorders>
              <w:top w:val="single" w:color="CCCCCC" w:sz="1"/>
              <w:left w:val="single" w:color="CCCCCC" w:sz="1"/>
              <w:bottom w:val="single" w:color="CCCCCC" w:sz="1"/>
              <w:right w:val="single" w:color="CCCCCC" w:sz="1"/>
            </w:tcBorders>
            <w:shd w:fill="A9DFBF" w:val="clear"/>
            <w:tcMar>
              <w:top w:type="dxa" w:w="80"/>
              <w:left w:type="dxa" w:w="120"/>
              <w:bottom w:type="dxa" w:w="80"/>
              <w:right w:type="dxa" w:w="120"/>
            </w:tcMar>
          </w:tcPr>
          <w:p>
            <w:r>
              <w:rPr>
                <w:rFonts w:ascii="Arial" w:cs="Arial" w:eastAsia="Arial" w:hAnsi="Arial"/>
                <w:sz w:val="20"/>
                <w:szCs w:val="20"/>
              </w:rPr>
              <w:t xml:space="preserve">10 to 24.99</w:t>
            </w:r>
          </w:p>
        </w:tc>
        <w:tc>
          <w:tcPr>
            <w:tcW w:type="dxa" w:w="3060"/>
            <w:tcBorders>
              <w:top w:val="single" w:color="CCCCCC" w:sz="1"/>
              <w:left w:val="single" w:color="CCCCCC" w:sz="1"/>
              <w:bottom w:val="single" w:color="CCCCCC" w:sz="1"/>
              <w:right w:val="single" w:color="CCCCCC" w:sz="1"/>
            </w:tcBorders>
            <w:shd w:fill="A9DFBF" w:val="clear"/>
            <w:tcMar>
              <w:top w:type="dxa" w:w="80"/>
              <w:left w:type="dxa" w:w="120"/>
              <w:bottom w:type="dxa" w:w="80"/>
              <w:right w:type="dxa" w:w="120"/>
            </w:tcMar>
          </w:tcPr>
          <w:p>
            <w:r>
              <w:rPr>
                <w:rFonts w:ascii="Arial" w:cs="Arial" w:eastAsia="Arial" w:hAnsi="Arial"/>
                <w:sz w:val="20"/>
                <w:szCs w:val="20"/>
              </w:rPr>
              <w:t xml:space="preserve">APPROVE_STANDARD</w:t>
            </w:r>
          </w:p>
        </w:tc>
        <w:tc>
          <w:tcPr>
            <w:tcW w:type="dxa" w:w="2000"/>
            <w:tcBorders>
              <w:top w:val="single" w:color="CCCCCC" w:sz="1"/>
              <w:left w:val="single" w:color="CCCCCC" w:sz="1"/>
              <w:bottom w:val="single" w:color="CCCCCC" w:sz="1"/>
              <w:right w:val="single" w:color="CCCCCC" w:sz="1"/>
            </w:tcBorders>
            <w:shd w:fill="A9DFB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5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tcPr>
          <w:p>
            <w:r>
              <w:rPr>
                <w:rFonts w:ascii="Arial" w:cs="Arial" w:eastAsia="Arial" w:hAnsi="Arial"/>
                <w:b/>
                <w:bCs/>
                <w:color w:val="D4860B"/>
                <w:sz w:val="20"/>
                <w:szCs w:val="20"/>
              </w:rPr>
              <w:t xml:space="preserve">YELLOW</w:t>
            </w:r>
          </w:p>
        </w:tc>
        <w:tc>
          <w:tcPr>
            <w:tcW w:type="dxa" w:w="18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tcPr>
          <w:p>
            <w:r>
              <w:rPr>
                <w:rFonts w:ascii="Arial" w:cs="Arial" w:eastAsia="Arial" w:hAnsi="Arial"/>
                <w:sz w:val="20"/>
                <w:szCs w:val="20"/>
              </w:rPr>
              <w:t xml:space="preserve">0 to 9.99</w:t>
            </w:r>
          </w:p>
        </w:tc>
        <w:tc>
          <w:tcPr>
            <w:tcW w:type="dxa" w:w="306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tcPr>
          <w:p>
            <w:r>
              <w:rPr>
                <w:rFonts w:ascii="Arial" w:cs="Arial" w:eastAsia="Arial" w:hAnsi="Arial"/>
                <w:sz w:val="20"/>
                <w:szCs w:val="20"/>
              </w:rPr>
              <w:t xml:space="preserve">MANUAL_REVIEW</w:t>
            </w:r>
          </w:p>
        </w:tc>
        <w:tc>
          <w:tcPr>
            <w:tcW w:type="dxa" w:w="2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tcPr>
          <w:p>
            <w:r>
              <w:rPr>
                <w:rFonts w:ascii="Arial" w:cs="Arial" w:eastAsia="Arial" w:hAnsi="Arial"/>
                <w:sz w:val="20"/>
                <w:szCs w:val="20"/>
              </w:rPr>
              <w:t xml:space="preserve">~7.0%</w:t>
            </w:r>
          </w:p>
        </w:tc>
      </w:tr>
      <w:tr>
        <w:tc>
          <w:tcPr>
            <w:tcW w:type="dxa" w:w="250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r>
              <w:rPr>
                <w:rFonts w:ascii="Arial" w:cs="Arial" w:eastAsia="Arial" w:hAnsi="Arial"/>
                <w:b/>
                <w:bCs/>
                <w:color w:val="C0392B"/>
                <w:sz w:val="20"/>
                <w:szCs w:val="20"/>
              </w:rPr>
              <w:t xml:space="preserve">RED</w:t>
            </w:r>
          </w:p>
        </w:tc>
        <w:tc>
          <w:tcPr>
            <w:tcW w:type="dxa" w:w="180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r>
              <w:rPr>
                <w:rFonts w:ascii="Arial" w:cs="Arial" w:eastAsia="Arial" w:hAnsi="Arial"/>
                <w:sz w:val="20"/>
                <w:szCs w:val="20"/>
              </w:rPr>
              <w:t xml:space="preserve">Below 0</w:t>
            </w:r>
          </w:p>
        </w:tc>
        <w:tc>
          <w:tcPr>
            <w:tcW w:type="dxa" w:w="306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r>
              <w:rPr>
                <w:rFonts w:ascii="Arial" w:cs="Arial" w:eastAsia="Arial" w:hAnsi="Arial"/>
                <w:sz w:val="20"/>
                <w:szCs w:val="20"/>
              </w:rPr>
              <w:t xml:space="preserve">DECLINE</w:t>
            </w:r>
          </w:p>
        </w:tc>
        <w:tc>
          <w:tcPr>
            <w:tcW w:type="dxa" w:w="2000"/>
            <w:tcBorders>
              <w:top w:val="single" w:color="CCCCCC" w:sz="1"/>
              <w:left w:val="single" w:color="CCCCCC" w:sz="1"/>
              <w:bottom w:val="single" w:color="CCCCCC" w:sz="1"/>
              <w:right w:val="single" w:color="CCCCCC" w:sz="1"/>
            </w:tcBorders>
            <w:shd w:fill="F5B7B1" w:val="clear"/>
            <w:tcMar>
              <w:top w:type="dxa" w:w="80"/>
              <w:left w:type="dxa" w:w="120"/>
              <w:bottom w:type="dxa" w:w="80"/>
              <w:right w:type="dxa" w:w="120"/>
            </w:tcMar>
          </w:tcPr>
          <w:p>
            <w:r>
              <w:rPr>
                <w:rFonts w:ascii="Arial" w:cs="Arial" w:eastAsia="Arial" w:hAnsi="Arial"/>
                <w:sz w:val="20"/>
                <w:szCs w:val="20"/>
              </w:rPr>
              <w:t xml:space="preserve">~15.0%</w:t>
            </w:r>
          </w:p>
        </w:tc>
      </w:tr>
    </w:tbl>
    <w:p>
      <w:pPr>
        <w:spacing w:after="60" w:before="60"/>
      </w:pPr>
    </w:p>
    <w:p>
      <w:pPr>
        <w:spacing w:after="80" w:before="60"/>
        <w:ind w:left="360"/>
      </w:pPr>
      <w:r>
        <w:rPr>
          <w:rFonts w:ascii="Arial" w:cs="Arial" w:eastAsia="Arial" w:hAnsi="Arial"/>
          <w:i/>
          <w:iCs/>
          <w:color w:val="555555"/>
          <w:sz w:val="18"/>
          <w:szCs w:val="18"/>
        </w:rPr>
        <w:t xml:space="preserve">Tier thresholds can be adjusted in the Calibration UI by publishing a new model version. PD estimates are based on backtest on 3,930 contracts (February 2026).</w:t>
      </w:r>
    </w:p>
    <w:p>
      <w:pPr>
        <w:spacing w:after="60" w:before="60"/>
      </w:pPr>
    </w:p>
    <w:p>
      <w:pPr>
        <w:pStyle w:val="Heading2"/>
        <w:spacing w:after="100" w:before="280"/>
      </w:pPr>
      <w:r>
        <w:rPr>
          <w:rFonts w:ascii="Arial" w:cs="Arial" w:eastAsia="Arial" w:hAnsi="Arial"/>
          <w:b/>
          <w:bCs/>
          <w:color w:val="2E75B6"/>
          <w:sz w:val="26"/>
          <w:szCs w:val="26"/>
        </w:rPr>
        <w:t xml:space="preserve">3.5  Step 5: Business Rule Overrides (Hard Kills)</w:t>
      </w:r>
    </w:p>
    <w:p>
      <w:pPr>
        <w:spacing w:after="80" w:before="60"/>
      </w:pPr>
      <w:r>
        <w:rPr>
          <w:rFonts w:ascii="Arial" w:cs="Arial" w:eastAsia="Arial" w:hAnsi="Arial"/>
          <w:color w:val="1A1A1A"/>
          <w:sz w:val="20"/>
          <w:szCs w:val="20"/>
        </w:rPr>
        <w:t xml:space="preserve">Business rules are hard conditions that force the tier to RED and the decision to DECLINE regardless of the composite score. A high-scoring application that triggers even one business rule is declined.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200"/>
        <w:gridCol w:w="3760"/>
      </w:tblGrid>
      <w:tr>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Code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Applies To</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1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BR-01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B2C only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Applicant age under 18</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Minors cannot legally enter into lease contracts in Switzerland.</w:t>
            </w:r>
          </w:p>
        </w:tc>
      </w:tr>
      <w:tr>
        <w:tc>
          <w:tcPr>
            <w:tcW w:type="dxa" w:w="1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BR-02</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All</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LTV exceeds 120%</w:t>
            </w:r>
          </w:p>
        </w:tc>
        <w:tc>
          <w:tcPr>
            <w:tcW w:type="dxa" w:w="3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Extreme over-financing — financed amount far exceeds vehicle value. Unacceptable collateral risk.</w:t>
            </w:r>
          </w:p>
        </w:tc>
      </w:tr>
      <w:tr>
        <w:tc>
          <w:tcPr>
            <w:tcW w:type="dxa" w:w="1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BR-03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DSCR is negative (below 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Expenses exceed income. The applicant cannot cover even existing obligations.</w:t>
            </w:r>
          </w:p>
        </w:tc>
      </w:tr>
      <w:tr>
        <w:tc>
          <w:tcPr>
            <w:tcW w:type="dxa" w:w="1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BR-04</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B2C only</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 or more negative ZEK entries</w:t>
            </w:r>
          </w:p>
        </w:tc>
        <w:tc>
          <w:tcPr>
            <w:tcW w:type="dxa" w:w="3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Multiple active credit defaults indicate serious financial distress.</w:t>
            </w:r>
          </w:p>
        </w:tc>
      </w:tr>
      <w:tr>
        <w:tc>
          <w:tcPr>
            <w:tcW w:type="dxa" w:w="1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BR-05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CRIF score below 150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Critically low creditworthiness — at the extreme low end of the bureau range.</w:t>
            </w:r>
          </w:p>
        </w:tc>
      </w:tr>
      <w:tr>
        <w:tc>
          <w:tcPr>
            <w:tcW w:type="dxa" w:w="1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BR-06</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B2C only</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 income data and DSCR cannot be calculated</w:t>
            </w:r>
          </w:p>
        </w:tc>
        <w:tc>
          <w:tcPr>
            <w:tcW w:type="dxa" w:w="3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Cannot assess repayment capacity without income information.</w:t>
            </w:r>
          </w:p>
        </w:tc>
      </w:tr>
      <w:tr>
        <w:tc>
          <w:tcPr>
            <w:tcW w:type="dxa" w:w="1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BR-07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Dealer default rate above 20%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Dealer is on the risk watchlist. Elevated fraud or quality risk associated with this channel.</w:t>
            </w:r>
          </w:p>
        </w:tc>
      </w:tr>
      <w:tr>
        <w:tc>
          <w:tcPr>
            <w:tcW w:type="dxa" w:w="1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BR-08</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All</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Contract term exceeds 72 months</w:t>
            </w:r>
          </w:p>
        </w:tc>
        <w:tc>
          <w:tcPr>
            <w:tcW w:type="dxa" w:w="3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LeaseTeq's maximum permitted lease term is 72 months.</w:t>
            </w:r>
          </w:p>
        </w:tc>
      </w:tr>
      <w:tr>
        <w:tc>
          <w:tcPr>
            <w:tcW w:type="dxa" w:w="1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BR-B01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B2B only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Company dissolved or suspended in Zefix</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company no longer legally exists or is under liquidation proceedings.</w:t>
            </w:r>
          </w:p>
        </w:tc>
      </w:tr>
      <w:tr>
        <w:tc>
          <w:tcPr>
            <w:tcW w:type="dxa" w:w="1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BR-B02</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B2B only</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Company not found in Zefix</w:t>
            </w:r>
          </w:p>
        </w:tc>
        <w:tc>
          <w:tcPr>
            <w:tcW w:type="dxa" w:w="3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Cannot verify the existence of the company in the Swiss commercial register.</w:t>
            </w:r>
          </w:p>
        </w:tc>
      </w:tr>
      <w:tr>
        <w:tc>
          <w:tcPr>
            <w:tcW w:type="dxa" w:w="1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BR-B03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B2B only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Company less than 2 years old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Insufficient operating history to assess creditworthiness. Too new = unproven.</w:t>
            </w:r>
          </w:p>
        </w:tc>
      </w:tr>
      <w:tr>
        <w:tc>
          <w:tcPr>
            <w:tcW w:type="dxa" w:w="10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BR-B04</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B2B only</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 EBITDA data provided</w:t>
            </w:r>
          </w:p>
        </w:tc>
        <w:tc>
          <w:tcPr>
            <w:tcW w:type="dxa" w:w="3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Cannot calculate B2B DSCR without EBITDA. Debt coverage is unassessable.</w:t>
            </w:r>
          </w:p>
        </w:tc>
      </w:tr>
    </w:tbl>
    <w:p>
      <w:pPr>
        <w:spacing w:after="60" w:before="60"/>
      </w:pPr>
    </w:p>
    <w:p>
      <w:pPr>
        <w:pStyle w:val="Heading2"/>
        <w:spacing w:after="100" w:before="280"/>
      </w:pPr>
      <w:r>
        <w:rPr>
          <w:rFonts w:ascii="Arial" w:cs="Arial" w:eastAsia="Arial" w:hAnsi="Arial"/>
          <w:b/>
          <w:bCs/>
          <w:color w:val="2E75B6"/>
          <w:sz w:val="26"/>
          <w:szCs w:val="26"/>
        </w:rPr>
        <w:t xml:space="preserve">3.6  Step 6: Legacy WoE Scorecard (B2C only)</w:t>
      </w:r>
    </w:p>
    <w:p>
      <w:pPr>
        <w:spacing w:after="80" w:before="60"/>
      </w:pPr>
      <w:r>
        <w:rPr>
          <w:rFonts w:ascii="Arial" w:cs="Arial" w:eastAsia="Arial" w:hAnsi="Arial"/>
          <w:color w:val="1A1A1A"/>
          <w:sz w:val="20"/>
          <w:szCs w:val="20"/>
        </w:rPr>
        <w:t xml:space="preserve">For backward compatibility with BAWAG reporting, a legacy 6-factor logistic regression scorecard is computed alongside the composite score for B2C applications. This produces a points total (range approximately 333-502) and a band letter: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Band</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Above 428</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Very low risk — best quality applicants</w:t>
            </w:r>
          </w:p>
        </w:tc>
      </w:tr>
      <w:tr>
        <w:tc>
          <w:tcPr>
            <w:tcW w:type="dxa" w:w="12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B</w:t>
            </w:r>
          </w:p>
        </w:tc>
        <w:tc>
          <w:tcPr>
            <w:tcW w:type="dxa" w:w="2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401 to 428</w:t>
            </w:r>
          </w:p>
        </w:tc>
        <w:tc>
          <w:tcPr>
            <w:tcW w:type="dxa" w:w="5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Low risk — standard approval category</w:t>
            </w:r>
          </w:p>
        </w:tc>
      </w:tr>
      <w:tr>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381 to 400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Moderate risk — acceptable but monitor</w:t>
            </w:r>
          </w:p>
        </w:tc>
      </w:tr>
      <w:tr>
        <w:tc>
          <w:tcPr>
            <w:tcW w:type="dxa" w:w="12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w:t>
            </w:r>
          </w:p>
        </w:tc>
        <w:tc>
          <w:tcPr>
            <w:tcW w:type="dxa" w:w="2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361 to 380</w:t>
            </w:r>
          </w:p>
        </w:tc>
        <w:tc>
          <w:tcPr>
            <w:tcW w:type="dxa" w:w="57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Elevated risk — requires enhanced review</w:t>
            </w:r>
          </w:p>
        </w:tc>
      </w:tr>
      <w:tr>
        <w:tc>
          <w:tcPr>
            <w:tcW w:type="dxa" w:w="1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360 and below</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High risk — typically declined</w:t>
            </w:r>
          </w:p>
        </w:tc>
      </w:tr>
    </w:tbl>
    <w:p>
      <w:pPr>
        <w:spacing w:after="80" w:before="60"/>
        <w:ind w:left="360"/>
      </w:pPr>
      <w:r>
        <w:rPr>
          <w:rFonts w:ascii="Arial" w:cs="Arial" w:eastAsia="Arial" w:hAnsi="Arial"/>
          <w:i/>
          <w:iCs/>
          <w:color w:val="555555"/>
          <w:sz w:val="18"/>
          <w:szCs w:val="18"/>
        </w:rPr>
        <w:t xml:space="preserve">B2B applications receive null for legacy_score and legacy_band. The legacy scorecard uses 6 factors: LTV, Term, Age, Intrum, Permit, DSCR.</w:t>
      </w: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4. Output Payload — Complete Field Definitions</w:t>
      </w:r>
    </w:p>
    <w:p>
      <w:pPr>
        <w:spacing w:after="80" w:before="60"/>
      </w:pPr>
      <w:r>
        <w:rPr>
          <w:rFonts w:ascii="Arial" w:cs="Arial" w:eastAsia="Arial" w:hAnsi="Arial"/>
          <w:color w:val="1A1A1A"/>
          <w:sz w:val="20"/>
          <w:szCs w:val="20"/>
        </w:rPr>
        <w:t xml:space="preserve">The engine returns a JSON response to Flowable synchronously. Flowable uses tier and decision to route the application. The full breakdown is available for analyst review and audit.</w:t>
      </w:r>
    </w:p>
    <w:p>
      <w:pPr>
        <w:spacing w:after="60" w:before="60"/>
      </w:pPr>
    </w:p>
    <w:p>
      <w:pPr>
        <w:pStyle w:val="Heading2"/>
        <w:spacing w:after="100" w:before="280"/>
      </w:pPr>
      <w:r>
        <w:rPr>
          <w:rFonts w:ascii="Arial" w:cs="Arial" w:eastAsia="Arial" w:hAnsi="Arial"/>
          <w:b/>
          <w:bCs/>
          <w:color w:val="2E75B6"/>
          <w:sz w:val="26"/>
          <w:szCs w:val="26"/>
        </w:rPr>
        <w:t xml:space="preserve">4.1  Primary 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request_id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Echo of the request_id from the input. Enables Flowable to match the response to the application.</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assessment_id</w:t>
            </w:r>
          </w:p>
        </w:tc>
        <w:tc>
          <w:tcPr>
            <w:tcW w:type="dxa" w:w="1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UUID String</w:t>
            </w:r>
          </w:p>
        </w:tc>
        <w:tc>
          <w:tcPr>
            <w:tcW w:type="dxa" w:w="5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Internal unique identifier for this risk assessment. Use this to retrieve the full audit record.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model_version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scoring model version used (e.g. '1.2'). Important for audit and recalibration tracking.</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total_score</w:t>
            </w:r>
          </w:p>
        </w:tc>
        <w:tc>
          <w:tcPr>
            <w:tcW w:type="dxa" w:w="1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Float</w:t>
            </w:r>
          </w:p>
        </w:tc>
        <w:tc>
          <w:tcPr>
            <w:tcW w:type="dxa" w:w="5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The composite risk score. Higher = lower risk. Range approximately -75 to +53.</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tier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risk tier: BRIGHT_GREEN, GREEN, YELLOW, or RED. This is the primary output that Flowable uses.</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decision</w:t>
            </w:r>
          </w:p>
        </w:tc>
        <w:tc>
          <w:tcPr>
            <w:tcW w:type="dxa" w:w="1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Enum</w:t>
            </w:r>
          </w:p>
        </w:tc>
        <w:tc>
          <w:tcPr>
            <w:tcW w:type="dxa" w:w="5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The recommended credit action: AUTO_APPROVE, APPROVE_STANDARD, MANUAL_REVIEW, or DECLINE. Directly maps from tier.</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probability_of_default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Float (0-1)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Calibrated estimate of 12-month probability of default (annualised, through-the-cycle). 0.015 = 1.5% PD.</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evaluated_at</w:t>
            </w:r>
          </w:p>
        </w:tc>
        <w:tc>
          <w:tcPr>
            <w:tcW w:type="dxa" w:w="1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ISO-8601 DateTime</w:t>
            </w:r>
          </w:p>
        </w:tc>
        <w:tc>
          <w:tcPr>
            <w:tcW w:type="dxa" w:w="5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Timestamp when the scoring was performed.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processing_time_ms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Time taken to score the application in milliseconds. Typically under 50ms.</w:t>
            </w:r>
          </w:p>
        </w:tc>
      </w:tr>
    </w:tbl>
    <w:p>
      <w:pPr>
        <w:spacing w:after="60" w:before="60"/>
      </w:pPr>
    </w:p>
    <w:p>
      <w:pPr>
        <w:pStyle w:val="Heading2"/>
        <w:spacing w:after="100" w:before="280"/>
      </w:pPr>
      <w:r>
        <w:rPr>
          <w:rFonts w:ascii="Arial" w:cs="Arial" w:eastAsia="Arial" w:hAnsi="Arial"/>
          <w:b/>
          <w:bCs/>
          <w:color w:val="2E75B6"/>
          <w:sz w:val="26"/>
          <w:szCs w:val="26"/>
        </w:rPr>
        <w:t xml:space="preserve">4.2  Factor Score Breakdown</w:t>
      </w:r>
    </w:p>
    <w:p>
      <w:pPr>
        <w:spacing w:after="80" w:before="60"/>
      </w:pPr>
      <w:r>
        <w:rPr>
          <w:rFonts w:ascii="Arial" w:cs="Arial" w:eastAsia="Arial" w:hAnsi="Arial"/>
          <w:color w:val="1A1A1A"/>
          <w:sz w:val="20"/>
          <w:szCs w:val="20"/>
        </w:rPr>
        <w:t xml:space="preserve">The factor_scores array contains one entry per factor, providing full transparency into why the application received its score. Each entry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Sub-field</w:t>
            </w:r>
          </w:p>
        </w:tc>
        <w:tc>
          <w:tcPr>
            <w:tcW w:type="dxa" w:w="6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factor_name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Name of the factor (e.g., 'LTV', 'CRIF', 'DSCR').</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raw_value</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The raw input value that was scored (e.g., '78.5%' for LTV, '650' for CRIF).</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bin_label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Human-readable description of which bin the raw value fell into (e.g., '75-85%', '500-699 (Good)').</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weight</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The factor's weight in the scoring model (between 0 and 1, sums to 1.0).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raw_score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score assigned to this bin (e.g., +4.0 for a good LTV, -8.0 for a poor CRIF).</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weighted_score</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Same as raw_score in v1.2. Included for forward compatibility.</w:t>
            </w:r>
          </w:p>
        </w:tc>
      </w:tr>
    </w:tbl>
    <w:p>
      <w:pPr>
        <w:spacing w:after="60" w:before="60"/>
      </w:pPr>
    </w:p>
    <w:p>
      <w:pPr>
        <w:pStyle w:val="Heading2"/>
        <w:spacing w:after="100" w:before="280"/>
      </w:pPr>
      <w:r>
        <w:rPr>
          <w:rFonts w:ascii="Arial" w:cs="Arial" w:eastAsia="Arial" w:hAnsi="Arial"/>
          <w:b/>
          <w:bCs/>
          <w:color w:val="2E75B6"/>
          <w:sz w:val="26"/>
          <w:szCs w:val="26"/>
        </w:rPr>
        <w:t xml:space="preserve">4.3  DSCR Result</w:t>
      </w:r>
    </w:p>
    <w:p>
      <w:pPr>
        <w:spacing w:after="80" w:before="60"/>
      </w:pPr>
      <w:r>
        <w:rPr>
          <w:rFonts w:ascii="Arial" w:cs="Arial" w:eastAsia="Arial" w:hAnsi="Arial"/>
          <w:color w:val="1A1A1A"/>
          <w:sz w:val="20"/>
          <w:szCs w:val="20"/>
        </w:rPr>
        <w:t xml:space="preserve">The dscr field contains the full DSCR calculation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Sub-field</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dscr_value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calculated DSCR ratio. Null if insufficient data was provided.</w:t>
            </w:r>
          </w:p>
        </w:tc>
      </w:tr>
      <w:tr>
        <w:tc>
          <w:tcPr>
            <w:tcW w:type="dxa" w:w="28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monthly_disposable_income</w:t>
            </w:r>
          </w:p>
        </w:tc>
        <w:tc>
          <w:tcPr>
            <w:tcW w:type="dxa" w:w="6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For B2C: monthly income after all deductions (CHF). For B2B: monthly EBITDA minus new payment.</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monthly_payment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proposed lease payment used as the denominator.</w:t>
            </w:r>
          </w:p>
        </w:tc>
      </w:tr>
      <w:tr>
        <w:tc>
          <w:tcPr>
            <w:tcW w:type="dxa" w:w="28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calculation_method</w:t>
            </w:r>
          </w:p>
        </w:tc>
        <w:tc>
          <w:tcPr>
            <w:tcW w:type="dxa" w:w="6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B2C_NET_INCOME (used B2C net income formula), B2B_EBITDA (used B2B EBITDA formula), or FALLBACK (insufficient data).</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is_valid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True if a DSCR could be calculated. False triggers BR-03/BR-06/BR-B04 checks.</w:t>
            </w:r>
          </w:p>
        </w:tc>
      </w:tr>
    </w:tbl>
    <w:p>
      <w:pPr>
        <w:spacing w:after="60" w:before="60"/>
      </w:pPr>
    </w:p>
    <w:p>
      <w:pPr>
        <w:pStyle w:val="Heading2"/>
        <w:spacing w:after="100" w:before="280"/>
      </w:pPr>
      <w:r>
        <w:rPr>
          <w:rFonts w:ascii="Arial" w:cs="Arial" w:eastAsia="Arial" w:hAnsi="Arial"/>
          <w:b/>
          <w:bCs/>
          <w:color w:val="2E75B6"/>
          <w:sz w:val="26"/>
          <w:szCs w:val="26"/>
        </w:rPr>
        <w:t xml:space="preserve">4.4  Business Rule Overrides</w:t>
      </w:r>
    </w:p>
    <w:p>
      <w:pPr>
        <w:spacing w:after="80" w:before="60"/>
      </w:pPr>
      <w:r>
        <w:rPr>
          <w:rFonts w:ascii="Arial" w:cs="Arial" w:eastAsia="Arial" w:hAnsi="Arial"/>
          <w:color w:val="1A1A1A"/>
          <w:sz w:val="20"/>
          <w:szCs w:val="20"/>
        </w:rPr>
        <w:t xml:space="preserve">The business_rule_overrides array lists all business rules that were triggered. An empty array means no hard rules fired. Each entry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Sub-field</w:t>
            </w:r>
          </w:p>
        </w:tc>
        <w:tc>
          <w:tcPr>
            <w:tcW w:type="dxa" w:w="6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rule_code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rule identifier (e.g., 'BR-01', 'BR-B03').</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rule_description</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Human-readable description of what the rule checks.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triggered_value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The actual value that caused the rule to fire (e.g., 'Age: 16.2', 'LTV: 125.4%').</w:t>
            </w:r>
          </w:p>
        </w:tc>
      </w:tr>
    </w:tbl>
    <w:p>
      <w:pPr>
        <w:spacing w:after="60" w:before="60"/>
      </w:pPr>
    </w:p>
    <w:p>
      <w:pPr>
        <w:pStyle w:val="Heading2"/>
        <w:spacing w:after="100" w:before="280"/>
      </w:pPr>
      <w:r>
        <w:rPr>
          <w:rFonts w:ascii="Arial" w:cs="Arial" w:eastAsia="Arial" w:hAnsi="Arial"/>
          <w:b/>
          <w:bCs/>
          <w:color w:val="2E75B6"/>
          <w:sz w:val="26"/>
          <w:szCs w:val="26"/>
        </w:rPr>
        <w:t xml:space="preserve">4.5  Legacy Scorecard (B2C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legacy_score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WoE logistic regression scorecard total points (range ~333-502). Null for B2B.</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legacy_band</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Risk band letter A through E. Null for B2B. Band A = lowest risk.</w:t>
            </w:r>
          </w:p>
        </w:tc>
      </w:tr>
    </w:tbl>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5. Worked Scoring Examples</w:t>
      </w:r>
    </w:p>
    <w:p>
      <w:pPr>
        <w:pStyle w:val="Heading2"/>
        <w:spacing w:after="100" w:before="280"/>
      </w:pPr>
      <w:r>
        <w:rPr>
          <w:rFonts w:ascii="Arial" w:cs="Arial" w:eastAsia="Arial" w:hAnsi="Arial"/>
          <w:b/>
          <w:bCs/>
          <w:color w:val="2E75B6"/>
          <w:sz w:val="26"/>
          <w:szCs w:val="26"/>
        </w:rPr>
        <w:t xml:space="preserve">5.1  Example 1: B2C AUTO_APPROVE</w:t>
      </w:r>
    </w:p>
    <w:p>
      <w:pPr>
        <w:spacing w:after="80" w:before="60"/>
      </w:pPr>
      <w:r>
        <w:rPr>
          <w:rFonts w:ascii="Arial" w:cs="Arial" w:eastAsia="Arial" w:hAnsi="Arial"/>
          <w:color w:val="1A1A1A"/>
          <w:sz w:val="20"/>
          <w:szCs w:val="20"/>
        </w:rPr>
        <w:t xml:space="preserve">A 44-year-old Swiss national with C permit applies for a CHF 38,000 car lease, financing CHF 30,000 over 48 months at CHF 695/month. Monthly net income is CHF 7,200. CRIF score 720, Intrum 5, no ZEK entries.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Raw Value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Bin</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Score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LTV</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78.9%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75-85%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+4.0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Term</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48 months</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37-48m</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+6.0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44 years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36-45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0.0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CRIF</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720</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&gt;=700 (Excellent)</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+8.0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Intrum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&gt;3 (Established)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DSCR</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~3.8x</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3-7 (Adequate)</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0.0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Permit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C_permit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VehiclePriceTier</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38,000</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20k-50k (Mid)</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ZEK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Clean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 negative entries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DealerRisk</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4.2%</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3-8% (Average)</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0.0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Total Score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+36.0 → BRIGHT_GREEN → AUTO_APPROVE</w:t>
            </w:r>
          </w:p>
        </w:tc>
      </w:tr>
    </w:tbl>
    <w:p>
      <w:pPr>
        <w:spacing w:after="60" w:before="60"/>
      </w:pPr>
    </w:p>
    <w:p>
      <w:pPr>
        <w:pStyle w:val="Heading2"/>
        <w:spacing w:after="100" w:before="280"/>
      </w:pPr>
      <w:r>
        <w:rPr>
          <w:rFonts w:ascii="Arial" w:cs="Arial" w:eastAsia="Arial" w:hAnsi="Arial"/>
          <w:b/>
          <w:bCs/>
          <w:color w:val="2E75B6"/>
          <w:sz w:val="26"/>
          <w:szCs w:val="26"/>
        </w:rPr>
        <w:t xml:space="preserve">5.2  Example 2: B2B MANUAL_REVIEW</w:t>
      </w:r>
    </w:p>
    <w:p>
      <w:pPr>
        <w:spacing w:after="80" w:before="60"/>
      </w:pPr>
      <w:r>
        <w:rPr>
          <w:rFonts w:ascii="Arial" w:cs="Arial" w:eastAsia="Arial" w:hAnsi="Arial"/>
          <w:color w:val="1A1A1A"/>
          <w:sz w:val="20"/>
          <w:szCs w:val="20"/>
        </w:rPr>
        <w:t xml:space="preserve">A 7-year-old GmbH in the retail industry applies for a CHF 65,000 van lease, financing CHF 55,000 over 60 months at CHF 1,050/month. Annual EBITDA CHF 180,000, annual revenue CHF 800,000, existing debt service CHF 50,000. CRIF 580, Zefix ACTIVE.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Raw Value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Bin</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Score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LTV</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84.6%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75-85%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+4.0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Term</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60 months</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&gt;48m</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CompanyAge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7 years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5-10y (Growing)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0.0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CRIF</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580</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500-699 (Good)</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+4.0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DebtRatio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~22.6%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20-40% (Moderate)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DSCR (B2B)</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~1.47x</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1.25-1.5 (Adequate)</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0.0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CompanyType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GmbH/ACTIVE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GmbH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VehiclePriceTier</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65,000</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50k-100k (Premium)</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+2.0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IndustryRisk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Medium risk industry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0.0</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DealerRisk</w:t>
            </w:r>
          </w:p>
        </w:tc>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7.1%</w:t>
            </w:r>
          </w:p>
        </w:tc>
        <w:tc>
          <w:tcPr>
            <w:tcW w:type="dxa" w:w="2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3-8% (Average)</w:t>
            </w:r>
          </w:p>
        </w:tc>
        <w:tc>
          <w:tcPr>
            <w:tcW w:type="dxa" w:w="2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0.0</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Total Score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+12.0 → GREEN → APPROVE_STANDARD</w:t>
            </w:r>
          </w:p>
        </w:tc>
      </w:tr>
    </w:tbl>
    <w:p>
      <w:pPr>
        <w:spacing w:after="60" w:before="60"/>
      </w:pPr>
    </w:p>
    <w:p>
      <w:pPr>
        <w:pStyle w:val="Heading2"/>
        <w:spacing w:after="100" w:before="280"/>
      </w:pPr>
      <w:r>
        <w:rPr>
          <w:rFonts w:ascii="Arial" w:cs="Arial" w:eastAsia="Arial" w:hAnsi="Arial"/>
          <w:b/>
          <w:bCs/>
          <w:color w:val="2E75B6"/>
          <w:sz w:val="26"/>
          <w:szCs w:val="26"/>
        </w:rPr>
        <w:t xml:space="preserve">5.3  Example 3: Hard Decline via Business Rule</w:t>
      </w:r>
    </w:p>
    <w:p>
      <w:pPr>
        <w:spacing w:after="80" w:before="60"/>
      </w:pPr>
      <w:r>
        <w:rPr>
          <w:rFonts w:ascii="Arial" w:cs="Arial" w:eastAsia="Arial" w:hAnsi="Arial"/>
          <w:color w:val="1A1A1A"/>
          <w:sz w:val="20"/>
          <w:szCs w:val="20"/>
        </w:rPr>
        <w:t xml:space="preserve">An applicant submits a B2C application with 4 negative ZEK entries and a CRIF score of 480. Even if the composite score were positive, the application is declined.</w:t>
      </w:r>
    </w:p>
    <w:p>
      <w:pPr>
        <w:spacing w:after="60" w:before="60"/>
      </w:pPr>
    </w:p>
    <w:p>
      <w:pPr>
        <w:pStyle w:val="ListParagraph"/>
        <w:numPr>
          <w:ilvl w:val="0"/>
          <w:numId w:val="2"/>
        </w:numPr>
        <w:spacing w:after="40" w:before="40"/>
      </w:pPr>
      <w:r>
        <w:rPr>
          <w:rFonts w:ascii="Arial" w:cs="Arial" w:eastAsia="Arial" w:hAnsi="Arial"/>
          <w:color w:val="1A1A1A"/>
          <w:sz w:val="20"/>
          <w:szCs w:val="20"/>
        </w:rPr>
        <w:t xml:space="preserve">Composite score calculated: +5.0 (would normally be YELLOW/MANUAL_REVIEW)</w:t>
      </w:r>
    </w:p>
    <w:p>
      <w:pPr>
        <w:pStyle w:val="ListParagraph"/>
        <w:numPr>
          <w:ilvl w:val="0"/>
          <w:numId w:val="2"/>
        </w:numPr>
        <w:spacing w:after="40" w:before="40"/>
      </w:pPr>
      <w:r>
        <w:rPr>
          <w:rFonts w:ascii="Arial" w:cs="Arial" w:eastAsia="Arial" w:hAnsi="Arial"/>
          <w:color w:val="1A1A1A"/>
          <w:sz w:val="20"/>
          <w:szCs w:val="20"/>
        </w:rPr>
        <w:t xml:space="preserve">BR-04 fires: zek_entry_count = 4 (&gt;= 3) → rule triggered</w:t>
      </w:r>
    </w:p>
    <w:p>
      <w:pPr>
        <w:pStyle w:val="ListParagraph"/>
        <w:numPr>
          <w:ilvl w:val="0"/>
          <w:numId w:val="2"/>
        </w:numPr>
        <w:spacing w:after="40" w:before="40"/>
      </w:pPr>
      <w:r>
        <w:rPr>
          <w:rFonts w:ascii="Arial" w:cs="Arial" w:eastAsia="Arial" w:hAnsi="Arial"/>
          <w:color w:val="1A1A1A"/>
          <w:sz w:val="20"/>
          <w:szCs w:val="20"/>
        </w:rPr>
        <w:t xml:space="preserve">Tier forced to RED, decision forced to DECLINE</w:t>
      </w:r>
    </w:p>
    <w:p>
      <w:pPr>
        <w:pStyle w:val="ListParagraph"/>
        <w:numPr>
          <w:ilvl w:val="0"/>
          <w:numId w:val="2"/>
        </w:numPr>
        <w:spacing w:after="40" w:before="40"/>
      </w:pPr>
      <w:r>
        <w:rPr>
          <w:rFonts w:ascii="Arial" w:cs="Arial" w:eastAsia="Arial" w:hAnsi="Arial"/>
          <w:color w:val="1A1A1A"/>
          <w:sz w:val="20"/>
          <w:szCs w:val="20"/>
        </w:rPr>
        <w:t xml:space="preserve">Response includes business_rule_overrides: [{ rule_code: 'BR-04', rule_description: '3+ negative ZEK entries', triggered_value: 'ZEK entries: 4' }]</w:t>
      </w:r>
    </w:p>
    <w:p>
      <w:pPr>
        <w:spacing w:after="60" w:before="60"/>
      </w:pPr>
    </w:p>
    <w:p>
      <w:r>
        <w:br w:type="page"/>
      </w:r>
    </w:p>
    <w:p>
      <w:pPr>
        <w:pStyle w:val="Heading1"/>
        <w:pBdr>
          <w:bottom w:val="single" w:color="2E75B6" w:sz="8" w:space="4"/>
        </w:pBdr>
        <w:spacing w:after="120" w:before="400"/>
      </w:pPr>
      <w:r>
        <w:rPr>
          <w:rFonts w:ascii="Arial" w:cs="Arial" w:eastAsia="Arial" w:hAnsi="Arial"/>
          <w:b/>
          <w:bCs/>
          <w:color w:val="1E3A5F"/>
          <w:sz w:val="32"/>
          <w:szCs w:val="32"/>
        </w:rPr>
        <w:t xml:space="preserve">6. Calibration and Model Governance</w:t>
      </w:r>
    </w:p>
    <w:p>
      <w:pPr>
        <w:pStyle w:val="Heading2"/>
        <w:spacing w:after="100" w:before="280"/>
      </w:pPr>
      <w:r>
        <w:rPr>
          <w:rFonts w:ascii="Arial" w:cs="Arial" w:eastAsia="Arial" w:hAnsi="Arial"/>
          <w:b/>
          <w:bCs/>
          <w:color w:val="2E75B6"/>
          <w:sz w:val="26"/>
          <w:szCs w:val="26"/>
        </w:rPr>
        <w:t xml:space="preserve">6.1  Recalibration Process</w:t>
      </w:r>
    </w:p>
    <w:p>
      <w:pPr>
        <w:spacing w:after="80" w:before="60"/>
      </w:pPr>
      <w:r>
        <w:rPr>
          <w:rFonts w:ascii="Arial" w:cs="Arial" w:eastAsia="Arial" w:hAnsi="Arial"/>
          <w:color w:val="1A1A1A"/>
          <w:sz w:val="20"/>
          <w:szCs w:val="20"/>
        </w:rPr>
        <w:t xml:space="preserve">Scoring parameters — factor weights, bin boundaries, bin scores, tier thresholds, and business rule conditions — are stored in the database and can be adjusted without code deployments. The calibration cycle is:</w:t>
      </w:r>
    </w:p>
    <w:p>
      <w:pPr>
        <w:pStyle w:val="ListParagraph"/>
        <w:numPr>
          <w:ilvl w:val="0"/>
          <w:numId w:val="2"/>
        </w:numPr>
        <w:spacing w:after="40" w:before="40"/>
      </w:pPr>
      <w:r>
        <w:rPr>
          <w:rFonts w:ascii="Arial" w:cs="Arial" w:eastAsia="Arial" w:hAnsi="Arial"/>
          <w:color w:val="1A1A1A"/>
          <w:sz w:val="20"/>
          <w:szCs w:val="20"/>
        </w:rPr>
        <w:t xml:space="preserve">Quarterly: The segment performance refresh compares observed default rates per factor bin against the original WoE values. Bins with WoE drift exceeding 0.1 nats are flagged for review.</w:t>
      </w:r>
    </w:p>
    <w:p>
      <w:pPr>
        <w:pStyle w:val="ListParagraph"/>
        <w:numPr>
          <w:ilvl w:val="0"/>
          <w:numId w:val="2"/>
        </w:numPr>
        <w:spacing w:after="40" w:before="40"/>
      </w:pPr>
      <w:r>
        <w:rPr>
          <w:rFonts w:ascii="Arial" w:cs="Arial" w:eastAsia="Arial" w:hAnsi="Arial"/>
          <w:color w:val="1A1A1A"/>
          <w:sz w:val="20"/>
          <w:szCs w:val="20"/>
        </w:rPr>
        <w:t xml:space="preserve">As needed: Risk managers open the Calibration UI, create a new model version (DRAFT status), modify factor bins or tier thresholds, validate, and publish.</w:t>
      </w:r>
    </w:p>
    <w:p>
      <w:pPr>
        <w:pStyle w:val="ListParagraph"/>
        <w:numPr>
          <w:ilvl w:val="0"/>
          <w:numId w:val="2"/>
        </w:numPr>
        <w:spacing w:after="40" w:before="40"/>
      </w:pPr>
      <w:r>
        <w:rPr>
          <w:rFonts w:ascii="Arial" w:cs="Arial" w:eastAsia="Arial" w:hAnsi="Arial"/>
          <w:color w:val="1A1A1A"/>
          <w:sz w:val="20"/>
          <w:szCs w:val="20"/>
        </w:rPr>
        <w:t xml:space="preserve">At publish: The previous version is archived. The new version becomes active within seconds (no deployment required).</w:t>
      </w:r>
    </w:p>
    <w:p>
      <w:pPr>
        <w:spacing w:after="60" w:before="60"/>
      </w:pPr>
    </w:p>
    <w:p>
      <w:pPr>
        <w:pStyle w:val="Heading2"/>
        <w:spacing w:after="100" w:before="280"/>
      </w:pPr>
      <w:r>
        <w:rPr>
          <w:rFonts w:ascii="Arial" w:cs="Arial" w:eastAsia="Arial" w:hAnsi="Arial"/>
          <w:b/>
          <w:bCs/>
          <w:color w:val="2E75B6"/>
          <w:sz w:val="26"/>
          <w:szCs w:val="26"/>
        </w:rPr>
        <w:t xml:space="preserve">6.2  Model Performance Tracking</w:t>
      </w:r>
    </w:p>
    <w:p>
      <w:pPr>
        <w:spacing w:after="80" w:before="60"/>
      </w:pPr>
      <w:r>
        <w:rPr>
          <w:rFonts w:ascii="Arial" w:cs="Arial" w:eastAsia="Arial" w:hAnsi="Arial"/>
          <w:color w:val="1A1A1A"/>
          <w:sz w:val="20"/>
          <w:szCs w:val="20"/>
        </w:rPr>
        <w:t xml:space="preserve">The model_monitoring_snapshot table tracks model health metrics computed from the DataHub portfolio:</w:t>
      </w:r>
    </w:p>
    <w:p>
      <w:pPr>
        <w:pStyle w:val="ListParagraph"/>
        <w:numPr>
          <w:ilvl w:val="0"/>
          <w:numId w:val="2"/>
        </w:numPr>
        <w:spacing w:after="40" w:before="40"/>
      </w:pPr>
      <w:r>
        <w:rPr>
          <w:rFonts w:ascii="Arial" w:cs="Arial" w:eastAsia="Arial" w:hAnsi="Arial"/>
          <w:color w:val="1A1A1A"/>
          <w:sz w:val="20"/>
          <w:szCs w:val="20"/>
        </w:rPr>
        <w:t xml:space="preserve">Gini coefficient: Discrimination power (0-1, higher is better). Current v1.2 Gini: ~0.48.</w:t>
      </w:r>
    </w:p>
    <w:p>
      <w:pPr>
        <w:pStyle w:val="ListParagraph"/>
        <w:numPr>
          <w:ilvl w:val="0"/>
          <w:numId w:val="2"/>
        </w:numPr>
        <w:spacing w:after="40" w:before="40"/>
      </w:pPr>
      <w:r>
        <w:rPr>
          <w:rFonts w:ascii="Arial" w:cs="Arial" w:eastAsia="Arial" w:hAnsi="Arial"/>
          <w:color w:val="1A1A1A"/>
          <w:sz w:val="20"/>
          <w:szCs w:val="20"/>
        </w:rPr>
        <w:t xml:space="preserve">KS statistic: Maximum separation between default and non-default distributions.</w:t>
      </w:r>
    </w:p>
    <w:p>
      <w:pPr>
        <w:pStyle w:val="ListParagraph"/>
        <w:numPr>
          <w:ilvl w:val="0"/>
          <w:numId w:val="2"/>
        </w:numPr>
        <w:spacing w:after="40" w:before="40"/>
      </w:pPr>
      <w:r>
        <w:rPr>
          <w:rFonts w:ascii="Arial" w:cs="Arial" w:eastAsia="Arial" w:hAnsi="Arial"/>
          <w:color w:val="1A1A1A"/>
          <w:sz w:val="20"/>
          <w:szCs w:val="20"/>
        </w:rPr>
        <w:t xml:space="preserve">AUC-ROC: Area under the ROC curve.</w:t>
      </w:r>
    </w:p>
    <w:p>
      <w:pPr>
        <w:pStyle w:val="ListParagraph"/>
        <w:numPr>
          <w:ilvl w:val="0"/>
          <w:numId w:val="2"/>
        </w:numPr>
        <w:spacing w:after="40" w:before="40"/>
      </w:pPr>
      <w:r>
        <w:rPr>
          <w:rFonts w:ascii="Arial" w:cs="Arial" w:eastAsia="Arial" w:hAnsi="Arial"/>
          <w:color w:val="1A1A1A"/>
          <w:sz w:val="20"/>
          <w:szCs w:val="20"/>
        </w:rPr>
        <w:t xml:space="preserve">PSI (Population Stability Index): Detects input distribution shifts. PSI &gt;0.25 triggers an ALARM flag.</w:t>
      </w:r>
    </w:p>
    <w:p>
      <w:pPr>
        <w:pStyle w:val="ListParagraph"/>
        <w:numPr>
          <w:ilvl w:val="0"/>
          <w:numId w:val="2"/>
        </w:numPr>
        <w:spacing w:after="40" w:before="40"/>
      </w:pPr>
      <w:r>
        <w:rPr>
          <w:rFonts w:ascii="Arial" w:cs="Arial" w:eastAsia="Arial" w:hAnsi="Arial"/>
          <w:color w:val="1A1A1A"/>
          <w:sz w:val="20"/>
          <w:szCs w:val="20"/>
        </w:rPr>
        <w:t xml:space="preserve">Calibration ratio: Predicted PD / Observed default rate. Ideally close to 1.0.</w:t>
      </w:r>
    </w:p>
    <w:p>
      <w:pPr>
        <w:spacing w:after="60" w:before="60"/>
      </w:pPr>
    </w:p>
    <w:p>
      <w:pPr>
        <w:pStyle w:val="Heading2"/>
        <w:spacing w:after="100" w:before="280"/>
      </w:pPr>
      <w:r>
        <w:rPr>
          <w:rFonts w:ascii="Arial" w:cs="Arial" w:eastAsia="Arial" w:hAnsi="Arial"/>
          <w:b/>
          <w:bCs/>
          <w:color w:val="2E75B6"/>
          <w:sz w:val="26"/>
          <w:szCs w:val="26"/>
        </w:rPr>
        <w:t xml:space="preserve">6.3  Audit Trail</w:t>
      </w:r>
    </w:p>
    <w:p>
      <w:pPr>
        <w:spacing w:after="80" w:before="60"/>
      </w:pPr>
      <w:r>
        <w:rPr>
          <w:rFonts w:ascii="Arial" w:cs="Arial" w:eastAsia="Arial" w:hAnsi="Arial"/>
          <w:color w:val="1A1A1A"/>
          <w:sz w:val="20"/>
          <w:szCs w:val="20"/>
        </w:rPr>
        <w:t xml:space="preserve">Every action on the calibration tables is logged in the calibration_audit_log table, recording who changed what and when. Every scoring decision is stored in the risk_assessment table for a minimum of 7 years, as required by Swiss banking regulation.</w:t>
      </w:r>
    </w:p>
    <w:p>
      <w:pPr>
        <w:spacing w:after="60" w:before="60"/>
      </w:pPr>
    </w:p>
    <w:p>
      <w:pPr>
        <w:pStyle w:val="Heading1"/>
        <w:pBdr>
          <w:bottom w:val="single" w:color="2E75B6" w:sz="8" w:space="4"/>
        </w:pBdr>
        <w:spacing w:after="120" w:before="400"/>
      </w:pPr>
      <w:r>
        <w:rPr>
          <w:rFonts w:ascii="Arial" w:cs="Arial" w:eastAsia="Arial" w:hAnsi="Arial"/>
          <w:b/>
          <w:bCs/>
          <w:color w:val="1E3A5F"/>
          <w:sz w:val="32"/>
          <w:szCs w:val="32"/>
        </w:rP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CRIF</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Credit Reform Information Foundation — Swiss credit bureau providing creditworthiness scores for individuals and companies.</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DSCR</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Debt Service Coverage Ratio — measures whether income/EBITDA covers debt payments. DSCR = Income / Debt Payments.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Gini Coefficient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Measure of model discrimination power. Gini = 2*AUC - 1. Range 0-1; higher is better.</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Hard Kill / Business Rule Override</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A condition that forces a DECLINE regardless of the composite score.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Intrum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Intrum AG — Swiss receivables management and credit data provider.</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KS Statistic</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Kolmogorov-Smirnov statistic — maximum difference between cumulative distributions of defaults and non-defaults.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LTV</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Loan-to-Value — financed amount divided by vehicle value, expressed as a percentage.</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NACE</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Nomenclature of Economic Activities — European standard industry classification code.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PD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Probability of Default — estimated likelihood that a borrower defaults within 12 months.</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PSI</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Population Stability Index — measures whether the input score distribution has shifted from development to current. PSI &gt;0.25 = alarm.</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WoE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Weight of Evidence — log(% non-defaults in bin / % defaults in bin). Statistical measure used to build the legacy logistic regression scorecard.</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20"/>
              <w:bottom w:type="dxa" w:w="70"/>
              <w:right w:type="dxa" w:w="120"/>
            </w:tcMar>
          </w:tcPr>
          <w:p>
            <w:r>
              <w:rPr>
                <w:rFonts w:ascii="Courier New" w:cs="Courier New" w:eastAsia="Courier New" w:hAnsi="Courier New"/>
                <w:color w:val="1A1A1A"/>
                <w:sz w:val="17"/>
                <w:szCs w:val="17"/>
              </w:rPr>
              <w:t xml:space="preserve">Zefix</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rFonts w:ascii="Arial" w:cs="Arial" w:eastAsia="Arial" w:hAnsi="Arial"/>
                <w:color w:val="1A1A1A"/>
                <w:sz w:val="18"/>
                <w:szCs w:val="18"/>
              </w:rPr>
              <w:t xml:space="preserve">Swiss Federal Commercial Register (Zentrales Firmenindex) — authoritative source of company registration status and legal form.</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Courier New" w:cs="Courier New" w:eastAsia="Courier New" w:hAnsi="Courier New"/>
                <w:color w:val="1A1A1A"/>
                <w:sz w:val="17"/>
                <w:szCs w:val="17"/>
              </w:rPr>
              <w:t xml:space="preserve">ZEK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Zentrale Kreditinformation — Swiss central credit information bureau tracking negative credit events.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360"/>
      </w:tabs>
    </w:pPr>
    <w:r>
      <w:rPr>
        <w:rFonts w:ascii="Arial" w:cs="Arial" w:eastAsia="Arial" w:hAnsi="Arial"/>
        <w:color w:val="555555"/>
        <w:sz w:val="16"/>
        <w:szCs w:val="16"/>
      </w:rPr>
      <w:t xml:space="preserve">LeaseTeq AG  |  Aralytiks LLC  |  February 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80"/>
    </w:pPr>
    <w:r>
      <w:rPr>
        <w:rFonts w:ascii="Arial" w:cs="Arial" w:eastAsia="Arial" w:hAnsi="Arial"/>
        <w:color w:val="555555"/>
        <w:sz w:val="16"/>
        <w:szCs w:val="16"/>
      </w:rPr>
      <w:t xml:space="preserve">LeaseTeq AG  |  Risk Engine v1.2  |  Business Reference Guide</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7A58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2026-02-27T07:29:40.105Z</dcterms:created>
  <dcterms:modified xsi:type="dcterms:W3CDTF">2026-02-27T07:29:40.105Z</dcterms:modified>
</cp:coreProperties>
</file>

<file path=docProps/custom.xml><?xml version="1.0" encoding="utf-8"?>
<Properties xmlns="http://schemas.openxmlformats.org/officeDocument/2006/custom-properties" xmlns:vt="http://schemas.openxmlformats.org/officeDocument/2006/docPropsVTypes"/>
</file>