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E3A5F"/>
          <w:sz w:val="64"/>
          <w:szCs w:val="64"/>
        </w:rPr>
        <w:t xml:space="preserve">LeaseTeq Risk Engine</w:t>
      </w:r>
    </w:p>
    <w:p>
      <w:pPr>
        <w:spacing w:after="120" w:before="0"/>
      </w:pPr>
      <w:r>
        <w:rPr>
          <w:rFonts w:ascii="Arial" w:cs="Arial" w:eastAsia="Arial" w:hAnsi="Arial"/>
          <w:color w:val="2E75B6"/>
          <w:sz w:val="40"/>
          <w:szCs w:val="40"/>
        </w:rPr>
        <w:t xml:space="preserve">Codebase Reference Guide</w:t>
      </w:r>
    </w:p>
    <w:p>
      <w:pPr>
        <w:pBdr>
          <w:bottom w:val="single" w:color="2E75B6" w:sz="8" w:space="4"/>
        </w:pBdr>
        <w:spacing w:after="200" w:before="0"/>
      </w:pPr>
      <w:r>
        <w:rPr>
          <w:rFonts w:ascii="Arial" w:cs="Arial" w:eastAsia="Arial" w:hAnsi="Arial"/>
          <w:i/>
          <w:iCs/>
          <w:color w:val="555555"/>
          <w:sz w:val="22"/>
          <w:szCs w:val="22"/>
        </w:rPr>
        <w:t xml:space="preserve">Every file, folder, and module explained  |  Version 1.2</w:t>
      </w:r>
    </w:p>
    <w:p>
      <w:pPr>
        <w:spacing w:after="80" w:before="160"/>
      </w:pPr>
      <w:r>
        <w:rPr>
          <w:rFonts w:ascii="Courier New" w:cs="Courier New" w:eastAsia="Courier New" w:hAnsi="Courier New"/>
          <w:color w:val="1E3A5F"/>
          <w:sz w:val="20"/>
          <w:szCs w:val="20"/>
        </w:rPr>
        <w:t xml:space="preserve">Repository:  C:/Users/avina/Documents/LT/riskengine</w:t>
      </w:r>
    </w:p>
    <w:p>
      <w:pPr>
        <w:spacing w:after="80" w:before="0"/>
      </w:pPr>
      <w:r>
        <w:rPr>
          <w:rFonts w:ascii="Arial" w:cs="Arial" w:eastAsia="Arial" w:hAnsi="Arial"/>
          <w:color w:val="555555"/>
          <w:sz w:val="20"/>
          <w:szCs w:val="20"/>
        </w:rPr>
        <w:t xml:space="preserve">February 2026  |  Prepared by Aralytiks LLC</w:t>
      </w: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1. Repository Overview</w:t>
      </w:r>
    </w:p>
    <w:p>
      <w:pPr>
        <w:spacing w:after="80" w:before="60"/>
      </w:pPr>
      <w:r>
        <w:rPr>
          <w:rFonts w:ascii="Arial" w:cs="Arial" w:eastAsia="Arial" w:hAnsi="Arial"/>
          <w:color w:val="1A1A1A"/>
          <w:sz w:val="20"/>
          <w:szCs w:val="20"/>
        </w:rPr>
        <w:t xml:space="preserve">The riskengine repository is a self-contained FastAPI microservice. It follows a clean layered architecture: API routes call the scoring engine, the engine calls scoring modules, and all results are persisted to PostgreSQL via SQLAlchemy.</w:t>
      </w:r>
    </w:p>
    <w:p>
      <w:pPr>
        <w:spacing w:after="60" w:before="60"/>
      </w:pPr>
    </w:p>
    <w:p>
      <w:pPr>
        <w:spacing w:after="80" w:before="60"/>
      </w:pPr>
      <w:r>
        <w:rPr>
          <w:rFonts w:ascii="Arial" w:cs="Arial" w:eastAsia="Arial" w:hAnsi="Arial"/>
          <w:color w:val="1A1A1A"/>
          <w:sz w:val="20"/>
          <w:szCs w:val="20"/>
        </w:rPr>
        <w:t xml:space="preserve">High-level folder structure: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Main application package — API, scoring engine, models, schemas, services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calibration-ui/</w:t>
            </w:r>
          </w:p>
        </w:tc>
        <w:tc>
          <w:tcPr>
            <w:tcW w:type="dxa" w:w="6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Web-based calibration UI (React) for risk managers to adjust scoring parameters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config/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Reserved for environment-specific configuration overrides (currently empty)</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docs/</w:t>
            </w:r>
          </w:p>
        </w:tc>
        <w:tc>
          <w:tcPr>
            <w:tcW w:type="dxa" w:w="6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Specification documents, client requirements, and sample API payloads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Alembic database migrations — schema DDL managed as Python scripts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tests/</w:t>
            </w:r>
          </w:p>
        </w:tc>
        <w:tc>
          <w:tcPr>
            <w:tcW w:type="dxa" w:w="6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Pytest unit tests for the scoring engine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Root files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Dockerfile, docker-compose.yml, pyproject.toml, alembic.ini, .env.example, README.md</w:t>
            </w:r>
          </w:p>
        </w:tc>
      </w:tr>
    </w:tbl>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2. Root-Level Files</w:t>
      </w:r>
    </w:p>
    <w:p>
      <w:pPr>
        <w:spacing w:after="60" w:before="60"/>
      </w:pPr>
    </w:p>
    <w:p>
      <w:pPr>
        <w:pStyle w:val="Heading2"/>
        <w:spacing w:after="100" w:before="280"/>
      </w:pPr>
      <w:r>
        <w:rPr>
          <w:rFonts w:ascii="Arial" w:cs="Arial" w:eastAsia="Arial" w:hAnsi="Arial"/>
          <w:b/>
          <w:bCs/>
          <w:color w:val="2E75B6"/>
          <w:sz w:val="26"/>
          <w:szCs w:val="26"/>
        </w:rPr>
        <w:t xml:space="preserve">2.1  Dockerfile</w:t>
      </w:r>
    </w:p>
    <w:p>
      <w:pPr>
        <w:spacing w:after="80" w:before="60"/>
      </w:pPr>
      <w:r>
        <w:rPr>
          <w:rFonts w:ascii="Arial" w:cs="Arial" w:eastAsia="Arial" w:hAnsi="Arial"/>
          <w:color w:val="1A1A1A"/>
          <w:sz w:val="20"/>
          <w:szCs w:val="20"/>
        </w:rPr>
        <w:t xml:space="preserve">Defines two build targets: production and development. The production image runs Uvicorn with 4 workers. The development image uses --reload for hot-reload during local development.</w:t>
      </w:r>
    </w:p>
    <w:p>
      <w:pPr>
        <w:pStyle w:val="ListParagraph"/>
        <w:numPr>
          <w:ilvl w:val="0"/>
          <w:numId w:val="2"/>
        </w:numPr>
        <w:spacing w:after="40" w:before="40"/>
      </w:pPr>
      <w:r>
        <w:rPr>
          <w:rFonts w:ascii="Arial" w:cs="Arial" w:eastAsia="Arial" w:hAnsi="Arial"/>
          <w:color w:val="1A1A1A"/>
          <w:sz w:val="20"/>
          <w:szCs w:val="20"/>
        </w:rPr>
        <w:t xml:space="preserve">Base image: python:3.11-slim</w:t>
      </w:r>
    </w:p>
    <w:p>
      <w:pPr>
        <w:pStyle w:val="ListParagraph"/>
        <w:numPr>
          <w:ilvl w:val="0"/>
          <w:numId w:val="2"/>
        </w:numPr>
        <w:spacing w:after="40" w:before="40"/>
      </w:pPr>
      <w:r>
        <w:rPr>
          <w:rFonts w:ascii="Arial" w:cs="Arial" w:eastAsia="Arial" w:hAnsi="Arial"/>
          <w:color w:val="1A1A1A"/>
          <w:sz w:val="20"/>
          <w:szCs w:val="20"/>
        </w:rPr>
        <w:t xml:space="preserve">System dependencies: build-essential, libpq-dev (required for psycopg2 compilation)</w:t>
      </w:r>
    </w:p>
    <w:p>
      <w:pPr>
        <w:pStyle w:val="ListParagraph"/>
        <w:numPr>
          <w:ilvl w:val="0"/>
          <w:numId w:val="2"/>
        </w:numPr>
        <w:spacing w:after="40" w:before="40"/>
      </w:pPr>
      <w:r>
        <w:rPr>
          <w:rFonts w:ascii="Arial" w:cs="Arial" w:eastAsia="Arial" w:hAnsi="Arial"/>
          <w:color w:val="1A1A1A"/>
          <w:sz w:val="20"/>
          <w:szCs w:val="20"/>
        </w:rPr>
        <w:t xml:space="preserve">Production command: uvicorn app.main:app --host 0.0.0.0 --port 8080 --workers 4</w:t>
      </w:r>
    </w:p>
    <w:p>
      <w:pPr>
        <w:pStyle w:val="ListParagraph"/>
        <w:numPr>
          <w:ilvl w:val="0"/>
          <w:numId w:val="2"/>
        </w:numPr>
        <w:spacing w:after="40" w:before="40"/>
      </w:pPr>
      <w:r>
        <w:rPr>
          <w:rFonts w:ascii="Arial" w:cs="Arial" w:eastAsia="Arial" w:hAnsi="Arial"/>
          <w:color w:val="1A1A1A"/>
          <w:sz w:val="20"/>
          <w:szCs w:val="20"/>
        </w:rPr>
        <w:t xml:space="preserve">Development command: uvicorn app.main:app --host 0.0.0.0 --port 8080 --reload</w:t>
      </w:r>
    </w:p>
    <w:p>
      <w:pPr>
        <w:spacing w:after="60" w:before="40"/>
        <w:ind w:left="360"/>
      </w:pPr>
      <w:r>
        <w:rPr>
          <w:rFonts w:ascii="Arial" w:cs="Arial" w:eastAsia="Arial" w:hAnsi="Arial"/>
          <w:i/>
          <w:iCs/>
          <w:color w:val="555555"/>
          <w:sz w:val="18"/>
          <w:szCs w:val="18"/>
        </w:rPr>
        <w:t xml:space="preserve">The production target is what gets deployed to AWS ECS/Fargate. The development target is used with docker-compose locally.</w:t>
      </w:r>
    </w:p>
    <w:p>
      <w:pPr>
        <w:spacing w:after="60" w:before="60"/>
      </w:pPr>
    </w:p>
    <w:p>
      <w:pPr>
        <w:pStyle w:val="Heading2"/>
        <w:spacing w:after="100" w:before="280"/>
      </w:pPr>
      <w:r>
        <w:rPr>
          <w:rFonts w:ascii="Arial" w:cs="Arial" w:eastAsia="Arial" w:hAnsi="Arial"/>
          <w:b/>
          <w:bCs/>
          <w:color w:val="2E75B6"/>
          <w:sz w:val="26"/>
          <w:szCs w:val="26"/>
        </w:rPr>
        <w:t xml:space="preserve">2.2  docker-compose.yml</w:t>
      </w:r>
    </w:p>
    <w:p>
      <w:pPr>
        <w:spacing w:after="80" w:before="60"/>
      </w:pPr>
      <w:r>
        <w:rPr>
          <w:rFonts w:ascii="Arial" w:cs="Arial" w:eastAsia="Arial" w:hAnsi="Arial"/>
          <w:color w:val="1A1A1A"/>
          <w:sz w:val="20"/>
          <w:szCs w:val="20"/>
        </w:rPr>
        <w:t xml:space="preserve">Defines three services for local development: the risk engine application, a PostgreSQL 16 instance, and a Redis 7 instance.</w:t>
      </w:r>
    </w:p>
    <w:p>
      <w:pPr>
        <w:pStyle w:val="ListParagraph"/>
        <w:numPr>
          <w:ilvl w:val="0"/>
          <w:numId w:val="2"/>
        </w:numPr>
        <w:spacing w:after="40" w:before="40"/>
      </w:pPr>
      <w:r>
        <w:rPr>
          <w:rFonts w:ascii="Arial" w:cs="Arial" w:eastAsia="Arial" w:hAnsi="Arial"/>
          <w:color w:val="1A1A1A"/>
          <w:sz w:val="20"/>
          <w:szCs w:val="20"/>
        </w:rPr>
        <w:t xml:space="preserve">riskengine service: Builds from the development target, mounts the source directory for hot-reload, exposes port 8080, waits for PostgreSQL to be healthy before starting.</w:t>
      </w:r>
    </w:p>
    <w:p>
      <w:pPr>
        <w:pStyle w:val="ListParagraph"/>
        <w:numPr>
          <w:ilvl w:val="0"/>
          <w:numId w:val="2"/>
        </w:numPr>
        <w:spacing w:after="40" w:before="40"/>
      </w:pPr>
      <w:r>
        <w:rPr>
          <w:rFonts w:ascii="Arial" w:cs="Arial" w:eastAsia="Arial" w:hAnsi="Arial"/>
          <w:color w:val="1A1A1A"/>
          <w:sz w:val="20"/>
          <w:szCs w:val="20"/>
        </w:rPr>
        <w:t xml:space="preserve">postgres service: PostgreSQL 16-alpine on port 5433 (mapped from internal 5432 to avoid conflicts with any local Postgres). Data persisted in a named Docker volume pgdata. Healthcheck uses pg_isready.</w:t>
      </w:r>
    </w:p>
    <w:p>
      <w:pPr>
        <w:pStyle w:val="ListParagraph"/>
        <w:numPr>
          <w:ilvl w:val="0"/>
          <w:numId w:val="2"/>
        </w:numPr>
        <w:spacing w:after="40" w:before="40"/>
      </w:pPr>
      <w:r>
        <w:rPr>
          <w:rFonts w:ascii="Arial" w:cs="Arial" w:eastAsia="Arial" w:hAnsi="Arial"/>
          <w:color w:val="1A1A1A"/>
          <w:sz w:val="20"/>
          <w:szCs w:val="20"/>
        </w:rPr>
        <w:t xml:space="preserve">redis service: Redis 7-alpine on port 6380. Used for rule cache (TTL 300 seconds).</w:t>
      </w:r>
    </w:p>
    <w:p>
      <w:pPr>
        <w:spacing w:after="60" w:before="60"/>
      </w:pPr>
    </w:p>
    <w:p>
      <w:pPr>
        <w:pStyle w:val="Heading2"/>
        <w:spacing w:after="100" w:before="280"/>
      </w:pPr>
      <w:r>
        <w:rPr>
          <w:rFonts w:ascii="Arial" w:cs="Arial" w:eastAsia="Arial" w:hAnsi="Arial"/>
          <w:b/>
          <w:bCs/>
          <w:color w:val="2E75B6"/>
          <w:sz w:val="26"/>
          <w:szCs w:val="26"/>
        </w:rPr>
        <w:t xml:space="preserve">2.3  pyproject.toml</w:t>
      </w:r>
    </w:p>
    <w:p>
      <w:pPr>
        <w:spacing w:after="80" w:before="60"/>
      </w:pPr>
      <w:r>
        <w:rPr>
          <w:rFonts w:ascii="Arial" w:cs="Arial" w:eastAsia="Arial" w:hAnsi="Arial"/>
          <w:color w:val="1A1A1A"/>
          <w:sz w:val="20"/>
          <w:szCs w:val="20"/>
        </w:rPr>
        <w:t xml:space="preserve">Project metadata and dependency declaration using PEP 621 / setuptools. Key runtime dependencies include:</w:t>
      </w:r>
    </w:p>
    <w:p>
      <w:pPr>
        <w:pStyle w:val="ListParagraph"/>
        <w:numPr>
          <w:ilvl w:val="0"/>
          <w:numId w:val="2"/>
        </w:numPr>
        <w:spacing w:after="40" w:before="40"/>
      </w:pPr>
      <w:r>
        <w:rPr>
          <w:rFonts w:ascii="Arial" w:cs="Arial" w:eastAsia="Arial" w:hAnsi="Arial"/>
          <w:color w:val="1A1A1A"/>
          <w:sz w:val="20"/>
          <w:szCs w:val="20"/>
        </w:rPr>
        <w:t xml:space="preserve">fastapi, uvicorn[standard]: The ASGI web framework and server</w:t>
      </w:r>
    </w:p>
    <w:p>
      <w:pPr>
        <w:pStyle w:val="ListParagraph"/>
        <w:numPr>
          <w:ilvl w:val="0"/>
          <w:numId w:val="2"/>
        </w:numPr>
        <w:spacing w:after="40" w:before="40"/>
      </w:pPr>
      <w:r>
        <w:rPr>
          <w:rFonts w:ascii="Arial" w:cs="Arial" w:eastAsia="Arial" w:hAnsi="Arial"/>
          <w:color w:val="1A1A1A"/>
          <w:sz w:val="20"/>
          <w:szCs w:val="20"/>
        </w:rPr>
        <w:t xml:space="preserve">sqlalchemy[asyncio], asyncpg: Async database access</w:t>
      </w:r>
    </w:p>
    <w:p>
      <w:pPr>
        <w:pStyle w:val="ListParagraph"/>
        <w:numPr>
          <w:ilvl w:val="0"/>
          <w:numId w:val="2"/>
        </w:numPr>
        <w:spacing w:after="40" w:before="40"/>
      </w:pPr>
      <w:r>
        <w:rPr>
          <w:rFonts w:ascii="Arial" w:cs="Arial" w:eastAsia="Arial" w:hAnsi="Arial"/>
          <w:color w:val="1A1A1A"/>
          <w:sz w:val="20"/>
          <w:szCs w:val="20"/>
        </w:rPr>
        <w:t xml:space="preserve">psycopg2-binary: Synchronous DB access for batch jobs</w:t>
      </w:r>
    </w:p>
    <w:p>
      <w:pPr>
        <w:pStyle w:val="ListParagraph"/>
        <w:numPr>
          <w:ilvl w:val="0"/>
          <w:numId w:val="2"/>
        </w:numPr>
        <w:spacing w:after="40" w:before="40"/>
      </w:pPr>
      <w:r>
        <w:rPr>
          <w:rFonts w:ascii="Arial" w:cs="Arial" w:eastAsia="Arial" w:hAnsi="Arial"/>
          <w:color w:val="1A1A1A"/>
          <w:sz w:val="20"/>
          <w:szCs w:val="20"/>
        </w:rPr>
        <w:t xml:space="preserve">pydantic, pydantic-settings: Data validation and settings management</w:t>
      </w:r>
    </w:p>
    <w:p>
      <w:pPr>
        <w:pStyle w:val="ListParagraph"/>
        <w:numPr>
          <w:ilvl w:val="0"/>
          <w:numId w:val="2"/>
        </w:numPr>
        <w:spacing w:after="40" w:before="40"/>
      </w:pPr>
      <w:r>
        <w:rPr>
          <w:rFonts w:ascii="Arial" w:cs="Arial" w:eastAsia="Arial" w:hAnsi="Arial"/>
          <w:color w:val="1A1A1A"/>
          <w:sz w:val="20"/>
          <w:szCs w:val="20"/>
        </w:rPr>
        <w:t xml:space="preserve">python-jose[cryptography]: JWT validation for Keycloak integration</w:t>
      </w:r>
    </w:p>
    <w:p>
      <w:pPr>
        <w:pStyle w:val="ListParagraph"/>
        <w:numPr>
          <w:ilvl w:val="0"/>
          <w:numId w:val="2"/>
        </w:numPr>
        <w:spacing w:after="40" w:before="40"/>
      </w:pPr>
      <w:r>
        <w:rPr>
          <w:rFonts w:ascii="Arial" w:cs="Arial" w:eastAsia="Arial" w:hAnsi="Arial"/>
          <w:color w:val="1A1A1A"/>
          <w:sz w:val="20"/>
          <w:szCs w:val="20"/>
        </w:rPr>
        <w:t xml:space="preserve">httpx: Async HTTP client for JWKS endpoint fetch</w:t>
      </w:r>
    </w:p>
    <w:p>
      <w:pPr>
        <w:pStyle w:val="ListParagraph"/>
        <w:numPr>
          <w:ilvl w:val="0"/>
          <w:numId w:val="2"/>
        </w:numPr>
        <w:spacing w:after="40" w:before="40"/>
      </w:pPr>
      <w:r>
        <w:rPr>
          <w:rFonts w:ascii="Arial" w:cs="Arial" w:eastAsia="Arial" w:hAnsi="Arial"/>
          <w:color w:val="1A1A1A"/>
          <w:sz w:val="20"/>
          <w:szCs w:val="20"/>
        </w:rPr>
        <w:t xml:space="preserve">structlog: Structured JSON logging</w:t>
      </w:r>
    </w:p>
    <w:p>
      <w:pPr>
        <w:pStyle w:val="ListParagraph"/>
        <w:numPr>
          <w:ilvl w:val="0"/>
          <w:numId w:val="2"/>
        </w:numPr>
        <w:spacing w:after="40" w:before="40"/>
      </w:pPr>
      <w:r>
        <w:rPr>
          <w:rFonts w:ascii="Arial" w:cs="Arial" w:eastAsia="Arial" w:hAnsi="Arial"/>
          <w:color w:val="1A1A1A"/>
          <w:sz w:val="20"/>
          <w:szCs w:val="20"/>
        </w:rPr>
        <w:t xml:space="preserve">aiokafka: Async Kafka client for event publishing</w:t>
      </w:r>
    </w:p>
    <w:p>
      <w:pPr>
        <w:pStyle w:val="ListParagraph"/>
        <w:numPr>
          <w:ilvl w:val="0"/>
          <w:numId w:val="2"/>
        </w:numPr>
        <w:spacing w:after="40" w:before="40"/>
      </w:pPr>
      <w:r>
        <w:rPr>
          <w:rFonts w:ascii="Arial" w:cs="Arial" w:eastAsia="Arial" w:hAnsi="Arial"/>
          <w:color w:val="1A1A1A"/>
          <w:sz w:val="20"/>
          <w:szCs w:val="20"/>
        </w:rPr>
        <w:t xml:space="preserve">prometheus-client: Metrics exposition at /metrics</w:t>
      </w:r>
    </w:p>
    <w:p>
      <w:pPr>
        <w:spacing w:after="60" w:before="60"/>
      </w:pPr>
    </w:p>
    <w:p>
      <w:pPr>
        <w:pStyle w:val="Heading2"/>
        <w:spacing w:after="100" w:before="280"/>
      </w:pPr>
      <w:r>
        <w:rPr>
          <w:rFonts w:ascii="Arial" w:cs="Arial" w:eastAsia="Arial" w:hAnsi="Arial"/>
          <w:b/>
          <w:bCs/>
          <w:color w:val="2E75B6"/>
          <w:sz w:val="26"/>
          <w:szCs w:val="26"/>
        </w:rPr>
        <w:t xml:space="preserve">2.4  alembic.ini</w:t>
      </w:r>
    </w:p>
    <w:p>
      <w:pPr>
        <w:spacing w:after="80" w:before="60"/>
      </w:pPr>
      <w:r>
        <w:rPr>
          <w:rFonts w:ascii="Arial" w:cs="Arial" w:eastAsia="Arial" w:hAnsi="Arial"/>
          <w:color w:val="1A1A1A"/>
          <w:sz w:val="20"/>
          <w:szCs w:val="20"/>
        </w:rPr>
        <w:t xml:space="preserve">Alembic configuration file linking to the migrations/ directory. Sets the default database URL (overridden by the DATABASE_URL environment variable at runtime). Configures Python logging for Alembic output.</w:t>
      </w:r>
    </w:p>
    <w:p>
      <w:pPr>
        <w:spacing w:after="60" w:before="40"/>
        <w:ind w:left="360"/>
      </w:pPr>
      <w:r>
        <w:rPr>
          <w:rFonts w:ascii="Arial" w:cs="Arial" w:eastAsia="Arial" w:hAnsi="Arial"/>
          <w:i/>
          <w:iCs/>
          <w:color w:val="555555"/>
          <w:sz w:val="18"/>
          <w:szCs w:val="18"/>
        </w:rPr>
        <w:t xml:space="preserve">To run all migrations: alembic upgrade head. To roll back one version: alembic downgrade -1.</w:t>
      </w:r>
    </w:p>
    <w:p>
      <w:pPr>
        <w:spacing w:after="60" w:before="60"/>
      </w:pPr>
    </w:p>
    <w:p>
      <w:pPr>
        <w:pStyle w:val="Heading2"/>
        <w:spacing w:after="100" w:before="280"/>
      </w:pPr>
      <w:r>
        <w:rPr>
          <w:rFonts w:ascii="Arial" w:cs="Arial" w:eastAsia="Arial" w:hAnsi="Arial"/>
          <w:b/>
          <w:bCs/>
          <w:color w:val="2E75B6"/>
          <w:sz w:val="26"/>
          <w:szCs w:val="26"/>
        </w:rPr>
        <w:t xml:space="preserve">2.5  .env.example</w:t>
      </w:r>
    </w:p>
    <w:p>
      <w:pPr>
        <w:spacing w:after="80" w:before="60"/>
      </w:pPr>
      <w:r>
        <w:rPr>
          <w:rFonts w:ascii="Arial" w:cs="Arial" w:eastAsia="Arial" w:hAnsi="Arial"/>
          <w:color w:val="1A1A1A"/>
          <w:sz w:val="20"/>
          <w:szCs w:val="20"/>
        </w:rPr>
        <w:t xml:space="preserve">Template for the .env file showing all required environment variables with safe default values. Operators copy this to .env and replace the placeholder values before running locally. Never commit the actual .env to version control.</w:t>
      </w:r>
    </w:p>
    <w:p>
      <w:pPr>
        <w:spacing w:after="60" w:before="60"/>
      </w:pPr>
    </w:p>
    <w:p>
      <w:pPr>
        <w:pStyle w:val="Heading2"/>
        <w:spacing w:after="100" w:before="280"/>
      </w:pPr>
      <w:r>
        <w:rPr>
          <w:rFonts w:ascii="Arial" w:cs="Arial" w:eastAsia="Arial" w:hAnsi="Arial"/>
          <w:b/>
          <w:bCs/>
          <w:color w:val="2E75B6"/>
          <w:sz w:val="26"/>
          <w:szCs w:val="26"/>
        </w:rPr>
        <w:t xml:space="preserve">2.6  README.md</w:t>
      </w:r>
    </w:p>
    <w:p>
      <w:pPr>
        <w:spacing w:after="80" w:before="60"/>
      </w:pPr>
      <w:r>
        <w:rPr>
          <w:rFonts w:ascii="Arial" w:cs="Arial" w:eastAsia="Arial" w:hAnsi="Arial"/>
          <w:color w:val="1A1A1A"/>
          <w:sz w:val="20"/>
          <w:szCs w:val="20"/>
        </w:rPr>
        <w:t xml:space="preserve">Developer quickstart documentation. Covers prerequisites, local setup with docker-compose, running migrations, running tests, and using the API.</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3. The app/ Package</w:t>
      </w:r>
    </w:p>
    <w:p>
      <w:pPr>
        <w:spacing w:after="80" w:before="60"/>
      </w:pPr>
      <w:r>
        <w:rPr>
          <w:rFonts w:ascii="Arial" w:cs="Arial" w:eastAsia="Arial" w:hAnsi="Arial"/>
          <w:color w:val="1A1A1A"/>
          <w:sz w:val="20"/>
          <w:szCs w:val="20"/>
        </w:rPr>
        <w:t xml:space="preserve">The app/ directory is the main application package. It is structured as a clean layered architecture where each layer has a single responsibility.</w:t>
      </w:r>
    </w:p>
    <w:p>
      <w:pPr>
        <w:spacing w:after="60" w:before="60"/>
      </w:pPr>
    </w:p>
    <w:p>
      <w:pPr>
        <w:pStyle w:val="Heading2"/>
        <w:spacing w:after="100" w:before="280"/>
      </w:pPr>
      <w:r>
        <w:rPr>
          <w:rFonts w:ascii="Arial" w:cs="Arial" w:eastAsia="Arial" w:hAnsi="Arial"/>
          <w:b/>
          <w:bCs/>
          <w:color w:val="2E75B6"/>
          <w:sz w:val="26"/>
          <w:szCs w:val="26"/>
        </w:rPr>
        <w:t xml:space="preserve">3.1  app/main.py — Application Entry Point</w:t>
      </w:r>
    </w:p>
    <w:p>
      <w:pPr>
        <w:spacing w:after="80" w:before="60"/>
      </w:pPr>
      <w:r>
        <w:rPr>
          <w:rFonts w:ascii="Arial" w:cs="Arial" w:eastAsia="Arial" w:hAnsi="Arial"/>
          <w:color w:val="1A1A1A"/>
          <w:sz w:val="20"/>
          <w:szCs w:val="20"/>
        </w:rPr>
        <w:t xml:space="preserve">Bootstraps the FastAPI application. This is what Uvicorn imports (app.main:app).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app/main.py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FastAPI app factory and middleware setup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app (FastAPI instance)</w:t>
            </w:r>
          </w:p>
        </w:tc>
      </w:tr>
    </w:tbl>
    <w:p>
      <w:pPr>
        <w:spacing w:after="60" w:before="60"/>
      </w:pPr>
    </w:p>
    <w:p>
      <w:pPr>
        <w:spacing w:after="80" w:before="60"/>
      </w:pPr>
      <w:r>
        <w:rPr>
          <w:rFonts w:ascii="Arial" w:cs="Arial" w:eastAsia="Arial" w:hAnsi="Arial"/>
          <w:color w:val="1A1A1A"/>
          <w:sz w:val="20"/>
          <w:szCs w:val="20"/>
        </w:rPr>
        <w:t xml:space="preserve">Responsibilities:</w:t>
      </w:r>
    </w:p>
    <w:p>
      <w:pPr>
        <w:pStyle w:val="ListParagraph"/>
        <w:numPr>
          <w:ilvl w:val="0"/>
          <w:numId w:val="2"/>
        </w:numPr>
        <w:spacing w:after="40" w:before="40"/>
      </w:pPr>
      <w:r>
        <w:rPr>
          <w:rFonts w:ascii="Arial" w:cs="Arial" w:eastAsia="Arial" w:hAnsi="Arial"/>
          <w:color w:val="1A1A1A"/>
          <w:sz w:val="20"/>
          <w:szCs w:val="20"/>
        </w:rPr>
        <w:t xml:space="preserve">Creates the FastAPI application instance with title, version, and OpenAPI URLs.</w:t>
      </w:r>
    </w:p>
    <w:p>
      <w:pPr>
        <w:pStyle w:val="ListParagraph"/>
        <w:numPr>
          <w:ilvl w:val="0"/>
          <w:numId w:val="2"/>
        </w:numPr>
        <w:spacing w:after="40" w:before="40"/>
      </w:pPr>
      <w:r>
        <w:rPr>
          <w:rFonts w:ascii="Arial" w:cs="Arial" w:eastAsia="Arial" w:hAnsi="Arial"/>
          <w:color w:val="1A1A1A"/>
          <w:sz w:val="20"/>
          <w:szCs w:val="20"/>
        </w:rPr>
        <w:t xml:space="preserve">Configures structlog structured logging. In development: pretty console output. In production: JSON lines.</w:t>
      </w:r>
    </w:p>
    <w:p>
      <w:pPr>
        <w:pStyle w:val="ListParagraph"/>
        <w:numPr>
          <w:ilvl w:val="0"/>
          <w:numId w:val="2"/>
        </w:numPr>
        <w:spacing w:after="40" w:before="40"/>
      </w:pPr>
      <w:r>
        <w:rPr>
          <w:rFonts w:ascii="Arial" w:cs="Arial" w:eastAsia="Arial" w:hAnsi="Arial"/>
          <w:color w:val="1A1A1A"/>
          <w:sz w:val="20"/>
          <w:szCs w:val="20"/>
        </w:rPr>
        <w:t xml:space="preserve">Registers the CORS middleware (allow all origins — must be tightened in production).</w:t>
      </w:r>
    </w:p>
    <w:p>
      <w:pPr>
        <w:pStyle w:val="ListParagraph"/>
        <w:numPr>
          <w:ilvl w:val="0"/>
          <w:numId w:val="2"/>
        </w:numPr>
        <w:spacing w:after="40" w:before="40"/>
      </w:pPr>
      <w:r>
        <w:rPr>
          <w:rFonts w:ascii="Arial" w:cs="Arial" w:eastAsia="Arial" w:hAnsi="Arial"/>
          <w:color w:val="1A1A1A"/>
          <w:sz w:val="20"/>
          <w:szCs w:val="20"/>
        </w:rPr>
        <w:t xml:space="preserve">Mounts the Prometheus metrics ASGI app at /metrics.</w:t>
      </w:r>
    </w:p>
    <w:p>
      <w:pPr>
        <w:pStyle w:val="ListParagraph"/>
        <w:numPr>
          <w:ilvl w:val="0"/>
          <w:numId w:val="2"/>
        </w:numPr>
        <w:spacing w:after="40" w:before="40"/>
      </w:pPr>
      <w:r>
        <w:rPr>
          <w:rFonts w:ascii="Arial" w:cs="Arial" w:eastAsia="Arial" w:hAnsi="Arial"/>
          <w:color w:val="1A1A1A"/>
          <w:sz w:val="20"/>
          <w:szCs w:val="20"/>
        </w:rPr>
        <w:t xml:space="preserve">Includes the risk_router (under /v1/risk) and admin_router (under /v1/admin).</w:t>
      </w:r>
    </w:p>
    <w:p>
      <w:pPr>
        <w:pStyle w:val="ListParagraph"/>
        <w:numPr>
          <w:ilvl w:val="0"/>
          <w:numId w:val="2"/>
        </w:numPr>
        <w:spacing w:after="40" w:before="40"/>
      </w:pPr>
      <w:r>
        <w:rPr>
          <w:rFonts w:ascii="Arial" w:cs="Arial" w:eastAsia="Arial" w:hAnsi="Arial"/>
          <w:color w:val="1A1A1A"/>
          <w:sz w:val="20"/>
          <w:szCs w:val="20"/>
        </w:rPr>
        <w:t xml:space="preserve">Adds a lifespan context manager that logs startup and shutdown events.</w:t>
      </w:r>
    </w:p>
    <w:p>
      <w:pPr>
        <w:pStyle w:val="ListParagraph"/>
        <w:numPr>
          <w:ilvl w:val="0"/>
          <w:numId w:val="2"/>
        </w:numPr>
        <w:spacing w:after="40" w:before="40"/>
      </w:pPr>
      <w:r>
        <w:rPr>
          <w:rFonts w:ascii="Arial" w:cs="Arial" w:eastAsia="Arial" w:hAnsi="Arial"/>
          <w:color w:val="1A1A1A"/>
          <w:sz w:val="20"/>
          <w:szCs w:val="20"/>
        </w:rPr>
        <w:t xml:space="preserve">Provides a root GET / endpoint returning service metadata.</w:t>
      </w:r>
    </w:p>
    <w:p>
      <w:pPr>
        <w:spacing w:after="60" w:before="60"/>
      </w:pPr>
    </w:p>
    <w:p>
      <w:pPr>
        <w:pStyle w:val="Heading2"/>
        <w:spacing w:after="100" w:before="280"/>
      </w:pPr>
      <w:r>
        <w:rPr>
          <w:rFonts w:ascii="Arial" w:cs="Arial" w:eastAsia="Arial" w:hAnsi="Arial"/>
          <w:b/>
          <w:bCs/>
          <w:color w:val="2E75B6"/>
          <w:sz w:val="26"/>
          <w:szCs w:val="26"/>
        </w:rPr>
        <w:t xml:space="preserve">3.2  app/core/ — Configuration and Security</w:t>
      </w:r>
    </w:p>
    <w:p>
      <w:pPr>
        <w:spacing w:after="80" w:before="60"/>
      </w:pPr>
      <w:r>
        <w:rPr>
          <w:rFonts w:ascii="Arial" w:cs="Arial" w:eastAsia="Arial" w:hAnsi="Arial"/>
          <w:color w:val="1A1A1A"/>
          <w:sz w:val="20"/>
          <w:szCs w:val="20"/>
        </w:rPr>
        <w:t xml:space="preserve">Houses the two infrastructure concerns: application settings and JWT authentication.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app/core/config.py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Settings management via pydantic-settings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Settings class, get_settings() function</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app/core/auth.py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Keycloak JWT validation middleware</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verify_token() FastAPI dependency</w:t>
            </w:r>
          </w:p>
        </w:tc>
      </w:tr>
    </w:tbl>
    <w:p>
      <w:pPr>
        <w:spacing w:after="60" w:before="60"/>
      </w:pPr>
    </w:p>
    <w:p>
      <w:pPr>
        <w:pStyle w:val="Heading3"/>
        <w:spacing w:after="60" w:before="180"/>
      </w:pPr>
      <w:r>
        <w:rPr>
          <w:rFonts w:ascii="Arial" w:cs="Arial" w:eastAsia="Arial" w:hAnsi="Arial"/>
          <w:b/>
          <w:bCs/>
          <w:color w:val="17A589"/>
          <w:sz w:val="22"/>
          <w:szCs w:val="22"/>
        </w:rPr>
        <w:t xml:space="preserve">app/core/config.py</w:t>
      </w:r>
    </w:p>
    <w:p>
      <w:pPr>
        <w:spacing w:after="80" w:before="60"/>
      </w:pPr>
      <w:r>
        <w:rPr>
          <w:rFonts w:ascii="Arial" w:cs="Arial" w:eastAsia="Arial" w:hAnsi="Arial"/>
          <w:color w:val="1A1A1A"/>
          <w:sz w:val="20"/>
          <w:szCs w:val="20"/>
        </w:rPr>
        <w:t xml:space="preserve">Defines the Settings class (a Pydantic BaseSettings model). All configuration is read from environment variables or the .env file. Settings are cached with @lru_cache so the .env file is only parsed once. Key settings groups:</w:t>
      </w:r>
    </w:p>
    <w:p>
      <w:pPr>
        <w:pStyle w:val="ListParagraph"/>
        <w:numPr>
          <w:ilvl w:val="0"/>
          <w:numId w:val="2"/>
        </w:numPr>
        <w:spacing w:after="40" w:before="40"/>
      </w:pPr>
      <w:r>
        <w:rPr>
          <w:rFonts w:ascii="Arial" w:cs="Arial" w:eastAsia="Arial" w:hAnsi="Arial"/>
          <w:color w:val="1A1A1A"/>
          <w:sz w:val="20"/>
          <w:szCs w:val="20"/>
        </w:rPr>
        <w:t xml:space="preserve">App: app_name, app_env (development/production/staging), log_level, scoring_model_version</w:t>
      </w:r>
    </w:p>
    <w:p>
      <w:pPr>
        <w:pStyle w:val="ListParagraph"/>
        <w:numPr>
          <w:ilvl w:val="0"/>
          <w:numId w:val="2"/>
        </w:numPr>
        <w:spacing w:after="40" w:before="40"/>
      </w:pPr>
      <w:r>
        <w:rPr>
          <w:rFonts w:ascii="Arial" w:cs="Arial" w:eastAsia="Arial" w:hAnsi="Arial"/>
          <w:color w:val="1A1A1A"/>
          <w:sz w:val="20"/>
          <w:szCs w:val="20"/>
        </w:rPr>
        <w:t xml:space="preserve">Database: database_url — asyncpg connection string for SQLAlchemy async engine</w:t>
      </w:r>
    </w:p>
    <w:p>
      <w:pPr>
        <w:pStyle w:val="ListParagraph"/>
        <w:numPr>
          <w:ilvl w:val="0"/>
          <w:numId w:val="2"/>
        </w:numPr>
        <w:spacing w:after="40" w:before="40"/>
      </w:pPr>
      <w:r>
        <w:rPr>
          <w:rFonts w:ascii="Arial" w:cs="Arial" w:eastAsia="Arial" w:hAnsi="Arial"/>
          <w:color w:val="1A1A1A"/>
          <w:sz w:val="20"/>
          <w:szCs w:val="20"/>
        </w:rPr>
        <w:t xml:space="preserve">Keycloak/JWT: keycloak_url, keycloak_client_id, keycloak_audience, auth_enabled (set False for local dev)</w:t>
      </w:r>
    </w:p>
    <w:p>
      <w:pPr>
        <w:pStyle w:val="ListParagraph"/>
        <w:numPr>
          <w:ilvl w:val="0"/>
          <w:numId w:val="2"/>
        </w:numPr>
        <w:spacing w:after="40" w:before="40"/>
      </w:pPr>
      <w:r>
        <w:rPr>
          <w:rFonts w:ascii="Arial" w:cs="Arial" w:eastAsia="Arial" w:hAnsi="Arial"/>
          <w:color w:val="1A1A1A"/>
          <w:sz w:val="20"/>
          <w:szCs w:val="20"/>
        </w:rPr>
        <w:t xml:space="preserve">Kafka: kafka_bootstrap, kafka_topic_risk_events, kafka_enabled</w:t>
      </w:r>
    </w:p>
    <w:p>
      <w:pPr>
        <w:pStyle w:val="ListParagraph"/>
        <w:numPr>
          <w:ilvl w:val="0"/>
          <w:numId w:val="2"/>
        </w:numPr>
        <w:spacing w:after="40" w:before="40"/>
      </w:pPr>
      <w:r>
        <w:rPr>
          <w:rFonts w:ascii="Arial" w:cs="Arial" w:eastAsia="Arial" w:hAnsi="Arial"/>
          <w:color w:val="1A1A1A"/>
          <w:sz w:val="20"/>
          <w:szCs w:val="20"/>
        </w:rPr>
        <w:t xml:space="preserve">Redis: redis_url, rule_cache_ttl_seconds (300 = 5 minutes)</w:t>
      </w:r>
    </w:p>
    <w:p>
      <w:pPr>
        <w:spacing w:after="60" w:before="60"/>
      </w:pPr>
    </w:p>
    <w:p>
      <w:pPr>
        <w:pStyle w:val="Heading3"/>
        <w:spacing w:after="60" w:before="180"/>
      </w:pPr>
      <w:r>
        <w:rPr>
          <w:rFonts w:ascii="Arial" w:cs="Arial" w:eastAsia="Arial" w:hAnsi="Arial"/>
          <w:b/>
          <w:bCs/>
          <w:color w:val="17A589"/>
          <w:sz w:val="22"/>
          <w:szCs w:val="22"/>
        </w:rPr>
        <w:t xml:space="preserve">app/core/auth.py</w:t>
      </w:r>
    </w:p>
    <w:p>
      <w:pPr>
        <w:spacing w:after="80" w:before="60"/>
      </w:pPr>
      <w:r>
        <w:rPr>
          <w:rFonts w:ascii="Arial" w:cs="Arial" w:eastAsia="Arial" w:hAnsi="Arial"/>
          <w:color w:val="1A1A1A"/>
          <w:sz w:val="20"/>
          <w:szCs w:val="20"/>
        </w:rPr>
        <w:t xml:space="preserve">Implements a FastAPI security dependency verify_token() that validates Keycloak JWT bearer tokens on every protected endpoint.</w:t>
      </w:r>
    </w:p>
    <w:p>
      <w:pPr>
        <w:pStyle w:val="ListParagraph"/>
        <w:numPr>
          <w:ilvl w:val="0"/>
          <w:numId w:val="2"/>
        </w:numPr>
        <w:spacing w:after="40" w:before="40"/>
      </w:pPr>
      <w:r>
        <w:rPr>
          <w:rFonts w:ascii="Arial" w:cs="Arial" w:eastAsia="Arial" w:hAnsi="Arial"/>
          <w:color w:val="1A1A1A"/>
          <w:sz w:val="20"/>
          <w:szCs w:val="20"/>
        </w:rPr>
        <w:t xml:space="preserve">When auth_enabled = False (local dev): returns a hardcoded dev-user payload, skipping all validation.</w:t>
      </w:r>
    </w:p>
    <w:p>
      <w:pPr>
        <w:pStyle w:val="ListParagraph"/>
        <w:numPr>
          <w:ilvl w:val="0"/>
          <w:numId w:val="2"/>
        </w:numPr>
        <w:spacing w:after="40" w:before="40"/>
      </w:pPr>
      <w:r>
        <w:rPr>
          <w:rFonts w:ascii="Arial" w:cs="Arial" w:eastAsia="Arial" w:hAnsi="Arial"/>
          <w:color w:val="1A1A1A"/>
          <w:sz w:val="20"/>
          <w:szCs w:val="20"/>
        </w:rPr>
        <w:t xml:space="preserve">When auth_enabled = True (production): fetches the Keycloak JWKS (public key) and validates the JWT signature, audience, and issuer.</w:t>
      </w:r>
    </w:p>
    <w:p>
      <w:pPr>
        <w:pStyle w:val="ListParagraph"/>
        <w:numPr>
          <w:ilvl w:val="0"/>
          <w:numId w:val="2"/>
        </w:numPr>
        <w:spacing w:after="40" w:before="40"/>
      </w:pPr>
      <w:r>
        <w:rPr>
          <w:rFonts w:ascii="Arial" w:cs="Arial" w:eastAsia="Arial" w:hAnsi="Arial"/>
          <w:color w:val="1A1A1A"/>
          <w:sz w:val="20"/>
          <w:szCs w:val="20"/>
        </w:rPr>
        <w:t xml:space="preserve">JWKS are cached in a module-level variable (_jwks_cache) to avoid refetching on every request.</w:t>
      </w:r>
    </w:p>
    <w:p>
      <w:pPr>
        <w:pStyle w:val="ListParagraph"/>
        <w:numPr>
          <w:ilvl w:val="0"/>
          <w:numId w:val="2"/>
        </w:numPr>
        <w:spacing w:after="40" w:before="40"/>
      </w:pPr>
      <w:r>
        <w:rPr>
          <w:rFonts w:ascii="Arial" w:cs="Arial" w:eastAsia="Arial" w:hAnsi="Arial"/>
          <w:color w:val="1A1A1A"/>
          <w:sz w:val="20"/>
          <w:szCs w:val="20"/>
        </w:rPr>
        <w:t xml:space="preserve">Returns the decoded JWT payload (dict). The sub claim identifies the user for audit logging.</w:t>
      </w:r>
    </w:p>
    <w:p>
      <w:pPr>
        <w:spacing w:after="60" w:before="60"/>
      </w:pPr>
    </w:p>
    <w:p>
      <w:pPr>
        <w:pStyle w:val="Heading2"/>
        <w:spacing w:after="100" w:before="280"/>
      </w:pPr>
      <w:r>
        <w:rPr>
          <w:rFonts w:ascii="Arial" w:cs="Arial" w:eastAsia="Arial" w:hAnsi="Arial"/>
          <w:b/>
          <w:bCs/>
          <w:color w:val="2E75B6"/>
          <w:sz w:val="26"/>
          <w:szCs w:val="26"/>
        </w:rPr>
        <w:t xml:space="preserve">3.3  app/api/ — HTTP Endpoints</w:t>
      </w:r>
    </w:p>
    <w:p>
      <w:pPr>
        <w:spacing w:after="80" w:before="60"/>
      </w:pPr>
      <w:r>
        <w:rPr>
          <w:rFonts w:ascii="Arial" w:cs="Arial" w:eastAsia="Arial" w:hAnsi="Arial"/>
          <w:color w:val="1A1A1A"/>
          <w:sz w:val="20"/>
          <w:szCs w:val="20"/>
        </w:rPr>
        <w:t xml:space="preserve">FastAPI routers defining the HTTP interface.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app/api/risk_endpoint.py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Main scoring endpoint (POST /v1/risk/evaluate) and health check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Routes: POST /v1/risk/evaluate, GET /v1/risk/health</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app/api/admin_endpoint.py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Calibration CRUD and batch job trigger endpoints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Routes: GET/PUT /v1/admin/*, POST /v1/admin/refresh-*</w:t>
            </w:r>
          </w:p>
        </w:tc>
      </w:tr>
    </w:tbl>
    <w:p>
      <w:pPr>
        <w:spacing w:after="60" w:before="60"/>
      </w:pPr>
    </w:p>
    <w:p>
      <w:pPr>
        <w:pStyle w:val="Heading3"/>
        <w:spacing w:after="60" w:before="180"/>
      </w:pPr>
      <w:r>
        <w:rPr>
          <w:rFonts w:ascii="Arial" w:cs="Arial" w:eastAsia="Arial" w:hAnsi="Arial"/>
          <w:b/>
          <w:bCs/>
          <w:color w:val="17A589"/>
          <w:sz w:val="22"/>
          <w:szCs w:val="22"/>
        </w:rPr>
        <w:t xml:space="preserve">app/api/risk_endpoint.py</w:t>
      </w:r>
    </w:p>
    <w:p>
      <w:pPr>
        <w:spacing w:after="80" w:before="60"/>
      </w:pPr>
      <w:r>
        <w:rPr>
          <w:rFonts w:ascii="Arial" w:cs="Arial" w:eastAsia="Arial" w:hAnsi="Arial"/>
          <w:color w:val="1A1A1A"/>
          <w:sz w:val="20"/>
          <w:szCs w:val="20"/>
        </w:rPr>
        <w:t xml:space="preserve">The single most important endpoint in the service. Handles POST /v1/risk/evaluate — the endpoint Flowable calls for every lease application.</w:t>
      </w:r>
    </w:p>
    <w:p>
      <w:pPr>
        <w:pStyle w:val="ListParagraph"/>
        <w:numPr>
          <w:ilvl w:val="0"/>
          <w:numId w:val="2"/>
        </w:numPr>
        <w:spacing w:after="40" w:before="40"/>
      </w:pPr>
      <w:r>
        <w:rPr>
          <w:rFonts w:ascii="Arial" w:cs="Arial" w:eastAsia="Arial" w:hAnsi="Arial"/>
          <w:color w:val="1A1A1A"/>
          <w:sz w:val="20"/>
          <w:szCs w:val="20"/>
        </w:rPr>
        <w:t xml:space="preserve">Validates the JWT token (via verify_token dependency).</w:t>
      </w:r>
    </w:p>
    <w:p>
      <w:pPr>
        <w:pStyle w:val="ListParagraph"/>
        <w:numPr>
          <w:ilvl w:val="0"/>
          <w:numId w:val="2"/>
        </w:numPr>
        <w:spacing w:after="40" w:before="40"/>
      </w:pPr>
      <w:r>
        <w:rPr>
          <w:rFonts w:ascii="Arial" w:cs="Arial" w:eastAsia="Arial" w:hAnsi="Arial"/>
          <w:color w:val="1A1A1A"/>
          <w:sz w:val="20"/>
          <w:szCs w:val="20"/>
        </w:rPr>
        <w:t xml:space="preserve">Checks idempotency: if the same request_id was already scored, returns the cached result from the database without re-scoring.</w:t>
      </w:r>
    </w:p>
    <w:p>
      <w:pPr>
        <w:pStyle w:val="ListParagraph"/>
        <w:numPr>
          <w:ilvl w:val="0"/>
          <w:numId w:val="2"/>
        </w:numPr>
        <w:spacing w:after="40" w:before="40"/>
      </w:pPr>
      <w:r>
        <w:rPr>
          <w:rFonts w:ascii="Arial" w:cs="Arial" w:eastAsia="Arial" w:hAnsi="Arial"/>
          <w:color w:val="1A1A1A"/>
          <w:sz w:val="20"/>
          <w:szCs w:val="20"/>
        </w:rPr>
        <w:t xml:space="preserve">Calls the scoring engine: evaluate(request) from app.scoring.engine.</w:t>
      </w:r>
    </w:p>
    <w:p>
      <w:pPr>
        <w:pStyle w:val="ListParagraph"/>
        <w:numPr>
          <w:ilvl w:val="0"/>
          <w:numId w:val="2"/>
        </w:numPr>
        <w:spacing w:after="40" w:before="40"/>
      </w:pPr>
      <w:r>
        <w:rPr>
          <w:rFonts w:ascii="Arial" w:cs="Arial" w:eastAsia="Arial" w:hAnsi="Arial"/>
          <w:color w:val="1A1A1A"/>
          <w:sz w:val="20"/>
          <w:szCs w:val="20"/>
        </w:rPr>
        <w:t xml:space="preserve">Persists the full request and response to the risk_assessment table.</w:t>
      </w:r>
    </w:p>
    <w:p>
      <w:pPr>
        <w:pStyle w:val="ListParagraph"/>
        <w:numPr>
          <w:ilvl w:val="0"/>
          <w:numId w:val="2"/>
        </w:numPr>
        <w:spacing w:after="40" w:before="40"/>
      </w:pPr>
      <w:r>
        <w:rPr>
          <w:rFonts w:ascii="Arial" w:cs="Arial" w:eastAsia="Arial" w:hAnsi="Arial"/>
          <w:color w:val="1A1A1A"/>
          <w:sz w:val="20"/>
          <w:szCs w:val="20"/>
        </w:rPr>
        <w:t xml:space="preserve">Publishes a Kafka event (if Kafka is enabled) for downstream consumers.</w:t>
      </w:r>
    </w:p>
    <w:p>
      <w:pPr>
        <w:pStyle w:val="ListParagraph"/>
        <w:numPr>
          <w:ilvl w:val="0"/>
          <w:numId w:val="2"/>
        </w:numPr>
        <w:spacing w:after="40" w:before="40"/>
      </w:pPr>
      <w:r>
        <w:rPr>
          <w:rFonts w:ascii="Arial" w:cs="Arial" w:eastAsia="Arial" w:hAnsi="Arial"/>
          <w:color w:val="1A1A1A"/>
          <w:sz w:val="20"/>
          <w:szCs w:val="20"/>
        </w:rPr>
        <w:t xml:space="preserve">Returns the RiskEvaluationResponse JSON to Flowable.</w:t>
      </w:r>
    </w:p>
    <w:p>
      <w:pPr>
        <w:spacing w:after="60" w:before="40"/>
        <w:ind w:left="360"/>
      </w:pPr>
      <w:r>
        <w:rPr>
          <w:rFonts w:ascii="Arial" w:cs="Arial" w:eastAsia="Arial" w:hAnsi="Arial"/>
          <w:i/>
          <w:iCs/>
          <w:color w:val="555555"/>
          <w:sz w:val="18"/>
          <w:szCs w:val="18"/>
        </w:rPr>
        <w:t xml:space="preserve">GET /v1/risk/health returns a simple JSON health check used by load balancer health probes.</w:t>
      </w:r>
    </w:p>
    <w:p>
      <w:pPr>
        <w:spacing w:after="60" w:before="60"/>
      </w:pPr>
    </w:p>
    <w:p>
      <w:pPr>
        <w:pStyle w:val="Heading3"/>
        <w:spacing w:after="60" w:before="180"/>
      </w:pPr>
      <w:r>
        <w:rPr>
          <w:rFonts w:ascii="Arial" w:cs="Arial" w:eastAsia="Arial" w:hAnsi="Arial"/>
          <w:b/>
          <w:bCs/>
          <w:color w:val="17A589"/>
          <w:sz w:val="22"/>
          <w:szCs w:val="22"/>
        </w:rPr>
        <w:t xml:space="preserve">app/api/admin_endpoint.py</w:t>
      </w:r>
    </w:p>
    <w:p>
      <w:pPr>
        <w:spacing w:after="80" w:before="60"/>
      </w:pPr>
      <w:r>
        <w:rPr>
          <w:rFonts w:ascii="Arial" w:cs="Arial" w:eastAsia="Arial" w:hAnsi="Arial"/>
          <w:color w:val="1A1A1A"/>
          <w:sz w:val="20"/>
          <w:szCs w:val="20"/>
        </w:rPr>
        <w:t xml:space="preserve">Calibration and administration API. Provides CRUD access to the scoring model tables (factors, bins, tier thresholds, business rules, model versions) used by the Calibration UI.</w:t>
      </w:r>
    </w:p>
    <w:p>
      <w:pPr>
        <w:pStyle w:val="ListParagraph"/>
        <w:numPr>
          <w:ilvl w:val="0"/>
          <w:numId w:val="2"/>
        </w:numPr>
        <w:spacing w:after="40" w:before="40"/>
      </w:pPr>
      <w:r>
        <w:rPr>
          <w:rFonts w:ascii="Arial" w:cs="Arial" w:eastAsia="Arial" w:hAnsi="Arial"/>
          <w:color w:val="1A1A1A"/>
          <w:sz w:val="20"/>
          <w:szCs w:val="20"/>
        </w:rPr>
        <w:t xml:space="preserve">GET /v1/admin/versions — list all model versions</w:t>
      </w:r>
    </w:p>
    <w:p>
      <w:pPr>
        <w:pStyle w:val="ListParagraph"/>
        <w:numPr>
          <w:ilvl w:val="0"/>
          <w:numId w:val="2"/>
        </w:numPr>
        <w:spacing w:after="40" w:before="40"/>
      </w:pPr>
      <w:r>
        <w:rPr>
          <w:rFonts w:ascii="Arial" w:cs="Arial" w:eastAsia="Arial" w:hAnsi="Arial"/>
          <w:color w:val="1A1A1A"/>
          <w:sz w:val="20"/>
          <w:szCs w:val="20"/>
        </w:rPr>
        <w:t xml:space="preserve">GET/PUT /v1/admin/factors/{version_id} — list and update factor configurations</w:t>
      </w:r>
    </w:p>
    <w:p>
      <w:pPr>
        <w:pStyle w:val="ListParagraph"/>
        <w:numPr>
          <w:ilvl w:val="0"/>
          <w:numId w:val="2"/>
        </w:numPr>
        <w:spacing w:after="40" w:before="40"/>
      </w:pPr>
      <w:r>
        <w:rPr>
          <w:rFonts w:ascii="Arial" w:cs="Arial" w:eastAsia="Arial" w:hAnsi="Arial"/>
          <w:color w:val="1A1A1A"/>
          <w:sz w:val="20"/>
          <w:szCs w:val="20"/>
        </w:rPr>
        <w:t xml:space="preserve">GET/PUT /v1/admin/factors/{version_id}/{factor_name}/bins/{bin_id} — list and update factor bin scores</w:t>
      </w:r>
    </w:p>
    <w:p>
      <w:pPr>
        <w:pStyle w:val="ListParagraph"/>
        <w:numPr>
          <w:ilvl w:val="0"/>
          <w:numId w:val="2"/>
        </w:numPr>
        <w:spacing w:after="40" w:before="40"/>
      </w:pPr>
      <w:r>
        <w:rPr>
          <w:rFonts w:ascii="Arial" w:cs="Arial" w:eastAsia="Arial" w:hAnsi="Arial"/>
          <w:color w:val="1A1A1A"/>
          <w:sz w:val="20"/>
          <w:szCs w:val="20"/>
        </w:rPr>
        <w:t xml:space="preserve">GET/PUT /v1/admin/tiers/{version_id} — list and update tier thresholds</w:t>
      </w:r>
    </w:p>
    <w:p>
      <w:pPr>
        <w:pStyle w:val="ListParagraph"/>
        <w:numPr>
          <w:ilvl w:val="0"/>
          <w:numId w:val="2"/>
        </w:numPr>
        <w:spacing w:after="40" w:before="40"/>
      </w:pPr>
      <w:r>
        <w:rPr>
          <w:rFonts w:ascii="Arial" w:cs="Arial" w:eastAsia="Arial" w:hAnsi="Arial"/>
          <w:color w:val="1A1A1A"/>
          <w:sz w:val="20"/>
          <w:szCs w:val="20"/>
        </w:rPr>
        <w:t xml:space="preserve">GET/PUT /v1/admin/rules/{version_id} — list and update business rules</w:t>
      </w:r>
    </w:p>
    <w:p>
      <w:pPr>
        <w:pStyle w:val="ListParagraph"/>
        <w:numPr>
          <w:ilvl w:val="0"/>
          <w:numId w:val="2"/>
        </w:numPr>
        <w:spacing w:after="40" w:before="40"/>
      </w:pPr>
      <w:r>
        <w:rPr>
          <w:rFonts w:ascii="Arial" w:cs="Arial" w:eastAsia="Arial" w:hAnsi="Arial"/>
          <w:color w:val="1A1A1A"/>
          <w:sz w:val="20"/>
          <w:szCs w:val="20"/>
        </w:rPr>
        <w:t xml:space="preserve">POST /v1/admin/publish/{version_id} — publish a model version (makes it active)</w:t>
      </w:r>
    </w:p>
    <w:p>
      <w:pPr>
        <w:pStyle w:val="ListParagraph"/>
        <w:numPr>
          <w:ilvl w:val="0"/>
          <w:numId w:val="2"/>
        </w:numPr>
        <w:spacing w:after="40" w:before="40"/>
      </w:pPr>
      <w:r>
        <w:rPr>
          <w:rFonts w:ascii="Arial" w:cs="Arial" w:eastAsia="Arial" w:hAnsi="Arial"/>
          <w:color w:val="1A1A1A"/>
          <w:sz w:val="20"/>
          <w:szCs w:val="20"/>
        </w:rPr>
        <w:t xml:space="preserve">GET /v1/admin/audit/{version_id} — view the calibration audit log</w:t>
      </w:r>
    </w:p>
    <w:p>
      <w:pPr>
        <w:pStyle w:val="ListParagraph"/>
        <w:numPr>
          <w:ilvl w:val="0"/>
          <w:numId w:val="2"/>
        </w:numPr>
        <w:spacing w:after="40" w:before="40"/>
      </w:pPr>
      <w:r>
        <w:rPr>
          <w:rFonts w:ascii="Arial" w:cs="Arial" w:eastAsia="Arial" w:hAnsi="Arial"/>
          <w:color w:val="1A1A1A"/>
          <w:sz w:val="20"/>
          <w:szCs w:val="20"/>
        </w:rPr>
        <w:t xml:space="preserve">POST /v1/admin/refresh-dealer-metrics — trigger nightly dealer default rate refresh on demand</w:t>
      </w:r>
    </w:p>
    <w:p>
      <w:pPr>
        <w:pStyle w:val="ListParagraph"/>
        <w:numPr>
          <w:ilvl w:val="0"/>
          <w:numId w:val="2"/>
        </w:numPr>
        <w:spacing w:after="40" w:before="40"/>
      </w:pPr>
      <w:r>
        <w:rPr>
          <w:rFonts w:ascii="Arial" w:cs="Arial" w:eastAsia="Arial" w:hAnsi="Arial"/>
          <w:color w:val="1A1A1A"/>
          <w:sz w:val="20"/>
          <w:szCs w:val="20"/>
        </w:rPr>
        <w:t xml:space="preserve">POST /v1/admin/refresh-segment-performance — trigger quarterly WoE drift refresh on demand</w:t>
      </w:r>
    </w:p>
    <w:p>
      <w:pPr>
        <w:spacing w:after="60" w:before="40"/>
        <w:ind w:left="360"/>
      </w:pPr>
      <w:r>
        <w:rPr>
          <w:rFonts w:ascii="Arial" w:cs="Arial" w:eastAsia="Arial" w:hAnsi="Arial"/>
          <w:i/>
          <w:iCs/>
          <w:color w:val="555555"/>
          <w:sz w:val="18"/>
          <w:szCs w:val="18"/>
        </w:rPr>
        <w:t xml:space="preserve">All calibration changes are written to calibration_audit_log with the user's Keycloak sub claim. The batch refresh endpoints use asyncio.to_thread() to run the synchronous psycopg2 batch jobs without blocking the FastAPI event loop.</w:t>
      </w:r>
    </w:p>
    <w:p>
      <w:pPr>
        <w:spacing w:after="60" w:before="60"/>
      </w:pPr>
    </w:p>
    <w:p>
      <w:pPr>
        <w:pStyle w:val="Heading2"/>
        <w:spacing w:after="100" w:before="280"/>
      </w:pPr>
      <w:r>
        <w:rPr>
          <w:rFonts w:ascii="Arial" w:cs="Arial" w:eastAsia="Arial" w:hAnsi="Arial"/>
          <w:b/>
          <w:bCs/>
          <w:color w:val="2E75B6"/>
          <w:sz w:val="26"/>
          <w:szCs w:val="26"/>
        </w:rPr>
        <w:t xml:space="preserve">3.4  app/schemas/ — Request/Response Models</w:t>
      </w:r>
    </w:p>
    <w:p>
      <w:pPr>
        <w:spacing w:after="80" w:before="60"/>
      </w:pPr>
      <w:r>
        <w:rPr>
          <w:rFonts w:ascii="Arial" w:cs="Arial" w:eastAsia="Arial" w:hAnsi="Arial"/>
          <w:color w:val="1A1A1A"/>
          <w:sz w:val="20"/>
          <w:szCs w:val="20"/>
        </w:rPr>
        <w:t xml:space="preserve">Pydantic models that define the exact shape of every API request and response. These are the contract between Flowable and the risk engine.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app/schemas/risk_request.py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Inbound JSON payload from Flowable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Classes: RiskEvaluationRequest, CustomerData, VehicleData, ContractData, DealerData + all enums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app/schemas/risk_response.py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Outbound JSON response to Flowable</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Classes: RiskEvaluationResponse, FactorScore, DSCRResult, BusinessRuleOverride + enums</w:t>
            </w:r>
          </w:p>
        </w:tc>
      </w:tr>
    </w:tbl>
    <w:p>
      <w:pPr>
        <w:spacing w:after="60" w:before="60"/>
      </w:pPr>
    </w:p>
    <w:p>
      <w:pPr>
        <w:pStyle w:val="Heading3"/>
        <w:spacing w:after="60" w:before="180"/>
      </w:pPr>
      <w:r>
        <w:rPr>
          <w:rFonts w:ascii="Arial" w:cs="Arial" w:eastAsia="Arial" w:hAnsi="Arial"/>
          <w:b/>
          <w:bCs/>
          <w:color w:val="17A589"/>
          <w:sz w:val="22"/>
          <w:szCs w:val="22"/>
        </w:rPr>
        <w:t xml:space="preserve">app/schemas/risk_request.py</w:t>
      </w:r>
    </w:p>
    <w:p>
      <w:pPr>
        <w:spacing w:after="80" w:before="60"/>
      </w:pPr>
      <w:r>
        <w:rPr>
          <w:rFonts w:ascii="Arial" w:cs="Arial" w:eastAsia="Arial" w:hAnsi="Arial"/>
          <w:color w:val="1A1A1A"/>
          <w:sz w:val="20"/>
          <w:szCs w:val="20"/>
        </w:rPr>
        <w:t xml:space="preserve">Contains all input models. Key enums defined here:</w:t>
      </w:r>
    </w:p>
    <w:p>
      <w:pPr>
        <w:pStyle w:val="ListParagraph"/>
        <w:numPr>
          <w:ilvl w:val="0"/>
          <w:numId w:val="2"/>
        </w:numPr>
        <w:spacing w:after="40" w:before="40"/>
      </w:pPr>
      <w:r>
        <w:rPr>
          <w:rFonts w:ascii="Arial" w:cs="Arial" w:eastAsia="Arial" w:hAnsi="Arial"/>
          <w:color w:val="1A1A1A"/>
          <w:sz w:val="20"/>
          <w:szCs w:val="20"/>
        </w:rPr>
        <w:t xml:space="preserve">PartyType: B2C | B2B — the most important routing flag</w:t>
      </w:r>
    </w:p>
    <w:p>
      <w:pPr>
        <w:pStyle w:val="ListParagraph"/>
        <w:numPr>
          <w:ilvl w:val="0"/>
          <w:numId w:val="2"/>
        </w:numPr>
        <w:spacing w:after="40" w:before="40"/>
      </w:pPr>
      <w:r>
        <w:rPr>
          <w:rFonts w:ascii="Arial" w:cs="Arial" w:eastAsia="Arial" w:hAnsi="Arial"/>
          <w:color w:val="1A1A1A"/>
          <w:sz w:val="20"/>
          <w:szCs w:val="20"/>
        </w:rPr>
        <w:t xml:space="preserve">PermitType: B | C | L | Diplomat | Unknown</w:t>
      </w:r>
    </w:p>
    <w:p>
      <w:pPr>
        <w:pStyle w:val="ListParagraph"/>
        <w:numPr>
          <w:ilvl w:val="0"/>
          <w:numId w:val="2"/>
        </w:numPr>
        <w:spacing w:after="40" w:before="40"/>
      </w:pPr>
      <w:r>
        <w:rPr>
          <w:rFonts w:ascii="Arial" w:cs="Arial" w:eastAsia="Arial" w:hAnsi="Arial"/>
          <w:color w:val="1A1A1A"/>
          <w:sz w:val="20"/>
          <w:szCs w:val="20"/>
        </w:rPr>
        <w:t xml:space="preserve">ZefixStatus: ACTIVE | DISSOLVED | SUSPENDED | NOT_FOUND | UNKNOWN</w:t>
      </w:r>
    </w:p>
    <w:p>
      <w:pPr>
        <w:pStyle w:val="ListParagraph"/>
        <w:numPr>
          <w:ilvl w:val="0"/>
          <w:numId w:val="2"/>
        </w:numPr>
        <w:spacing w:after="40" w:before="40"/>
      </w:pPr>
      <w:r>
        <w:rPr>
          <w:rFonts w:ascii="Arial" w:cs="Arial" w:eastAsia="Arial" w:hAnsi="Arial"/>
          <w:color w:val="1A1A1A"/>
          <w:sz w:val="20"/>
          <w:szCs w:val="20"/>
        </w:rPr>
        <w:t xml:space="preserve">LegalForm: AG | GmbH | KG | Einzelfirma | Other | Unknown</w:t>
      </w:r>
    </w:p>
    <w:p>
      <w:pPr>
        <w:pStyle w:val="ListParagraph"/>
        <w:numPr>
          <w:ilvl w:val="0"/>
          <w:numId w:val="2"/>
        </w:numPr>
        <w:spacing w:after="40" w:before="40"/>
      </w:pPr>
      <w:r>
        <w:rPr>
          <w:rFonts w:ascii="Arial" w:cs="Arial" w:eastAsia="Arial" w:hAnsi="Arial"/>
          <w:color w:val="1A1A1A"/>
          <w:sz w:val="20"/>
          <w:szCs w:val="20"/>
        </w:rPr>
        <w:t xml:space="preserve">IndustryRisk: Low | Medium | High | Critical | Unknown</w:t>
      </w:r>
    </w:p>
    <w:p>
      <w:pPr>
        <w:pStyle w:val="ListParagraph"/>
        <w:numPr>
          <w:ilvl w:val="0"/>
          <w:numId w:val="2"/>
        </w:numPr>
        <w:spacing w:after="40" w:before="40"/>
      </w:pPr>
      <w:r>
        <w:rPr>
          <w:rFonts w:ascii="Arial" w:cs="Arial" w:eastAsia="Arial" w:hAnsi="Arial"/>
          <w:color w:val="1A1A1A"/>
          <w:sz w:val="20"/>
          <w:szCs w:val="20"/>
        </w:rPr>
        <w:t xml:space="preserve">IncomeType: employed | self_employed | retired | unemployed | other</w:t>
      </w:r>
    </w:p>
    <w:p>
      <w:pPr>
        <w:spacing w:after="80" w:before="60"/>
      </w:pPr>
      <w:r>
        <w:rPr>
          <w:rFonts w:ascii="Arial" w:cs="Arial" w:eastAsia="Arial" w:hAnsi="Arial"/>
          <w:color w:val="1A1A1A"/>
          <w:sz w:val="20"/>
          <w:szCs w:val="20"/>
        </w:rPr>
        <w:t xml:space="preserve">The top-level RiskEvaluationRequest nests CustomerData, VehicleData, ContractData, and DealerData. It includes a validator that checks the timestamp is valid ISO-8601.</w:t>
      </w:r>
    </w:p>
    <w:p>
      <w:pPr>
        <w:spacing w:after="60" w:before="40"/>
        <w:ind w:left="360"/>
      </w:pPr>
      <w:r>
        <w:rPr>
          <w:rFonts w:ascii="Arial" w:cs="Arial" w:eastAsia="Arial" w:hAnsi="Arial"/>
          <w:i/>
          <w:iCs/>
          <w:color w:val="555555"/>
          <w:sz w:val="18"/>
          <w:szCs w:val="18"/>
        </w:rPr>
        <w:t xml:space="preserve">date_of_birth is Optional[date] = None because B2B companies do not have a date of birth. B2C applications should always provide it for accurate age scoring.</w:t>
      </w:r>
    </w:p>
    <w:p>
      <w:pPr>
        <w:spacing w:after="60" w:before="60"/>
      </w:pPr>
    </w:p>
    <w:p>
      <w:pPr>
        <w:pStyle w:val="Heading3"/>
        <w:spacing w:after="60" w:before="180"/>
      </w:pPr>
      <w:r>
        <w:rPr>
          <w:rFonts w:ascii="Arial" w:cs="Arial" w:eastAsia="Arial" w:hAnsi="Arial"/>
          <w:b/>
          <w:bCs/>
          <w:color w:val="17A589"/>
          <w:sz w:val="22"/>
          <w:szCs w:val="22"/>
        </w:rPr>
        <w:t xml:space="preserve">app/schemas/risk_response.py</w:t>
      </w:r>
    </w:p>
    <w:p>
      <w:pPr>
        <w:spacing w:after="80" w:before="60"/>
      </w:pPr>
      <w:r>
        <w:rPr>
          <w:rFonts w:ascii="Arial" w:cs="Arial" w:eastAsia="Arial" w:hAnsi="Arial"/>
          <w:color w:val="1A1A1A"/>
          <w:sz w:val="20"/>
          <w:szCs w:val="20"/>
        </w:rPr>
        <w:t xml:space="preserve">Contains all output models. Key enums:</w:t>
      </w:r>
    </w:p>
    <w:p>
      <w:pPr>
        <w:pStyle w:val="ListParagraph"/>
        <w:numPr>
          <w:ilvl w:val="0"/>
          <w:numId w:val="2"/>
        </w:numPr>
        <w:spacing w:after="40" w:before="40"/>
      </w:pPr>
      <w:r>
        <w:rPr>
          <w:rFonts w:ascii="Arial" w:cs="Arial" w:eastAsia="Arial" w:hAnsi="Arial"/>
          <w:color w:val="1A1A1A"/>
          <w:sz w:val="20"/>
          <w:szCs w:val="20"/>
        </w:rPr>
        <w:t xml:space="preserve">RiskTier: BRIGHT_GREEN | GREEN | YELLOW | RED</w:t>
      </w:r>
    </w:p>
    <w:p>
      <w:pPr>
        <w:pStyle w:val="ListParagraph"/>
        <w:numPr>
          <w:ilvl w:val="0"/>
          <w:numId w:val="2"/>
        </w:numPr>
        <w:spacing w:after="40" w:before="40"/>
      </w:pPr>
      <w:r>
        <w:rPr>
          <w:rFonts w:ascii="Arial" w:cs="Arial" w:eastAsia="Arial" w:hAnsi="Arial"/>
          <w:color w:val="1A1A1A"/>
          <w:sz w:val="20"/>
          <w:szCs w:val="20"/>
        </w:rPr>
        <w:t xml:space="preserve">Decision: AUTO_APPROVE | APPROVE_STANDARD | MANUAL_REVIEW | DECLINE</w:t>
      </w:r>
    </w:p>
    <w:p>
      <w:pPr>
        <w:spacing w:after="60" w:before="60"/>
      </w:pPr>
    </w:p>
    <w:p>
      <w:pPr>
        <w:pStyle w:val="Heading2"/>
        <w:spacing w:after="100" w:before="280"/>
      </w:pPr>
      <w:r>
        <w:rPr>
          <w:rFonts w:ascii="Arial" w:cs="Arial" w:eastAsia="Arial" w:hAnsi="Arial"/>
          <w:b/>
          <w:bCs/>
          <w:color w:val="2E75B6"/>
          <w:sz w:val="26"/>
          <w:szCs w:val="26"/>
        </w:rPr>
        <w:t xml:space="preserve">3.5  app/models/ — Database ORM Models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app/models/database.py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SQLAlchemy async engine and session factory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engine, async_session, get_db()</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app/models/risk_assessment.py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ORM model for the risk_assessment audit table</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RiskAssessment, Base</w:t>
            </w:r>
          </w:p>
        </w:tc>
      </w:tr>
    </w:tbl>
    <w:p>
      <w:pPr>
        <w:spacing w:after="60" w:before="60"/>
      </w:pPr>
    </w:p>
    <w:p>
      <w:pPr>
        <w:pStyle w:val="Heading3"/>
        <w:spacing w:after="60" w:before="180"/>
      </w:pPr>
      <w:r>
        <w:rPr>
          <w:rFonts w:ascii="Arial" w:cs="Arial" w:eastAsia="Arial" w:hAnsi="Arial"/>
          <w:b/>
          <w:bCs/>
          <w:color w:val="17A589"/>
          <w:sz w:val="22"/>
          <w:szCs w:val="22"/>
        </w:rPr>
        <w:t xml:space="preserve">app/models/database.py</w:t>
      </w:r>
    </w:p>
    <w:p>
      <w:pPr>
        <w:spacing w:after="80" w:before="60"/>
      </w:pPr>
      <w:r>
        <w:rPr>
          <w:rFonts w:ascii="Arial" w:cs="Arial" w:eastAsia="Arial" w:hAnsi="Arial"/>
          <w:color w:val="1A1A1A"/>
          <w:sz w:val="20"/>
          <w:szCs w:val="20"/>
        </w:rPr>
        <w:t xml:space="preserve">Creates the SQLAlchemy async engine from the DATABASE_URL setting. Uses an async connection pool (pool_size=10, max_overflow=20, pool_pre_ping=True). Provides get_db() as a FastAPI dependency that yields a database session per request.</w:t>
      </w:r>
    </w:p>
    <w:p>
      <w:pPr>
        <w:spacing w:after="60" w:before="60"/>
      </w:pPr>
    </w:p>
    <w:p>
      <w:pPr>
        <w:pStyle w:val="Heading3"/>
        <w:spacing w:after="60" w:before="180"/>
      </w:pPr>
      <w:r>
        <w:rPr>
          <w:rFonts w:ascii="Arial" w:cs="Arial" w:eastAsia="Arial" w:hAnsi="Arial"/>
          <w:b/>
          <w:bCs/>
          <w:color w:val="17A589"/>
          <w:sz w:val="22"/>
          <w:szCs w:val="22"/>
        </w:rPr>
        <w:t xml:space="preserve">app/models/risk_assessment.py</w:t>
      </w:r>
    </w:p>
    <w:p>
      <w:pPr>
        <w:spacing w:after="80" w:before="60"/>
      </w:pPr>
      <w:r>
        <w:rPr>
          <w:rFonts w:ascii="Arial" w:cs="Arial" w:eastAsia="Arial" w:hAnsi="Arial"/>
          <w:color w:val="1A1A1A"/>
          <w:sz w:val="20"/>
          <w:szCs w:val="20"/>
        </w:rPr>
        <w:t xml:space="preserve">The SQLAlchemy ORM class for the lt_risk_engine.risk_assessment table. Maps to the primary audit table — every scoring request is persisted here. Stores the full request and response payloads as JSON for complete replayability.</w:t>
      </w:r>
    </w:p>
    <w:p>
      <w:pPr>
        <w:spacing w:after="60" w:before="60"/>
      </w:pPr>
    </w:p>
    <w:p>
      <w:pPr>
        <w:pStyle w:val="Heading2"/>
        <w:spacing w:after="100" w:before="280"/>
      </w:pPr>
      <w:r>
        <w:rPr>
          <w:rFonts w:ascii="Arial" w:cs="Arial" w:eastAsia="Arial" w:hAnsi="Arial"/>
          <w:b/>
          <w:bCs/>
          <w:color w:val="2E75B6"/>
          <w:sz w:val="26"/>
          <w:szCs w:val="26"/>
        </w:rPr>
        <w:t xml:space="preserve">3.6  app/scoring/ — Scoring Engine and Factor Modules</w:t>
      </w:r>
    </w:p>
    <w:p>
      <w:pPr>
        <w:spacing w:after="80" w:before="60"/>
      </w:pPr>
      <w:r>
        <w:rPr>
          <w:rFonts w:ascii="Arial" w:cs="Arial" w:eastAsia="Arial" w:hAnsi="Arial"/>
          <w:color w:val="1A1A1A"/>
          <w:sz w:val="20"/>
          <w:szCs w:val="20"/>
        </w:rPr>
        <w:t xml:space="preserve">The core business logic of the service.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app/scoring/engine.py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Main orchestrator — routes B2C/B2B, calls factors, applies business rules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evaluate()</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app/scoring/factors.py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10 B2C scoring factor functions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score_ltv(), score_term(), score_age(), score_crif(), score_intrum(), score_dscr(), score_permit(), score_vehicle_price_tier(), score_zek(), score_dealer_risk(), FactorResult</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app/scoring/b2b_factors.py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 B2B-specific scoring factor functions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score_company_age(), score_debt_ratio(), score_b2b_dscr(), score_company_type(), score_industry_risk()</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app/scoring/legacy_scorecard.py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Legacy WoE logistic regression scorecard (A-E bands)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compute_legacy_score()</w:t>
            </w:r>
          </w:p>
        </w:tc>
      </w:tr>
    </w:tbl>
    <w:p>
      <w:pPr>
        <w:spacing w:after="60" w:before="60"/>
      </w:pPr>
    </w:p>
    <w:p>
      <w:pPr>
        <w:pStyle w:val="Heading3"/>
        <w:spacing w:after="60" w:before="180"/>
      </w:pPr>
      <w:r>
        <w:rPr>
          <w:rFonts w:ascii="Arial" w:cs="Arial" w:eastAsia="Arial" w:hAnsi="Arial"/>
          <w:b/>
          <w:bCs/>
          <w:color w:val="17A589"/>
          <w:sz w:val="22"/>
          <w:szCs w:val="22"/>
        </w:rPr>
        <w:t xml:space="preserve">app/scoring/engine.py</w:t>
      </w:r>
    </w:p>
    <w:p>
      <w:pPr>
        <w:spacing w:after="80" w:before="60"/>
      </w:pPr>
      <w:r>
        <w:rPr>
          <w:rFonts w:ascii="Arial" w:cs="Arial" w:eastAsia="Arial" w:hAnsi="Arial"/>
          <w:color w:val="1A1A1A"/>
          <w:sz w:val="20"/>
          <w:szCs w:val="20"/>
        </w:rPr>
        <w:t xml:space="preserve">The brain of the service. The evaluate() function is the single entry point called by the API endpoint. It orchestrates the 7-step scoring pipeline:</w:t>
      </w:r>
    </w:p>
    <w:p>
      <w:pPr>
        <w:pStyle w:val="ListParagraph"/>
        <w:numPr>
          <w:ilvl w:val="0"/>
          <w:numId w:val="2"/>
        </w:numPr>
        <w:spacing w:after="40" w:before="40"/>
      </w:pPr>
      <w:r>
        <w:rPr>
          <w:rFonts w:ascii="Arial" w:cs="Arial" w:eastAsia="Arial" w:hAnsi="Arial"/>
          <w:color w:val="1A1A1A"/>
          <w:sz w:val="20"/>
          <w:szCs w:val="20"/>
        </w:rPr>
        <w:t xml:space="preserve">Step 1: Calls calculate_dscr() to compute the debt coverage ratio</w:t>
      </w:r>
    </w:p>
    <w:p>
      <w:pPr>
        <w:pStyle w:val="ListParagraph"/>
        <w:numPr>
          <w:ilvl w:val="0"/>
          <w:numId w:val="2"/>
        </w:numPr>
        <w:spacing w:after="40" w:before="40"/>
      </w:pPr>
      <w:r>
        <w:rPr>
          <w:rFonts w:ascii="Arial" w:cs="Arial" w:eastAsia="Arial" w:hAnsi="Arial"/>
          <w:color w:val="1A1A1A"/>
          <w:sz w:val="20"/>
          <w:szCs w:val="20"/>
        </w:rPr>
        <w:t xml:space="preserve">Step 2: Routes to _score_b2b() or _score_b2c() based on party_type</w:t>
      </w:r>
    </w:p>
    <w:p>
      <w:pPr>
        <w:pStyle w:val="ListParagraph"/>
        <w:numPr>
          <w:ilvl w:val="0"/>
          <w:numId w:val="2"/>
        </w:numPr>
        <w:spacing w:after="40" w:before="40"/>
      </w:pPr>
      <w:r>
        <w:rPr>
          <w:rFonts w:ascii="Arial" w:cs="Arial" w:eastAsia="Arial" w:hAnsi="Arial"/>
          <w:color w:val="1A1A1A"/>
          <w:sz w:val="20"/>
          <w:szCs w:val="20"/>
        </w:rPr>
        <w:t xml:space="preserve">Step 3: Sums factor raw scores to produce the composite score</w:t>
      </w:r>
    </w:p>
    <w:p>
      <w:pPr>
        <w:pStyle w:val="ListParagraph"/>
        <w:numPr>
          <w:ilvl w:val="0"/>
          <w:numId w:val="2"/>
        </w:numPr>
        <w:spacing w:after="40" w:before="40"/>
      </w:pPr>
      <w:r>
        <w:rPr>
          <w:rFonts w:ascii="Arial" w:cs="Arial" w:eastAsia="Arial" w:hAnsi="Arial"/>
          <w:color w:val="1A1A1A"/>
          <w:sz w:val="20"/>
          <w:szCs w:val="20"/>
        </w:rPr>
        <w:t xml:space="preserve">Step 4: Maps composite score to a risk tier using TIER_THRESHOLDS</w:t>
      </w:r>
    </w:p>
    <w:p>
      <w:pPr>
        <w:pStyle w:val="ListParagraph"/>
        <w:numPr>
          <w:ilvl w:val="0"/>
          <w:numId w:val="2"/>
        </w:numPr>
        <w:spacing w:after="40" w:before="40"/>
      </w:pPr>
      <w:r>
        <w:rPr>
          <w:rFonts w:ascii="Arial" w:cs="Arial" w:eastAsia="Arial" w:hAnsi="Arial"/>
          <w:color w:val="1A1A1A"/>
          <w:sz w:val="20"/>
          <w:szCs w:val="20"/>
        </w:rPr>
        <w:t xml:space="preserve">Step 5: Calls _check_business_rules() — any triggered rule forces tier to RED</w:t>
      </w:r>
    </w:p>
    <w:p>
      <w:pPr>
        <w:pStyle w:val="ListParagraph"/>
        <w:numPr>
          <w:ilvl w:val="0"/>
          <w:numId w:val="2"/>
        </w:numPr>
        <w:spacing w:after="40" w:before="40"/>
      </w:pPr>
      <w:r>
        <w:rPr>
          <w:rFonts w:ascii="Arial" w:cs="Arial" w:eastAsia="Arial" w:hAnsi="Arial"/>
          <w:color w:val="1A1A1A"/>
          <w:sz w:val="20"/>
          <w:szCs w:val="20"/>
        </w:rPr>
        <w:t xml:space="preserve">Step 6: Calls compute_legacy_score() for B2C (null for B2B)</w:t>
      </w:r>
    </w:p>
    <w:p>
      <w:pPr>
        <w:pStyle w:val="ListParagraph"/>
        <w:numPr>
          <w:ilvl w:val="0"/>
          <w:numId w:val="2"/>
        </w:numPr>
        <w:spacing w:after="40" w:before="40"/>
      </w:pPr>
      <w:r>
        <w:rPr>
          <w:rFonts w:ascii="Arial" w:cs="Arial" w:eastAsia="Arial" w:hAnsi="Arial"/>
          <w:color w:val="1A1A1A"/>
          <w:sz w:val="20"/>
          <w:szCs w:val="20"/>
        </w:rPr>
        <w:t xml:space="preserve">Step 7: Maps tier to calibrated PD estimate</w:t>
      </w:r>
    </w:p>
    <w:p>
      <w:pPr>
        <w:spacing w:after="80" w:before="60"/>
      </w:pPr>
      <w:r>
        <w:rPr>
          <w:rFonts w:ascii="Arial" w:cs="Arial" w:eastAsia="Arial" w:hAnsi="Arial"/>
          <w:color w:val="1A1A1A"/>
          <w:sz w:val="20"/>
          <w:szCs w:val="20"/>
        </w:rPr>
        <w:t xml:space="preserve">FACTOR_WEIGHTS dict defines B2C weights (sum = 1.0). B2B_FACTOR_WEIGHTS dict defines B2B weights (sum = 1.0).</w:t>
      </w:r>
    </w:p>
    <w:p>
      <w:pPr>
        <w:spacing w:after="60" w:before="40"/>
        <w:ind w:left="360"/>
      </w:pPr>
      <w:r>
        <w:rPr>
          <w:rFonts w:ascii="Arial" w:cs="Arial" w:eastAsia="Arial" w:hAnsi="Arial"/>
          <w:i/>
          <w:iCs/>
          <w:color w:val="555555"/>
          <w:sz w:val="18"/>
          <w:szCs w:val="18"/>
        </w:rPr>
        <w:t xml:space="preserve">The composite score is a direct sum of raw scores, not a weighted average. Weights reflect relative importance for reporting and are not applied as multipliers in the score calculation.</w:t>
      </w:r>
    </w:p>
    <w:p>
      <w:pPr>
        <w:spacing w:after="60" w:before="60"/>
      </w:pPr>
    </w:p>
    <w:p>
      <w:pPr>
        <w:pStyle w:val="Heading3"/>
        <w:spacing w:after="60" w:before="180"/>
      </w:pPr>
      <w:r>
        <w:rPr>
          <w:rFonts w:ascii="Arial" w:cs="Arial" w:eastAsia="Arial" w:hAnsi="Arial"/>
          <w:b/>
          <w:bCs/>
          <w:color w:val="17A589"/>
          <w:sz w:val="22"/>
          <w:szCs w:val="22"/>
        </w:rPr>
        <w:t xml:space="preserve">app/scoring/factors.py</w:t>
      </w:r>
    </w:p>
    <w:p>
      <w:pPr>
        <w:spacing w:after="80" w:before="60"/>
      </w:pPr>
      <w:r>
        <w:rPr>
          <w:rFonts w:ascii="Arial" w:cs="Arial" w:eastAsia="Arial" w:hAnsi="Arial"/>
          <w:color w:val="1A1A1A"/>
          <w:sz w:val="20"/>
          <w:szCs w:val="20"/>
        </w:rPr>
        <w:t xml:space="preserve">Each function takes raw inputs, maps them to a bin, and returns a FactorResult dataclass with factor_name, raw_value, bin_label, and raw_score. Bins and scores are hardcoded in v1.2 and derived from WoE analysis. The Calibration UI stores adjustable versions in the database — future releases will read from DB at runtime.</w:t>
      </w:r>
    </w:p>
    <w:p>
      <w:pPr>
        <w:spacing w:after="60" w:before="60"/>
      </w:pPr>
    </w:p>
    <w:p>
      <w:pPr>
        <w:pStyle w:val="Heading3"/>
        <w:spacing w:after="60" w:before="180"/>
      </w:pPr>
      <w:r>
        <w:rPr>
          <w:rFonts w:ascii="Arial" w:cs="Arial" w:eastAsia="Arial" w:hAnsi="Arial"/>
          <w:b/>
          <w:bCs/>
          <w:color w:val="17A589"/>
          <w:sz w:val="22"/>
          <w:szCs w:val="22"/>
        </w:rPr>
        <w:t xml:space="preserve">app/scoring/b2b_factors.py</w:t>
      </w:r>
    </w:p>
    <w:p>
      <w:pPr>
        <w:spacing w:after="80" w:before="60"/>
      </w:pPr>
      <w:r>
        <w:rPr>
          <w:rFonts w:ascii="Arial" w:cs="Arial" w:eastAsia="Arial" w:hAnsi="Arial"/>
          <w:color w:val="1A1A1A"/>
          <w:sz w:val="20"/>
          <w:szCs w:val="20"/>
        </w:rPr>
        <w:t xml:space="preserve">B2B-specific factor functions. Replaces Age with CompanyAge, Intrum with DebtRatio, B2C DSCR with B2B DSCR (EBITDA-based, different bins), Permit with CompanyType (legal form + Zefix), and ZEK with IndustryRisk. Imports FactorResult from factors.py.</w:t>
      </w:r>
    </w:p>
    <w:p>
      <w:pPr>
        <w:spacing w:after="60" w:before="60"/>
      </w:pPr>
    </w:p>
    <w:p>
      <w:pPr>
        <w:pStyle w:val="Heading3"/>
        <w:spacing w:after="60" w:before="180"/>
      </w:pPr>
      <w:r>
        <w:rPr>
          <w:rFonts w:ascii="Arial" w:cs="Arial" w:eastAsia="Arial" w:hAnsi="Arial"/>
          <w:b/>
          <w:bCs/>
          <w:color w:val="17A589"/>
          <w:sz w:val="22"/>
          <w:szCs w:val="22"/>
        </w:rPr>
        <w:t xml:space="preserve">app/scoring/legacy_scorecard.py</w:t>
      </w:r>
    </w:p>
    <w:p>
      <w:pPr>
        <w:spacing w:after="80" w:before="60"/>
      </w:pPr>
      <w:r>
        <w:rPr>
          <w:rFonts w:ascii="Arial" w:cs="Arial" w:eastAsia="Arial" w:hAnsi="Arial"/>
          <w:color w:val="1A1A1A"/>
          <w:sz w:val="20"/>
          <w:szCs w:val="20"/>
        </w:rPr>
        <w:t xml:space="preserve">A standalone logistic regression scorecard based on 6 factors: LTV, Term, Age, Intrum, Permit, DSCR. Returns an integer points total (range ~333-502) and a band letter (A through E). Used only for backward compatibility with BAWAG reporting. B2B applications receive null.</w:t>
      </w:r>
    </w:p>
    <w:p>
      <w:pPr>
        <w:spacing w:after="60" w:before="60"/>
      </w:pPr>
    </w:p>
    <w:p>
      <w:pPr>
        <w:pStyle w:val="Heading2"/>
        <w:spacing w:after="100" w:before="280"/>
      </w:pPr>
      <w:r>
        <w:rPr>
          <w:rFonts w:ascii="Arial" w:cs="Arial" w:eastAsia="Arial" w:hAnsi="Arial"/>
          <w:b/>
          <w:bCs/>
          <w:color w:val="2E75B6"/>
          <w:sz w:val="26"/>
          <w:szCs w:val="26"/>
        </w:rPr>
        <w:t xml:space="preserve">3.7  app/services/ — Batch Jobs and Utilities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app/services/dscr_calculator.py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DSCR calculation service — dispatches to B2C or B2B formula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calculate_dscr(), DSCROutput</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app/services/dealer_metrics_refresh.py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Nightly batch job: reads dealer default rates from DataHub, writes to dealer_risk_metrics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run_refresh()</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app/services/quarterly_segment_refresh.py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Quarterly batch job: computes per-bin WoE drift from DataHub, writes to population_segment_performance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Exports: run_refresh()</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app/services/event_publisher.py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Kafka event publisher (fire-and-forget)</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Exports: publish_risk_event()</w:t>
            </w:r>
          </w:p>
        </w:tc>
      </w:tr>
    </w:tbl>
    <w:p>
      <w:pPr>
        <w:spacing w:after="60" w:before="60"/>
      </w:pPr>
    </w:p>
    <w:p>
      <w:pPr>
        <w:pStyle w:val="Heading3"/>
        <w:spacing w:after="60" w:before="180"/>
      </w:pPr>
      <w:r>
        <w:rPr>
          <w:rFonts w:ascii="Arial" w:cs="Arial" w:eastAsia="Arial" w:hAnsi="Arial"/>
          <w:b/>
          <w:bCs/>
          <w:color w:val="17A589"/>
          <w:sz w:val="22"/>
          <w:szCs w:val="22"/>
        </w:rPr>
        <w:t xml:space="preserve">app/services/dscr_calculator.py</w:t>
      </w:r>
    </w:p>
    <w:p>
      <w:pPr>
        <w:spacing w:after="80" w:before="60"/>
      </w:pPr>
      <w:r>
        <w:rPr>
          <w:rFonts w:ascii="Arial" w:cs="Arial" w:eastAsia="Arial" w:hAnsi="Arial"/>
          <w:color w:val="1A1A1A"/>
          <w:sz w:val="20"/>
          <w:szCs w:val="20"/>
        </w:rPr>
        <w:t xml:space="preserve">Implements the two DSCR formulas. B2C: net income minus all deductions (rent, insurance, alimony, existing obligations, CHF 1,485 minimum living cost buffer) divided by new monthly payment. B2B: annual EBITDA divided by total annual debt service (existing + new contract annualised). Returns a DSCROutput dataclass.</w:t>
      </w:r>
    </w:p>
    <w:p>
      <w:pPr>
        <w:spacing w:after="60" w:before="60"/>
      </w:pPr>
    </w:p>
    <w:p>
      <w:pPr>
        <w:pStyle w:val="Heading3"/>
        <w:spacing w:after="60" w:before="180"/>
      </w:pPr>
      <w:r>
        <w:rPr>
          <w:rFonts w:ascii="Arial" w:cs="Arial" w:eastAsia="Arial" w:hAnsi="Arial"/>
          <w:b/>
          <w:bCs/>
          <w:color w:val="17A589"/>
          <w:sz w:val="22"/>
          <w:szCs w:val="22"/>
        </w:rPr>
        <w:t xml:space="preserve">app/services/dealer_metrics_refresh.py</w:t>
      </w:r>
    </w:p>
    <w:p>
      <w:pPr>
        <w:spacing w:after="80" w:before="60"/>
      </w:pPr>
      <w:r>
        <w:rPr>
          <w:rFonts w:ascii="Arial" w:cs="Arial" w:eastAsia="Arial" w:hAnsi="Arial"/>
          <w:color w:val="1A1A1A"/>
          <w:sz w:val="20"/>
          <w:szCs w:val="20"/>
        </w:rPr>
        <w:t xml:space="preserve">A standalone batch job that connects to both the DataHub (read-only) and the risk engine database (write). It reads dealer contract data from dwh.dim_contract, calculates default rates and volume tiers, computes trends (IMPROVING/STABLE/WORSENING vs prior snapshot), and upserts into lt_risk_engine.dealer_risk_metrics. Typically runs nightly at 02:00 UTC via Kubernetes CronJob. Can be triggered on demand via POST /v1/admin/refresh-dealer-metrics.</w:t>
      </w:r>
    </w:p>
    <w:p>
      <w:pPr>
        <w:spacing w:after="60" w:before="40"/>
        <w:ind w:left="360"/>
      </w:pPr>
      <w:r>
        <w:rPr>
          <w:rFonts w:ascii="Arial" w:cs="Arial" w:eastAsia="Arial" w:hAnsi="Arial"/>
          <w:i/>
          <w:iCs/>
          <w:color w:val="555555"/>
          <w:sz w:val="18"/>
          <w:szCs w:val="18"/>
        </w:rPr>
        <w:t xml:space="preserve">Uses psycopg2 (synchronous) not asyncpg. When triggered from the async FastAPI endpoint, it runs in a thread pool via asyncio.to_thread() to avoid blocking the event loop.</w:t>
      </w:r>
    </w:p>
    <w:p>
      <w:pPr>
        <w:spacing w:after="60" w:before="60"/>
      </w:pPr>
    </w:p>
    <w:p>
      <w:pPr>
        <w:pStyle w:val="Heading3"/>
        <w:spacing w:after="60" w:before="180"/>
      </w:pPr>
      <w:r>
        <w:rPr>
          <w:rFonts w:ascii="Arial" w:cs="Arial" w:eastAsia="Arial" w:hAnsi="Arial"/>
          <w:b/>
          <w:bCs/>
          <w:color w:val="17A589"/>
          <w:sz w:val="22"/>
          <w:szCs w:val="22"/>
        </w:rPr>
        <w:t xml:space="preserve">app/services/quarterly_segment_refresh.py</w:t>
      </w:r>
    </w:p>
    <w:p>
      <w:pPr>
        <w:spacing w:after="80" w:before="60"/>
      </w:pPr>
      <w:r>
        <w:rPr>
          <w:rFonts w:ascii="Arial" w:cs="Arial" w:eastAsia="Arial" w:hAnsi="Arial"/>
          <w:color w:val="1A1A1A"/>
          <w:sz w:val="20"/>
          <w:szCs w:val="20"/>
        </w:rPr>
        <w:t xml:space="preserve">Quarterly batch job that queries DataHub for observed default rates per scoring factor bin, computes WoE drift versus the original development sample, and writes snapshots to population_segment_performance and model_monitoring_snapshot. Flags bins with WoE drift above 0.1 nats for recalibration review. Used to detect model degradation over time.</w:t>
      </w:r>
    </w:p>
    <w:p>
      <w:pPr>
        <w:spacing w:after="60" w:before="60"/>
      </w:pPr>
    </w:p>
    <w:p>
      <w:pPr>
        <w:pStyle w:val="Heading3"/>
        <w:spacing w:after="60" w:before="180"/>
      </w:pPr>
      <w:r>
        <w:rPr>
          <w:rFonts w:ascii="Arial" w:cs="Arial" w:eastAsia="Arial" w:hAnsi="Arial"/>
          <w:b/>
          <w:bCs/>
          <w:color w:val="17A589"/>
          <w:sz w:val="22"/>
          <w:szCs w:val="22"/>
        </w:rPr>
        <w:t xml:space="preserve">app/services/event_publisher.py</w:t>
      </w:r>
    </w:p>
    <w:p>
      <w:pPr>
        <w:spacing w:after="80" w:before="60"/>
      </w:pPr>
      <w:r>
        <w:rPr>
          <w:rFonts w:ascii="Arial" w:cs="Arial" w:eastAsia="Arial" w:hAnsi="Arial"/>
          <w:color w:val="1A1A1A"/>
          <w:sz w:val="20"/>
          <w:szCs w:val="20"/>
        </w:rPr>
        <w:t xml:space="preserve">Publishes a Kafka message to the risk.assessment.events topic after every successful scoring. The event contains the assessment ID, tier, decision, and timestamp. Kafka publishing is optional (kafka_enabled = False by default for local development). Failures are logged but do not cause the scoring endpoint to fail.</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4. migrations/ — Database Schema Management</w:t>
      </w:r>
    </w:p>
    <w:p>
      <w:pPr>
        <w:spacing w:after="80" w:before="60"/>
      </w:pPr>
      <w:r>
        <w:rPr>
          <w:rFonts w:ascii="Arial" w:cs="Arial" w:eastAsia="Arial" w:hAnsi="Arial"/>
          <w:color w:val="1A1A1A"/>
          <w:sz w:val="20"/>
          <w:szCs w:val="20"/>
        </w:rPr>
        <w:t xml:space="preserve">Database schema is managed with Alembic. Migrations are Python scripts that define upgrade() and downgrade() functions. Run alembic upgrade head to apply all pending migrations to the database.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migrations/env.py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Alembic environment configuration — loads DATABASE_URL from env, converts asyncpg to synchronous URL for Alembic</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Modified to auto-read environment variables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migrations/versions/001_initial_schema.py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Creates the lt_risk_engine schema and the risk_assessment table</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Primary audit table with 5 indexes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migrations/versions/002_calibration_tables.py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Creates calibration tables: model_version, scoring_factor_config, scoring_factor_bins, scoring_tier_thresholds, business_rules, calibration_audit_log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6 new tables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migrations/versions/003_seed_v1_2_config.py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Seeds initial v1.2 model data into calibration tables — factor weights, bin definitions, tier thresholds, business rules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INSERT data for v1.2 model</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migrations/versions/004_monitoring_and_defaults.py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Creates monitoring tables: scoring_defaults_applied, population_segment_performance, model_monitoring_snapshot, dealer_risk_metrics, woe_scorecard_params — also adds columns to risk_assessment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 new tables + 4 new columns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migrations/versions/005_seed_woe_params.py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Seeds WoE logistic regression parameters (intercept, coefficients, bin points) from the February 2026 backtest into woe_scorecard_params</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INSERT WoE parameters</w:t>
            </w:r>
          </w:p>
        </w:tc>
      </w:tr>
    </w:tbl>
    <w:p>
      <w:pPr>
        <w:spacing w:after="60" w:before="60"/>
      </w:pPr>
    </w:p>
    <w:p>
      <w:pPr>
        <w:spacing w:after="60" w:before="40"/>
        <w:ind w:left="360"/>
      </w:pPr>
      <w:r>
        <w:rPr>
          <w:rFonts w:ascii="Arial" w:cs="Arial" w:eastAsia="Arial" w:hAnsi="Arial"/>
          <w:i/>
          <w:iCs/>
          <w:color w:val="555555"/>
          <w:sz w:val="18"/>
          <w:szCs w:val="18"/>
        </w:rPr>
        <w:t xml:space="preserve">Alembic reads the DATABASE_URL environment variable. The migrations/env.py automatically converts postgresql+asyncpg:// to postgresql:// for Alembic's synchronous connection.</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5. tests/ — Unit Tests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tests/test_engine.py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Tests the full scoring pipeline for both B2C and B2B paths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Tests: evaluate() with known inputs, business rule triggers, edge cases</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tests/test_factors.py</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Unit tests for every individual factor scoring function</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Tests: all 15 factor functions (10 B2C + 5 B2B-specific)</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tests/test_dscr.py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Unit tests for both DSCR calculation paths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Tests: B2C net income formula, B2B EBITDA formula, fallback/null handling</w:t>
            </w:r>
          </w:p>
        </w:tc>
      </w:tr>
    </w:tbl>
    <w:p>
      <w:pPr>
        <w:spacing w:after="60" w:before="60"/>
      </w:pPr>
    </w:p>
    <w:p>
      <w:pPr>
        <w:spacing w:after="80" w:before="60"/>
      </w:pPr>
      <w:r>
        <w:rPr>
          <w:rFonts w:ascii="Arial" w:cs="Arial" w:eastAsia="Arial" w:hAnsi="Arial"/>
          <w:color w:val="1A1A1A"/>
          <w:sz w:val="20"/>
          <w:szCs w:val="20"/>
        </w:rPr>
        <w:t xml:space="preserve">Run the test suite:</w:t>
      </w:r>
    </w:p>
    <w:p>
      <w:pPr>
        <w:spacing w:after="40" w:before="40"/>
        <w:ind w:left="720"/>
      </w:pPr>
      <w:r>
        <w:rPr>
          <w:rFonts w:ascii="Courier New" w:cs="Courier New" w:eastAsia="Courier New" w:hAnsi="Courier New"/>
          <w:color w:val="1A1A1A"/>
          <w:sz w:val="18"/>
          <w:szCs w:val="18"/>
        </w:rPr>
        <w:t xml:space="preserve">pytest tests/ -v</w:t>
      </w:r>
    </w:p>
    <w:p>
      <w:pPr>
        <w:spacing w:after="40" w:before="40"/>
        <w:ind w:left="720"/>
      </w:pPr>
      <w:r>
        <w:rPr>
          <w:rFonts w:ascii="Courier New" w:cs="Courier New" w:eastAsia="Courier New" w:hAnsi="Courier New"/>
          <w:color w:val="1A1A1A"/>
          <w:sz w:val="18"/>
          <w:szCs w:val="18"/>
        </w:rPr>
        <w:t xml:space="preserve">pytest tests/ -v --cov=app --cov-report=term-missing</w:t>
      </w:r>
    </w:p>
    <w:p>
      <w:pPr>
        <w:spacing w:after="60" w:before="60"/>
      </w:pPr>
    </w:p>
    <w:p>
      <w:pPr>
        <w:pStyle w:val="Heading1"/>
        <w:pBdr>
          <w:bottom w:val="single" w:color="2E75B6" w:sz="8" w:space="4"/>
        </w:pBdr>
        <w:spacing w:after="120" w:before="400"/>
      </w:pPr>
      <w:r>
        <w:rPr>
          <w:rFonts w:ascii="Arial" w:cs="Arial" w:eastAsia="Arial" w:hAnsi="Arial"/>
          <w:b/>
          <w:bCs/>
          <w:color w:val="1E3A5F"/>
          <w:sz w:val="32"/>
          <w:szCs w:val="32"/>
        </w:rPr>
        <w:t xml:space="preserve">6. calibration-ui/ — Web Calibration Interface</w:t>
      </w:r>
    </w:p>
    <w:p>
      <w:pPr>
        <w:spacing w:after="80" w:before="60"/>
      </w:pPr>
      <w:r>
        <w:rPr>
          <w:rFonts w:ascii="Arial" w:cs="Arial" w:eastAsia="Arial" w:hAnsi="Arial"/>
          <w:color w:val="1A1A1A"/>
          <w:sz w:val="20"/>
          <w:szCs w:val="20"/>
        </w:rPr>
        <w:t xml:space="preserve">A React-based single-page application that allows risk managers to adjust scoring parameters without touching code or database queries directly.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Exports / Contents</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calibration-ui/index.html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Shell HTML page that loads the CalibrationUI React component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Entry point for the web app</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calibration-ui/CalibrationUI.jsx</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Main React component — factor bin editor, tier threshold editor, business rule editor, model version management</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Primary UI component (React + Tailwind)</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calibration-ui/CalibrationUI_preview.jsx</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Static preview/mockup of the UI layout for design review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Preview only — not the live version</w:t>
            </w:r>
          </w:p>
        </w:tc>
      </w:tr>
      <w:tr>
        <w:tc>
          <w:tcPr>
            <w:tcW w:type="dxa" w:w="3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calibration-ui/flow.html</w:t>
            </w:r>
          </w:p>
        </w:tc>
        <w:tc>
          <w:tcPr>
            <w:tcW w:type="dxa" w:w="3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Flowable process flow diagram showing how the risk engine integrates in the BPM workflow</w:t>
            </w:r>
          </w:p>
        </w:tc>
        <w:tc>
          <w:tcPr>
            <w:tcW w:type="dxa" w:w="3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Process documentation</w:t>
            </w:r>
          </w:p>
        </w:tc>
      </w:tr>
    </w:tbl>
    <w:p>
      <w:pPr>
        <w:spacing w:after="60" w:before="60"/>
      </w:pPr>
    </w:p>
    <w:p>
      <w:pPr>
        <w:spacing w:after="60" w:before="40"/>
        <w:ind w:left="360"/>
      </w:pPr>
      <w:r>
        <w:rPr>
          <w:rFonts w:ascii="Arial" w:cs="Arial" w:eastAsia="Arial" w:hAnsi="Arial"/>
          <w:i/>
          <w:iCs/>
          <w:color w:val="555555"/>
          <w:sz w:val="18"/>
          <w:szCs w:val="18"/>
        </w:rPr>
        <w:t xml:space="preserve">The Calibration UI communicates directly with the admin API endpoints. It requires a valid Keycloak token. The UI is hosted separately from the risk engine and is not served by the risk engine itself.</w:t>
      </w:r>
    </w:p>
    <w:p>
      <w:pPr>
        <w:spacing w:after="60" w:before="60"/>
      </w:pPr>
    </w:p>
    <w:p>
      <w:pPr>
        <w:pStyle w:val="Heading1"/>
        <w:pBdr>
          <w:bottom w:val="single" w:color="2E75B6" w:sz="8" w:space="4"/>
        </w:pBdr>
        <w:spacing w:after="120" w:before="400"/>
      </w:pPr>
      <w:r>
        <w:rPr>
          <w:rFonts w:ascii="Arial" w:cs="Arial" w:eastAsia="Arial" w:hAnsi="Arial"/>
          <w:b/>
          <w:bCs/>
          <w:color w:val="1E3A5F"/>
          <w:sz w:val="32"/>
          <w:szCs w:val="32"/>
        </w:rPr>
        <w:t xml:space="preserve">7. docs/ — Documentation and Specifications</w:t>
      </w:r>
    </w:p>
    <w:p>
      <w:pPr>
        <w:spacing w:after="80" w:before="60"/>
      </w:pPr>
      <w:r>
        <w:rPr>
          <w:rFonts w:ascii="Arial" w:cs="Arial" w:eastAsia="Arial" w:hAnsi="Arial"/>
          <w:color w:val="1A1A1A"/>
          <w:sz w:val="20"/>
          <w:szCs w:val="20"/>
        </w:rPr>
        <w:t xml:space="preserve">Contains specification documents, client requirements, and sample API payloads used during development and review.</w:t>
      </w:r>
    </w:p>
    <w:p>
      <w:pPr>
        <w:pStyle w:val="ListParagraph"/>
        <w:numPr>
          <w:ilvl w:val="0"/>
          <w:numId w:val="2"/>
        </w:numPr>
        <w:spacing w:after="40" w:before="40"/>
      </w:pPr>
      <w:r>
        <w:rPr>
          <w:rFonts w:ascii="Arial" w:cs="Arial" w:eastAsia="Arial" w:hAnsi="Arial"/>
          <w:color w:val="1A1A1A"/>
          <w:sz w:val="20"/>
          <w:szCs w:val="20"/>
        </w:rPr>
        <w:t xml:space="preserve">LT_Risk_Engine_Specification_v1.3.docx — Full technical specification for the risk engine v1.2/v1.3</w:t>
      </w:r>
    </w:p>
    <w:p>
      <w:pPr>
        <w:pStyle w:val="ListParagraph"/>
        <w:numPr>
          <w:ilvl w:val="0"/>
          <w:numId w:val="2"/>
        </w:numPr>
        <w:spacing w:after="40" w:before="40"/>
      </w:pPr>
      <w:r>
        <w:rPr>
          <w:rFonts w:ascii="Arial" w:cs="Arial" w:eastAsia="Arial" w:hAnsi="Arial"/>
          <w:color w:val="1A1A1A"/>
          <w:sz w:val="20"/>
          <w:szCs w:val="20"/>
        </w:rPr>
        <w:t xml:space="preserve">Sample JSON payloads — Example B2C and B2B request/response payloads for API testing</w:t>
      </w:r>
    </w:p>
    <w:p>
      <w:pPr>
        <w:pStyle w:val="ListParagraph"/>
        <w:numPr>
          <w:ilvl w:val="0"/>
          <w:numId w:val="2"/>
        </w:numPr>
        <w:spacing w:after="40" w:before="40"/>
      </w:pPr>
      <w:r>
        <w:rPr>
          <w:rFonts w:ascii="Arial" w:cs="Arial" w:eastAsia="Arial" w:hAnsi="Arial"/>
          <w:color w:val="1A1A1A"/>
          <w:sz w:val="20"/>
          <w:szCs w:val="20"/>
        </w:rPr>
        <w:t xml:space="preserve">Client requirements documents — Original requirements from LeaseTeq used to design the scoring model</w:t>
      </w:r>
    </w:p>
    <w:p>
      <w:pPr>
        <w:spacing w:after="60" w:before="60"/>
      </w:pPr>
    </w:p>
    <w:p>
      <w:pPr>
        <w:pStyle w:val="Heading1"/>
        <w:pBdr>
          <w:bottom w:val="single" w:color="2E75B6" w:sz="8" w:space="4"/>
        </w:pBdr>
        <w:spacing w:after="120" w:before="400"/>
      </w:pPr>
      <w:r>
        <w:rPr>
          <w:rFonts w:ascii="Arial" w:cs="Arial" w:eastAsia="Arial" w:hAnsi="Arial"/>
          <w:b/>
          <w:bCs/>
          <w:color w:val="1E3A5F"/>
          <w:sz w:val="32"/>
          <w:szCs w:val="32"/>
        </w:rPr>
        <w:t xml:space="preserve">8. Module Dependency Map</w:t>
      </w:r>
    </w:p>
    <w:p>
      <w:pPr>
        <w:spacing w:after="80" w:before="60"/>
      </w:pPr>
      <w:r>
        <w:rPr>
          <w:rFonts w:ascii="Arial" w:cs="Arial" w:eastAsia="Arial" w:hAnsi="Arial"/>
          <w:color w:val="1A1A1A"/>
          <w:sz w:val="20"/>
          <w:szCs w:val="20"/>
        </w:rPr>
        <w:t xml:space="preserve">The following shows how the main modules depend on each other (arrows show import direction):</w:t>
      </w:r>
    </w:p>
    <w:p>
      <w:pPr>
        <w:spacing w:after="60" w:before="60"/>
      </w:pPr>
    </w:p>
    <w:p>
      <w:pPr>
        <w:spacing w:after="40" w:before="40"/>
        <w:ind w:left="720"/>
      </w:pPr>
      <w:r>
        <w:rPr>
          <w:rFonts w:ascii="Courier New" w:cs="Courier New" w:eastAsia="Courier New" w:hAnsi="Courier New"/>
          <w:color w:val="1A1A1A"/>
          <w:sz w:val="18"/>
          <w:szCs w:val="18"/>
        </w:rPr>
        <w:t xml:space="preserve">app/main.py</w:t>
      </w:r>
    </w:p>
    <w:p>
      <w:pPr>
        <w:spacing w:after="40" w:before="40"/>
        <w:ind w:left="720"/>
      </w:pPr>
      <w:r>
        <w:rPr>
          <w:rFonts w:ascii="Courier New" w:cs="Courier New" w:eastAsia="Courier New" w:hAnsi="Courier New"/>
          <w:color w:val="1A1A1A"/>
          <w:sz w:val="18"/>
          <w:szCs w:val="18"/>
        </w:rPr>
        <w:t xml:space="preserve">  imports: app/api/risk_endpoint.py, app/api/admin_endpoint.py, app/core/config.py</w:t>
      </w:r>
    </w:p>
    <w:p>
      <w:pPr>
        <w:spacing w:after="60" w:before="60"/>
      </w:pPr>
    </w:p>
    <w:p>
      <w:pPr>
        <w:spacing w:after="40" w:before="40"/>
        <w:ind w:left="720"/>
      </w:pPr>
      <w:r>
        <w:rPr>
          <w:rFonts w:ascii="Courier New" w:cs="Courier New" w:eastAsia="Courier New" w:hAnsi="Courier New"/>
          <w:color w:val="1A1A1A"/>
          <w:sz w:val="18"/>
          <w:szCs w:val="18"/>
        </w:rPr>
        <w:t xml:space="preserve">app/api/risk_endpoint.py</w:t>
      </w:r>
    </w:p>
    <w:p>
      <w:pPr>
        <w:spacing w:after="40" w:before="40"/>
        <w:ind w:left="720"/>
      </w:pPr>
      <w:r>
        <w:rPr>
          <w:rFonts w:ascii="Courier New" w:cs="Courier New" w:eastAsia="Courier New" w:hAnsi="Courier New"/>
          <w:color w:val="1A1A1A"/>
          <w:sz w:val="18"/>
          <w:szCs w:val="18"/>
        </w:rPr>
        <w:t xml:space="preserve">  imports: app/core/auth.py, app/models/database.py, app/models/risk_assessment.py</w:t>
      </w:r>
    </w:p>
    <w:p>
      <w:pPr>
        <w:spacing w:after="40" w:before="40"/>
        <w:ind w:left="720"/>
      </w:pPr>
      <w:r>
        <w:rPr>
          <w:rFonts w:ascii="Courier New" w:cs="Courier New" w:eastAsia="Courier New" w:hAnsi="Courier New"/>
          <w:color w:val="1A1A1A"/>
          <w:sz w:val="18"/>
          <w:szCs w:val="18"/>
        </w:rPr>
        <w:t xml:space="preserve">  imports: app/schemas/risk_request.py, app/schemas/risk_response.py</w:t>
      </w:r>
    </w:p>
    <w:p>
      <w:pPr>
        <w:spacing w:after="40" w:before="40"/>
        <w:ind w:left="720"/>
      </w:pPr>
      <w:r>
        <w:rPr>
          <w:rFonts w:ascii="Courier New" w:cs="Courier New" w:eastAsia="Courier New" w:hAnsi="Courier New"/>
          <w:color w:val="1A1A1A"/>
          <w:sz w:val="18"/>
          <w:szCs w:val="18"/>
        </w:rPr>
        <w:t xml:space="preserve">  imports: app/scoring/engine.py, app/services/event_publisher.py</w:t>
      </w:r>
    </w:p>
    <w:p>
      <w:pPr>
        <w:spacing w:after="60" w:before="60"/>
      </w:pPr>
    </w:p>
    <w:p>
      <w:pPr>
        <w:spacing w:after="40" w:before="40"/>
        <w:ind w:left="720"/>
      </w:pPr>
      <w:r>
        <w:rPr>
          <w:rFonts w:ascii="Courier New" w:cs="Courier New" w:eastAsia="Courier New" w:hAnsi="Courier New"/>
          <w:color w:val="1A1A1A"/>
          <w:sz w:val="18"/>
          <w:szCs w:val="18"/>
        </w:rPr>
        <w:t xml:space="preserve">app/api/admin_endpoint.py</w:t>
      </w:r>
    </w:p>
    <w:p>
      <w:pPr>
        <w:spacing w:after="40" w:before="40"/>
        <w:ind w:left="720"/>
      </w:pPr>
      <w:r>
        <w:rPr>
          <w:rFonts w:ascii="Courier New" w:cs="Courier New" w:eastAsia="Courier New" w:hAnsi="Courier New"/>
          <w:color w:val="1A1A1A"/>
          <w:sz w:val="18"/>
          <w:szCs w:val="18"/>
        </w:rPr>
        <w:t xml:space="preserve">  imports: app/core/auth.py, app/models/database.py</w:t>
      </w:r>
    </w:p>
    <w:p>
      <w:pPr>
        <w:spacing w:after="40" w:before="40"/>
        <w:ind w:left="720"/>
      </w:pPr>
      <w:r>
        <w:rPr>
          <w:rFonts w:ascii="Courier New" w:cs="Courier New" w:eastAsia="Courier New" w:hAnsi="Courier New"/>
          <w:color w:val="1A1A1A"/>
          <w:sz w:val="18"/>
          <w:szCs w:val="18"/>
        </w:rPr>
        <w:t xml:space="preserve">  imports: app/services/dealer_metrics_refresh.py, app/services/quarterly_segment_refresh.py</w:t>
      </w:r>
    </w:p>
    <w:p>
      <w:pPr>
        <w:spacing w:after="60" w:before="60"/>
      </w:pPr>
    </w:p>
    <w:p>
      <w:pPr>
        <w:spacing w:after="40" w:before="40"/>
        <w:ind w:left="720"/>
      </w:pPr>
      <w:r>
        <w:rPr>
          <w:rFonts w:ascii="Courier New" w:cs="Courier New" w:eastAsia="Courier New" w:hAnsi="Courier New"/>
          <w:color w:val="1A1A1A"/>
          <w:sz w:val="18"/>
          <w:szCs w:val="18"/>
        </w:rPr>
        <w:t xml:space="preserve">app/scoring/engine.py</w:t>
      </w:r>
    </w:p>
    <w:p>
      <w:pPr>
        <w:spacing w:after="40" w:before="40"/>
        <w:ind w:left="720"/>
      </w:pPr>
      <w:r>
        <w:rPr>
          <w:rFonts w:ascii="Courier New" w:cs="Courier New" w:eastAsia="Courier New" w:hAnsi="Courier New"/>
          <w:color w:val="1A1A1A"/>
          <w:sz w:val="18"/>
          <w:szCs w:val="18"/>
        </w:rPr>
        <w:t xml:space="preserve">  imports: app/schemas/risk_request.py, app/schemas/risk_response.py</w:t>
      </w:r>
    </w:p>
    <w:p>
      <w:pPr>
        <w:spacing w:after="40" w:before="40"/>
        <w:ind w:left="720"/>
      </w:pPr>
      <w:r>
        <w:rPr>
          <w:rFonts w:ascii="Courier New" w:cs="Courier New" w:eastAsia="Courier New" w:hAnsi="Courier New"/>
          <w:color w:val="1A1A1A"/>
          <w:sz w:val="18"/>
          <w:szCs w:val="18"/>
        </w:rPr>
        <w:t xml:space="preserve">  imports: app/scoring/factors.py, app/scoring/b2b_factors.py</w:t>
      </w:r>
    </w:p>
    <w:p>
      <w:pPr>
        <w:spacing w:after="40" w:before="40"/>
        <w:ind w:left="720"/>
      </w:pPr>
      <w:r>
        <w:rPr>
          <w:rFonts w:ascii="Courier New" w:cs="Courier New" w:eastAsia="Courier New" w:hAnsi="Courier New"/>
          <w:color w:val="1A1A1A"/>
          <w:sz w:val="18"/>
          <w:szCs w:val="18"/>
        </w:rPr>
        <w:t xml:space="preserve">  imports: app/scoring/legacy_scorecard.py, app/services/dscr_calculator.py</w:t>
      </w:r>
    </w:p>
    <w:p>
      <w:pPr>
        <w:spacing w:after="60" w:before="60"/>
      </w:pPr>
    </w:p>
    <w:p>
      <w:pPr>
        <w:spacing w:after="40" w:before="40"/>
        <w:ind w:left="720"/>
      </w:pPr>
      <w:r>
        <w:rPr>
          <w:rFonts w:ascii="Courier New" w:cs="Courier New" w:eastAsia="Courier New" w:hAnsi="Courier New"/>
          <w:color w:val="1A1A1A"/>
          <w:sz w:val="18"/>
          <w:szCs w:val="18"/>
        </w:rPr>
        <w:t xml:space="preserve">app/scoring/b2b_factors.py</w:t>
      </w:r>
    </w:p>
    <w:p>
      <w:pPr>
        <w:spacing w:after="40" w:before="40"/>
        <w:ind w:left="720"/>
      </w:pPr>
      <w:r>
        <w:rPr>
          <w:rFonts w:ascii="Courier New" w:cs="Courier New" w:eastAsia="Courier New" w:hAnsi="Courier New"/>
          <w:color w:val="1A1A1A"/>
          <w:sz w:val="18"/>
          <w:szCs w:val="18"/>
        </w:rPr>
        <w:t xml:space="preserve">  imports: app/scoring/factors.py  (FactorResult dataclass only)</w:t>
      </w:r>
    </w:p>
    <w:p>
      <w:pPr>
        <w:spacing w:after="60" w:before="60"/>
      </w:pPr>
    </w:p>
    <w:p>
      <w:pPr>
        <w:spacing w:after="60" w:before="40"/>
        <w:ind w:left="360"/>
      </w:pPr>
      <w:r>
        <w:rPr>
          <w:rFonts w:ascii="Arial" w:cs="Arial" w:eastAsia="Arial" w:hAnsi="Arial"/>
          <w:i/>
          <w:iCs/>
          <w:color w:val="555555"/>
          <w:sz w:val="18"/>
          <w:szCs w:val="18"/>
        </w:rPr>
        <w:t xml:space="preserve">The scoring engine has no database imports — it is purely functional and stateless. Database access is handled exclusively by the API layer.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360"/>
      </w:tabs>
    </w:pPr>
    <w:r>
      <w:rPr>
        <w:rFonts w:ascii="Arial" w:cs="Arial" w:eastAsia="Arial" w:hAnsi="Arial"/>
        <w:color w:val="555555"/>
        <w:sz w:val="16"/>
        <w:szCs w:val="16"/>
      </w:rPr>
      <w:t xml:space="preserve">Aralytiks LLC  |  February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pPr>
    <w:r>
      <w:rPr>
        <w:rFonts w:ascii="Arial" w:cs="Arial" w:eastAsia="Arial" w:hAnsi="Arial"/>
        <w:color w:val="555555"/>
        <w:sz w:val="16"/>
        <w:szCs w:val="16"/>
      </w:rPr>
      <w:t xml:space="preserve">LeaseTeq Risk Engine  |  Codebase Reference Guide</w:t>
    </w:r>
    <w:r>
      <w:rPr>
        <w:rFonts w:ascii="Arial" w:cs="Arial" w:eastAsia="Arial" w:hAnsi="Arial"/>
        <w:b/>
        <w:bCs/>
        <w:color w:val="D4860B"/>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7A589"/>
      <w:sz w:val="22"/>
      <w:szCs w:val="22"/>
    </w:rPr>
  </w:style>
  <w:style w:type="paragraph" w:styleId="Heading4">
    <w:name w:val="Heading 4"/>
    <w:basedOn w:val="Normal"/>
    <w:next w:val="Normal"/>
    <w:qFormat/>
    <w:pPr>
      <w:spacing w:after="40" w:before="140"/>
      <w:outlineLvl w:val="3"/>
    </w:pPr>
    <w:rPr>
      <w:rFonts w:ascii="Arial" w:cs="Arial" w:eastAsia="Arial" w:hAnsi="Arial"/>
      <w:b/>
      <w:bCs/>
      <w:color w:val="6C348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2026-02-27T07:32:36.671Z</dcterms:created>
  <dcterms:modified xsi:type="dcterms:W3CDTF">2026-02-27T07:32:36.671Z</dcterms:modified>
</cp:coreProperties>
</file>

<file path=docProps/custom.xml><?xml version="1.0" encoding="utf-8"?>
<Properties xmlns="http://schemas.openxmlformats.org/officeDocument/2006/custom-properties" xmlns:vt="http://schemas.openxmlformats.org/officeDocument/2006/docPropsVTypes"/>
</file>