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E3A5F"/>
          <w:sz w:val="64"/>
          <w:szCs w:val="64"/>
        </w:rPr>
        <w:t xml:space="preserve">LeaseTeq Risk Engine</w:t>
      </w:r>
    </w:p>
    <w:p>
      <w:pPr>
        <w:spacing w:after="120" w:before="0"/>
      </w:pPr>
      <w:r>
        <w:rPr>
          <w:rFonts w:ascii="Arial" w:cs="Arial" w:eastAsia="Arial" w:hAnsi="Arial"/>
          <w:color w:val="2E75B6"/>
          <w:sz w:val="40"/>
          <w:szCs w:val="40"/>
        </w:rPr>
        <w:t xml:space="preserve">Data Model Reference</w:t>
      </w:r>
    </w:p>
    <w:p>
      <w:pPr>
        <w:pBdr>
          <w:bottom w:val="single" w:color="2E75B6" w:sz="8" w:space="4"/>
        </w:pBdr>
        <w:spacing w:after="200" w:before="0"/>
      </w:pPr>
      <w:r>
        <w:rPr>
          <w:rFonts w:ascii="Arial" w:cs="Arial" w:eastAsia="Arial" w:hAnsi="Arial"/>
          <w:i/>
          <w:iCs/>
          <w:color w:val="555555"/>
          <w:sz w:val="22"/>
          <w:szCs w:val="22"/>
        </w:rPr>
        <w:t xml:space="preserve">PostgreSQL schema, tables, columns, indexes, and AWS performance design  |  Version 1.2</w:t>
      </w:r>
    </w:p>
    <w:p>
      <w:pPr>
        <w:spacing w:after="80" w:before="160"/>
      </w:pPr>
      <w:r>
        <w:rPr>
          <w:rFonts w:ascii="Courier New" w:cs="Courier New" w:eastAsia="Courier New" w:hAnsi="Courier New"/>
          <w:color w:val="1E3A5F"/>
          <w:sz w:val="20"/>
          <w:szCs w:val="20"/>
        </w:rPr>
        <w:t xml:space="preserve">Schema:  lt_risk_engine  |  Database:  PostgreSQL 15+  |  Platform:  AWS RDS</w:t>
      </w:r>
    </w:p>
    <w:p>
      <w:pPr>
        <w:spacing w:after="80" w:before="0"/>
      </w:pPr>
      <w:r>
        <w:rPr>
          <w:rFonts w:ascii="Arial" w:cs="Arial" w:eastAsia="Arial" w:hAnsi="Arial"/>
          <w:color w:val="555555"/>
          <w:sz w:val="20"/>
          <w:szCs w:val="20"/>
        </w:rPr>
        <w:t xml:space="preserve">February 2026  |  Prepared by Aralytiks LLC</w:t>
      </w: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1. Schema Overview</w:t>
      </w:r>
    </w:p>
    <w:p>
      <w:pPr>
        <w:spacing w:after="80" w:before="60"/>
      </w:pPr>
      <w:r>
        <w:rPr>
          <w:rFonts w:ascii="Arial" w:cs="Arial" w:eastAsia="Arial" w:hAnsi="Arial"/>
          <w:color w:val="1A1A1A"/>
          <w:sz w:val="20"/>
          <w:szCs w:val="20"/>
        </w:rPr>
        <w:t xml:space="preserve">All tables are created inside the PostgreSQL schema lt_risk_engine. This schema isolation keeps the risk engine's data separate from other LeaseTeq systems that may share the same RDS instance (e.g., the ODS or DataHub schemas).</w:t>
      </w:r>
    </w:p>
    <w:p>
      <w:pPr>
        <w:spacing w:after="60" w:before="60"/>
      </w:pPr>
    </w:p>
    <w:p>
      <w:pPr>
        <w:spacing w:after="80" w:before="60"/>
      </w:pPr>
      <w:r>
        <w:rPr>
          <w:rFonts w:ascii="Arial" w:cs="Arial" w:eastAsia="Arial" w:hAnsi="Arial"/>
          <w:color w:val="1A1A1A"/>
          <w:sz w:val="20"/>
          <w:szCs w:val="20"/>
        </w:rPr>
        <w:t xml:space="preserve">The database has 9 tables organized into three functional groups: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Group</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Tables</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Transaction (Live scoring)</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risk_assessment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Persists every scoring request and response for audit</w:t>
            </w:r>
          </w:p>
        </w:tc>
      </w:tr>
      <w:tr>
        <w:tc>
          <w:tcPr>
            <w:tcW w:type="dxa" w:w="2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Calibration (Model config)</w:t>
            </w:r>
          </w:p>
        </w:tc>
        <w:tc>
          <w:tcPr>
            <w:tcW w:type="dxa" w:w="336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model_version, scoring_factor_config, scoring_factor_bins, scoring_tier_thresholds, business_rules, calibration_audit_log, woe_scorecard_params</w:t>
            </w:r>
          </w:p>
        </w:tc>
        <w:tc>
          <w:tcPr>
            <w:tcW w:type="dxa" w:w="3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Stores adjustable scoring parameters — the Calibration UI reads/writes these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Monitoring (Model health)</w:t>
            </w:r>
          </w:p>
        </w:tc>
        <w:tc>
          <w:tcPr>
            <w:tcW w:type="dxa" w:w="33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dealer_risk_metrics, population_segment_performance, model_monitoring_snapshot, scoring_defaults_applied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Tracks model performance, dealer stats, and input quality over time</w:t>
            </w:r>
          </w:p>
        </w:tc>
      </w:tr>
    </w:tbl>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2. Table Definitions</w:t>
      </w:r>
    </w:p>
    <w:p>
      <w:pPr>
        <w:pStyle w:val="Heading2"/>
        <w:spacing w:after="100" w:before="280"/>
      </w:pPr>
      <w:r>
        <w:rPr>
          <w:rFonts w:ascii="Arial" w:cs="Arial" w:eastAsia="Arial" w:hAnsi="Arial"/>
          <w:b/>
          <w:bCs/>
          <w:color w:val="2E75B6"/>
          <w:sz w:val="26"/>
          <w:szCs w:val="26"/>
        </w:rPr>
        <w:t xml:space="preserve">2.1  risk_assessment — Primary Audit Table</w:t>
      </w:r>
    </w:p>
    <w:p>
      <w:pPr>
        <w:spacing w:after="80" w:before="60"/>
      </w:pPr>
      <w:r>
        <w:rPr>
          <w:rFonts w:ascii="Arial" w:cs="Arial" w:eastAsia="Arial" w:hAnsi="Arial"/>
          <w:color w:val="1A1A1A"/>
          <w:sz w:val="20"/>
          <w:szCs w:val="20"/>
        </w:rPr>
        <w:t xml:space="preserve">The most important table. Every call to POST /v1/risk/evaluate writes one row here, regardless of the outcome. Stores the full request and response as JSON for complete audit trail and replay capability. This table grows with every application LeaseTeq processes.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assessment_id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VARCHAR(36)</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Internal UUID generated by the scoring engine. Used to retrieve a specific assessment.</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request_id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UNIQUE</w:t>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Idempotency key from Flowable. The engine returns the cached result if this key is seen again.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contract_id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Flowable contract identifier. Links back to the application in the BPM system.</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customer_id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Internal LeaseTeq customer identifier.</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model_version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Scoring model version used (e.g., '1.2'). Critical for audit and recalibration.</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total_score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Composite risk score. Positive = lower risk. Range approximately -75 to +53.</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tier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Risk tier: BRIGHT_GREEN, GREEN, YELLOW, or RED.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decision</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VARCHAR(30)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Credit decision: AUTO_APPROVE, APPROVE_STANDARD, MANUAL_REVIEW, or DECLINE.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probability_of_default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Calibrated 12-month PD estimate (0-1). NULL if tier mapping unavailable.</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factor_scores_json</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JSON</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Full breakdown of all 10 factor scores as a JSON array. Each entry has factor_name, raw_value, bin_label, weight, raw_score.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dscr_json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JSON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DSCR calculation result including dscr_value, monthly_disposable_income, calculation_method, is_valid.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business_rule_overrides_json</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JSON</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Array of triggered business rule overrides. Empty array [] if no rules fired.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legacy_score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WoE scorecard points (333-502 range). NULL for B2B applications.</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legacy_band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Risk band letter A through E. NULL for B2B applications.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request_payload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JSON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Complete original request JSON from Flowable. Enables full replay of any historical assessment.</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response_payload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JSON</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Complete response JSON returned to Flowable. Used for idempotency cache lookup.</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processing_time_ms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End-to-end engine processing time in milliseconds. Typically under 50ms.</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evaluated_at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UTC timestamp when scoring was performed.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UTC timestamp when the row was inserted. Server default = NOW().</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defaults_applied_count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Count of input fields that required default value substitution during scoring (added in migration 004).</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defaults_applied_json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JSON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JSON array of fields where defaults were applied (added in migration 004).</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dealer_id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Extracted dealer_id for easier querying (added in migration 004).</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source_system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Source system identifier (default: 'SST' — Scoring Service Tool). Added in migration 004.</w:t>
            </w:r>
          </w:p>
        </w:tc>
      </w:tr>
    </w:tbl>
    <w:p>
      <w:pPr>
        <w:spacing w:after="60" w:before="60"/>
      </w:pPr>
    </w:p>
    <w:p>
      <w:pPr>
        <w:pStyle w:val="Heading3"/>
        <w:spacing w:after="60" w:before="180"/>
      </w:pPr>
      <w:r>
        <w:rPr>
          <w:rFonts w:ascii="Arial" w:cs="Arial" w:eastAsia="Arial" w:hAnsi="Arial"/>
          <w:b/>
          <w:bCs/>
          <w:color w:val="17A589"/>
          <w:sz w:val="22"/>
          <w:szCs w:val="22"/>
        </w:rPr>
        <w:t xml:space="preserve">Indexes on risk_assessment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Index Name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Column(s)</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ix_risk_assessment_request_id</w:t>
            </w:r>
          </w:p>
        </w:tc>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request_id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B-tree UNIQUE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Idempotency check — every POST /evaluate checks this first. Must be extremely fast.</w:t>
            </w:r>
          </w:p>
        </w:tc>
      </w:tr>
      <w:tr>
        <w:tc>
          <w:tcPr>
            <w:tcW w:type="dxa" w:w="28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ix_risk_assessment_contract_id</w:t>
            </w:r>
          </w:p>
        </w:tc>
        <w:tc>
          <w:tcPr>
            <w:tcW w:type="dxa" w:w="20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contract_id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B-tree</w:t>
            </w:r>
          </w:p>
        </w:tc>
        <w:tc>
          <w:tcPr>
            <w:tcW w:type="dxa" w:w="3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Look up all assessments for a specific contract. Used in dispute resolution.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ix_risk_assessment_customer_id</w:t>
            </w:r>
          </w:p>
        </w:tc>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customer_id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B-tree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Look up all assessments for a customer. Used in portfolio analysis.</w:t>
            </w:r>
          </w:p>
        </w:tc>
      </w:tr>
      <w:tr>
        <w:tc>
          <w:tcPr>
            <w:tcW w:type="dxa" w:w="28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ix_risk_assessment_tier</w:t>
            </w:r>
          </w:p>
        </w:tc>
        <w:tc>
          <w:tcPr>
            <w:tcW w:type="dxa" w:w="20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tier</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B-tree</w:t>
            </w:r>
          </w:p>
        </w:tc>
        <w:tc>
          <w:tcPr>
            <w:tcW w:type="dxa" w:w="3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Filter by risk tier for portfolio reporting and monitoring dashboards.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ix_risk_assessment_evaluated_at</w:t>
            </w:r>
          </w:p>
        </w:tc>
        <w:tc>
          <w:tcPr>
            <w:tcW w:type="dxa" w:w="2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evaluated_at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B-tree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Time-based queries for reporting, audits, and range partitioning eligibility.</w:t>
            </w:r>
          </w:p>
        </w:tc>
      </w:tr>
    </w:tbl>
    <w:p>
      <w:pPr>
        <w:spacing w:after="60" w:before="60"/>
      </w:pPr>
    </w:p>
    <w:p>
      <w:pPr>
        <w:pStyle w:val="Heading2"/>
        <w:spacing w:after="100" w:before="280"/>
      </w:pPr>
      <w:r>
        <w:rPr>
          <w:rFonts w:ascii="Arial" w:cs="Arial" w:eastAsia="Arial" w:hAnsi="Arial"/>
          <w:b/>
          <w:bCs/>
          <w:color w:val="2E75B6"/>
          <w:sz w:val="26"/>
          <w:szCs w:val="26"/>
        </w:rPr>
        <w:t xml:space="preserve">2.2  model_version — Scoring Model Snapshots</w:t>
      </w:r>
    </w:p>
    <w:p>
      <w:pPr>
        <w:spacing w:after="80" w:before="60"/>
      </w:pPr>
      <w:r>
        <w:rPr>
          <w:rFonts w:ascii="Arial" w:cs="Arial" w:eastAsia="Arial" w:hAnsi="Arial"/>
          <w:color w:val="1A1A1A"/>
          <w:sz w:val="20"/>
          <w:szCs w:val="20"/>
        </w:rPr>
        <w:t xml:space="preserve">Each row represents one published or draft version of the scoring model configuration. The Calibration UI creates DRAFT versions, risk managers validate them, and then publish them. Publishing makes the version active for scoring.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version_id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Version identifier string, e.g., '1.2.0', '1.2.1'. Chosen by the risk manager at creation time.</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description</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Human-readable description of what changed in this version.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Lifecycle state: DRAFT (being worked on), PUBLISHED (currently active), ARCHIVED (superseded). Only one version can be PUBLISHED at a time.</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published_at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When this version was published (made active). NULL for DRAFT versions.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published_by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Keycloak sub claim (user ID) of who published this version.</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created_at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Server-set creation timestamp.</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created_by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Keycloak sub claim of who created this version.</w:t>
            </w:r>
          </w:p>
        </w:tc>
      </w:tr>
    </w:tbl>
    <w:p>
      <w:pPr>
        <w:spacing w:after="60" w:before="60"/>
      </w:pPr>
    </w:p>
    <w:p>
      <w:pPr>
        <w:pStyle w:val="Heading2"/>
        <w:spacing w:after="100" w:before="280"/>
      </w:pPr>
      <w:r>
        <w:rPr>
          <w:rFonts w:ascii="Arial" w:cs="Arial" w:eastAsia="Arial" w:hAnsi="Arial"/>
          <w:b/>
          <w:bCs/>
          <w:color w:val="2E75B6"/>
          <w:sz w:val="26"/>
          <w:szCs w:val="26"/>
        </w:rPr>
        <w:t xml:space="preserve">2.3  scoring_factor_config — Factor Weights and Metadata</w:t>
      </w:r>
    </w:p>
    <w:p>
      <w:pPr>
        <w:spacing w:after="80" w:before="60"/>
      </w:pPr>
      <w:r>
        <w:rPr>
          <w:rFonts w:ascii="Arial" w:cs="Arial" w:eastAsia="Arial" w:hAnsi="Arial"/>
          <w:color w:val="1A1A1A"/>
          <w:sz w:val="20"/>
          <w:szCs w:val="20"/>
        </w:rPr>
        <w:t xml:space="preserve">One row per factor per model version. Stores the factor name, weight, enabled flag, and display metadata. These are the parameters the Calibration UI shows in the factor overview panel.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Auto-incremented surrogate key.</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version_id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bCs/>
                <w:color w:val="0B4F8A"/>
                <w:sz w:val="16"/>
                <w:szCs w:val="16"/>
              </w:rPr>
              <w:t xml:space="preserve">FK</w:t>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Links to model_version.version_id.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factor_name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Factor identifier: LTV, Term, Age, CRIF, Intrum, DSCR, Permit, VehiclePriceTier, ZEK, DealerRisk (B2C); or CompanyAge, DebtRatio, CompanyType, IndustryRisk (B2B).</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weight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factor's weight in the scoring model (0.0-1.0). All weights per version must sum to 1.0.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enabled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Whether this factor is currently active. Disabled factors score 0.0.</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description</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Human-readable description of what this factor measures.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score_range_min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Documentation only: the minimum possible raw score for this factor (e.g., -8.0).</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score_range_max</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Documentation only: the maximum possible raw score for this factor (e.g., +8.0).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display_order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Order in which this factor appears in the Calibration UI and report output.</w:t>
            </w:r>
          </w:p>
        </w:tc>
      </w:tr>
    </w:tbl>
    <w:p>
      <w:pPr>
        <w:spacing w:after="60" w:before="40"/>
        <w:ind w:left="360"/>
      </w:pPr>
      <w:r>
        <w:rPr>
          <w:rFonts w:ascii="Arial" w:cs="Arial" w:eastAsia="Arial" w:hAnsi="Arial"/>
          <w:i/>
          <w:iCs/>
          <w:color w:val="555555"/>
          <w:sz w:val="18"/>
          <w:szCs w:val="18"/>
        </w:rPr>
        <w:t xml:space="preserve">Unique index on (version_id, factor_name) — each factor appears exactly once per version.</w:t>
      </w:r>
    </w:p>
    <w:p>
      <w:pPr>
        <w:spacing w:after="60" w:before="60"/>
      </w:pPr>
    </w:p>
    <w:p>
      <w:pPr>
        <w:pStyle w:val="Heading2"/>
        <w:spacing w:after="100" w:before="280"/>
      </w:pPr>
      <w:r>
        <w:rPr>
          <w:rFonts w:ascii="Arial" w:cs="Arial" w:eastAsia="Arial" w:hAnsi="Arial"/>
          <w:b/>
          <w:bCs/>
          <w:color w:val="2E75B6"/>
          <w:sz w:val="26"/>
          <w:szCs w:val="26"/>
        </w:rPr>
        <w:t xml:space="preserve">2.4  scoring_factor_bins — Factor Bin Definitions</w:t>
      </w:r>
    </w:p>
    <w:p>
      <w:pPr>
        <w:spacing w:after="80" w:before="60"/>
      </w:pPr>
      <w:r>
        <w:rPr>
          <w:rFonts w:ascii="Arial" w:cs="Arial" w:eastAsia="Arial" w:hAnsi="Arial"/>
          <w:color w:val="1A1A1A"/>
          <w:sz w:val="20"/>
          <w:szCs w:val="20"/>
        </w:rPr>
        <w:t xml:space="preserve">The most frequently accessed calibration table. Each row defines one bin within a factor — the score a particular range of input values receives. This is where recalibration happens: a risk manager adjusts raw_score for a specific bin after reviewing observed default rates.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Auto-incremented surrogate key.</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version_id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bCs/>
                <w:color w:val="0B4F8A"/>
                <w:sz w:val="16"/>
                <w:szCs w:val="16"/>
              </w:rPr>
              <w:t xml:space="preserve">FK</w:t>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Links to model_version.version_id.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factor_name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The factor this bin belongs to (e.g., 'LTV', 'CRIF').</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bin_order</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Display/evaluation order within the factor (1=first bin evaluated).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bin_label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Human-readable bin description shown in the Calibration UI and API response. E.g., '&lt;75%', '500-699 (Good)'.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lower_bound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Lower numerical boundary of the bin. NULL = no lower bound (open-ended).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upper_bound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Upper numerical boundary of the bin. NULL = no upper bound.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lower_inclusive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Whether the lower boundary is inclusive (&gt;=) or exclusive (&gt;).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upper_inclusive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Whether the upper boundary is inclusive (&lt;=) or exclusive (&lt;).</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match_value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For categorical bins (e.g., Permit, CompanyType): the exact string value to match (e.g., 'B2B', 'C', 'AG').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is_missing_bin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True for the bin that handles NULL/missing input. Every factor should have exactly one missing bin.</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raw_score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score assigned to this bin. THIS IS THE CALIBRATABLE PARAMETER. Typically in range -10 to +8.</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risk_interpretation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Human-readable risk interpretation for this bin (e.g., 'Strong collateral protection').</w:t>
            </w:r>
          </w:p>
        </w:tc>
      </w:tr>
    </w:tbl>
    <w:p>
      <w:pPr>
        <w:spacing w:after="60" w:before="40"/>
        <w:ind w:left="360"/>
      </w:pPr>
      <w:r>
        <w:rPr>
          <w:rFonts w:ascii="Arial" w:cs="Arial" w:eastAsia="Arial" w:hAnsi="Arial"/>
          <w:i/>
          <w:iCs/>
          <w:color w:val="555555"/>
          <w:sz w:val="18"/>
          <w:szCs w:val="18"/>
        </w:rPr>
        <w:t xml:space="preserve">Unique index on (version_id, factor_name, bin_order) ensures bins are uniquely ordered within each factor.</w:t>
      </w:r>
    </w:p>
    <w:p>
      <w:pPr>
        <w:spacing w:after="60" w:before="60"/>
      </w:pPr>
    </w:p>
    <w:p>
      <w:pPr>
        <w:pStyle w:val="Heading2"/>
        <w:spacing w:after="100" w:before="280"/>
      </w:pPr>
      <w:r>
        <w:rPr>
          <w:rFonts w:ascii="Arial" w:cs="Arial" w:eastAsia="Arial" w:hAnsi="Arial"/>
          <w:b/>
          <w:bCs/>
          <w:color w:val="2E75B6"/>
          <w:sz w:val="26"/>
          <w:szCs w:val="26"/>
        </w:rPr>
        <w:t xml:space="preserve">2.5  scoring_tier_thresholds — Tier Cutoff Definitions</w:t>
      </w:r>
    </w:p>
    <w:p>
      <w:pPr>
        <w:spacing w:after="80" w:before="60"/>
      </w:pPr>
      <w:r>
        <w:rPr>
          <w:rFonts w:ascii="Arial" w:cs="Arial" w:eastAsia="Arial" w:hAnsi="Arial"/>
          <w:color w:val="1A1A1A"/>
          <w:sz w:val="20"/>
          <w:szCs w:val="20"/>
        </w:rPr>
        <w:t xml:space="preserve">Defines the score thresholds for each risk tier and their associated decisions and PD estimates. Changing a tier threshold (e.g., raising the BRIGHT_GREEN cutoff from 25 to 28) affects every future application.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Auto-incremented surrogate key.</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version_id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bCs/>
                <w:color w:val="0B4F8A"/>
                <w:sz w:val="16"/>
                <w:szCs w:val="16"/>
              </w:rPr>
              <w:t xml:space="preserve">FK</w:t>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Links to model_version.version_id.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tier_name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VARCHAR(30)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Tier name: BRIGHT_GREEN, GREEN, YELLOW, RED.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tier_order</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Evaluation order — higher scores are checked first (1=BRIGHT_GREEN, 4=RED).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min_score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Minimum composite score required for this tier. NULL for RED (no minimum — catch-all).</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decision</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VARCHAR(30)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credit decision mapped to this tier: AUTO_APPROVE, APPROVE_STANDARD, MANUAL_REVIEW, DECLINE.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estimated_pd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Calibrated annualised probability of default for applications in this tier.</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color_hex</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VARCHAR(7)</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Hex colour code for UI display (e.g., '#27AE60' for green).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Human-readable description of the tier.</w:t>
            </w:r>
          </w:p>
        </w:tc>
      </w:tr>
    </w:tbl>
    <w:p>
      <w:pPr>
        <w:spacing w:after="60" w:before="60"/>
      </w:pPr>
    </w:p>
    <w:p>
      <w:pPr>
        <w:pStyle w:val="Heading2"/>
        <w:spacing w:after="100" w:before="280"/>
      </w:pPr>
      <w:r>
        <w:rPr>
          <w:rFonts w:ascii="Arial" w:cs="Arial" w:eastAsia="Arial" w:hAnsi="Arial"/>
          <w:b/>
          <w:bCs/>
          <w:color w:val="2E75B6"/>
          <w:sz w:val="26"/>
          <w:szCs w:val="26"/>
        </w:rPr>
        <w:t xml:space="preserve">2.6  business_rules — Hard Kill Conditions</w:t>
      </w:r>
    </w:p>
    <w:p>
      <w:pPr>
        <w:spacing w:after="80" w:before="60"/>
      </w:pPr>
      <w:r>
        <w:rPr>
          <w:rFonts w:ascii="Arial" w:cs="Arial" w:eastAsia="Arial" w:hAnsi="Arial"/>
          <w:color w:val="1A1A1A"/>
          <w:sz w:val="20"/>
          <w:szCs w:val="20"/>
        </w:rPr>
        <w:t xml:space="preserve">Each row defines one business rule (hard kill condition). Rules are evaluated after composite scoring; any triggered rule forces the tier to RED and the decision to DECLINE, regardless of score.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Auto-incremented surrogate key.</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version_id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bCs/>
                <w:color w:val="0B4F8A"/>
                <w:sz w:val="16"/>
                <w:szCs w:val="16"/>
              </w:rPr>
              <w:t xml:space="preserve">FK</w:t>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Links to model_version.version_id.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rule_code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Rule identifier: BR-01 through BR-08, BR-B01 through BR-B04.</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rule_name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Short name for display (e.g., 'Minor check', 'LTV over 120%').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Full business explanation of why this rule exists.</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condition_field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field being evaluated (e.g., 'age', 'ltv', 'dscr_value', 'zefix_status').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condition_operator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Comparison operator: &lt;, &gt;, &lt;=, &gt;=, ==, !=, IN.</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condition_value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threshold or value to compare against (e.g., '18', '120', '0', 'DISSOLVED').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forced_tier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VARCHAR(30)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The tier this rule forces (always 'RED' in current implementation).</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forced_decision</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VARCHAR(30)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decision this rule forces (always 'DECLINE' in current implementation).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enabled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Whether this rule is currently active. Disabled rules are still evaluated but do not override the tier.</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severity</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HARD = always overrides tier. SOFT = advisory only (planned for future use).</w:t>
            </w:r>
          </w:p>
        </w:tc>
      </w:tr>
    </w:tbl>
    <w:p>
      <w:pPr>
        <w:spacing w:after="60" w:before="60"/>
      </w:pPr>
    </w:p>
    <w:p>
      <w:pPr>
        <w:pStyle w:val="Heading2"/>
        <w:spacing w:after="100" w:before="280"/>
      </w:pPr>
      <w:r>
        <w:rPr>
          <w:rFonts w:ascii="Arial" w:cs="Arial" w:eastAsia="Arial" w:hAnsi="Arial"/>
          <w:b/>
          <w:bCs/>
          <w:color w:val="2E75B6"/>
          <w:sz w:val="26"/>
          <w:szCs w:val="26"/>
        </w:rPr>
        <w:t xml:space="preserve">2.7  calibration_audit_log — Governance Audit Trail</w:t>
      </w:r>
    </w:p>
    <w:p>
      <w:pPr>
        <w:spacing w:after="80" w:before="60"/>
      </w:pPr>
      <w:r>
        <w:rPr>
          <w:rFonts w:ascii="Arial" w:cs="Arial" w:eastAsia="Arial" w:hAnsi="Arial"/>
          <w:color w:val="1A1A1A"/>
          <w:sz w:val="20"/>
          <w:szCs w:val="20"/>
        </w:rPr>
        <w:t xml:space="preserve">Every change made through the Calibration UI (or admin API) is written here. This provides a complete and immutable governance trail for regulatory and model risk management purposes.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Auto-incremented surrogate key.</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version_id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model version that was modified.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action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Action type: CREATED, UPDATED, PUBLISHED, ARCHIVED.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table_name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Which calibration table was modified (e.g., 'scoring_factor_bins', 'business_rules').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record_id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The primary key of the modified record (e.g., bin_id, rule_code).</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field_name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specific column that changed (e.g., 'raw_score', 'condition_value').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old_value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The value before the change. NULL for CREATED events.</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new_value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value after the change.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changed_by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Keycloak sub claim (user ID) of who made the change.</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changed_at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Server-set timestamp when the change was made.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change_reason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Optional free-text explanation of why the change was made.</w:t>
            </w:r>
          </w:p>
        </w:tc>
      </w:tr>
    </w:tbl>
    <w:p>
      <w:pPr>
        <w:spacing w:after="60" w:before="60"/>
      </w:pPr>
    </w:p>
    <w:p>
      <w:pPr>
        <w:pStyle w:val="Heading2"/>
        <w:spacing w:after="100" w:before="280"/>
      </w:pPr>
      <w:r>
        <w:rPr>
          <w:rFonts w:ascii="Arial" w:cs="Arial" w:eastAsia="Arial" w:hAnsi="Arial"/>
          <w:b/>
          <w:bCs/>
          <w:color w:val="2E75B6"/>
          <w:sz w:val="26"/>
          <w:szCs w:val="26"/>
        </w:rPr>
        <w:t xml:space="preserve">2.8  dealer_risk_metrics — Dealer Default Rate History</w:t>
      </w:r>
    </w:p>
    <w:p>
      <w:pPr>
        <w:spacing w:after="80" w:before="60"/>
      </w:pPr>
      <w:r>
        <w:rPr>
          <w:rFonts w:ascii="Arial" w:cs="Arial" w:eastAsia="Arial" w:hAnsi="Arial"/>
          <w:color w:val="1A1A1A"/>
          <w:sz w:val="20"/>
          <w:szCs w:val="20"/>
        </w:rPr>
        <w:t xml:space="preserve">Populated nightly by the dealer_metrics_refresh batch job. Each row is a snapshot of a dealer's portfolio statistics for a specific date. Flowable reads the latest snapshot per dealer to include dealer_default_rate in scoring requests.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Auto-incremented surrogate key.</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dealer_id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Dealer identifier matching the dealer_id field in the scoring request.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dealer_name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Human-readable dealer name from DataHub.</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snapshot_date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DATE</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The date of this snapshot (typically today's date when the job runs).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active_contracts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Number of currently open (not settled) contracts originated by this dealer.</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total_originated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Total contracts ever originated by this dealer. Used to compute volume_tier.</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default_count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Count of contracts that have reached 90+ days past due or written off.</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current_default_rate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default_count / total_originated. This is the value passed to the scoring engine via Flowable.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previous_default_rate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Default rate from the prior snapshot. Used to compute trend.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default_rate_trend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IMPROVING (rate dropped &gt;2pp), STABLE (within 2pp), WORSENING (rate rose &gt;2pp), NEW (first snapshot).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active_months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Months since the dealer originated their first contract. Dealers &lt;6 months score as NEW_DEALER.</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volume_tier</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BRONZE (&lt;20 contracts), SILVER (20-49), GOLD (50-199), PLATINUM (200+).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avg_contract_size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Average financed amount across all originated contracts (CHF).</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is_watchlist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BOOLEAN</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True if current_default_rate &gt; 20%. Watchlisted dealers trigger BR-07 hard decline.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watchlist_reason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Human-readable explanation if is_watchlist = true.</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data_source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Source of the data (always 'DATAHUB' in current implementation).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Row insertion timestamp.</w:t>
            </w:r>
          </w:p>
        </w:tc>
      </w:tr>
    </w:tbl>
    <w:p>
      <w:pPr>
        <w:spacing w:after="60" w:before="40"/>
        <w:ind w:left="360"/>
      </w:pPr>
      <w:r>
        <w:rPr>
          <w:rFonts w:ascii="Arial" w:cs="Arial" w:eastAsia="Arial" w:hAnsi="Arial"/>
          <w:i/>
          <w:iCs/>
          <w:color w:val="555555"/>
          <w:sz w:val="18"/>
          <w:szCs w:val="18"/>
        </w:rPr>
        <w:t xml:space="preserve">UNIQUE constraint on (dealer_id, snapshot_date) — at most one snapshot per dealer per day. The upsert uses ON CONFLICT DO UPDATE.</w:t>
      </w:r>
    </w:p>
    <w:p>
      <w:pPr>
        <w:spacing w:after="60" w:before="60"/>
      </w:pPr>
    </w:p>
    <w:p>
      <w:pPr>
        <w:pStyle w:val="Heading2"/>
        <w:spacing w:after="100" w:before="280"/>
      </w:pPr>
      <w:r>
        <w:rPr>
          <w:rFonts w:ascii="Arial" w:cs="Arial" w:eastAsia="Arial" w:hAnsi="Arial"/>
          <w:b/>
          <w:bCs/>
          <w:color w:val="2E75B6"/>
          <w:sz w:val="26"/>
          <w:szCs w:val="26"/>
        </w:rPr>
        <w:t xml:space="preserve">2.9  population_segment_performance — Historical Default Rates by Segment</w:t>
      </w:r>
    </w:p>
    <w:p>
      <w:pPr>
        <w:spacing w:after="80" w:before="60"/>
      </w:pPr>
      <w:r>
        <w:rPr>
          <w:rFonts w:ascii="Arial" w:cs="Arial" w:eastAsia="Arial" w:hAnsi="Arial"/>
          <w:color w:val="1A1A1A"/>
          <w:sz w:val="20"/>
          <w:szCs w:val="20"/>
        </w:rPr>
        <w:t xml:space="preserve">Populated by the quarterly_segment_refresh batch job. Stores observed default rates per factor bin from the DataHub historical portfolio data. Used to detect WoE drift and trigger recalibration.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Auto-incremented surrogate key.</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snapshot_date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DATE</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Date of this performance snapshot.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segment_type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FACTOR_BIN (performance of a specific factor bin), TIER (aggregate per tier), OVERALL (whole portfolio).</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segment_key</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Unique key for this segment (e.g., 'LTV:&lt;75%', 'TIER:GREEN', 'OVERALL').</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factor_name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Factor name for FACTOR_BIN segments. NULL for TIER and OVERALL.</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bin_label</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Bin label for FACTOR_BIN segments.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contract_count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Number of contracts in this segment in the observation window.</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default_count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Number of defaulted contracts in this segment.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observed_default_rate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actual default rate for this segment: default_count / contract_count.</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predicted_default_rate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Average PD the model predicted for contracts in this segment.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avg_score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Average composite score for contracts in this segment.</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observed_woe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Observed Weight of Evidence = ln(% non-defaults / % defaults) for this bin.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original_woe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WoE from the development sample (the value the model was built with).</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woe_drift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observed_woe - original_woe. Drift &gt; 0.1 nats flags the bin for recalibration review.</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observation_window_months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How many months of history were used (default: 12).</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data_source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VARCHAR(100)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'DATAHUB_ODS' or 'MANUAL'.</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Row insertion timestamp.</w:t>
            </w:r>
          </w:p>
        </w:tc>
      </w:tr>
    </w:tbl>
    <w:p>
      <w:pPr>
        <w:spacing w:after="60" w:before="60"/>
      </w:pPr>
    </w:p>
    <w:p>
      <w:pPr>
        <w:pStyle w:val="Heading2"/>
        <w:spacing w:after="100" w:before="280"/>
      </w:pPr>
      <w:r>
        <w:rPr>
          <w:rFonts w:ascii="Arial" w:cs="Arial" w:eastAsia="Arial" w:hAnsi="Arial"/>
          <w:b/>
          <w:bCs/>
          <w:color w:val="2E75B6"/>
          <w:sz w:val="26"/>
          <w:szCs w:val="26"/>
        </w:rPr>
        <w:t xml:space="preserve">2.10  model_monitoring_snapshot — Model Health Metrics</w:t>
      </w:r>
    </w:p>
    <w:p>
      <w:pPr>
        <w:spacing w:after="80" w:before="60"/>
      </w:pPr>
      <w:r>
        <w:rPr>
          <w:rFonts w:ascii="Arial" w:cs="Arial" w:eastAsia="Arial" w:hAnsi="Arial"/>
          <w:color w:val="1A1A1A"/>
          <w:sz w:val="20"/>
          <w:szCs w:val="20"/>
        </w:rPr>
        <w:t xml:space="preserve">Stores periodic model performance snapshots computed from DataHub data. Each row captures discrimination power (Gini, KS, AUC), calibration quality, and population stability for a given period.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700"/>
        <w:gridCol w:w="600"/>
        <w:gridCol w:w="42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Column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Null?</w:t>
            </w:r>
          </w:p>
        </w:tc>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Key</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Description / 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8B0000"/>
                <w:sz w:val="16"/>
                <w:szCs w:val="16"/>
              </w:rPr>
              <w:t xml:space="preserve">PK</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Auto-incremented surrogate key.</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snapshot_date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DATE</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Date of this monitoring snapshot.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model_version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Which model version was being monitored.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scorecard_type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V1_2_COMPOSITE (main model) or LEGACY_WOE (legacy scorecard).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gini_coefficient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Discrimination power: Gini = 2*AUC-1. Range 0-1; higher = better. v1.2 target: &gt;0.40.</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ks_statistic</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Kolmogorov-Smirnov statistic: max separation between default/non-default CDFs. Higher = better.</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auc_roc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Area Under the ROC Curve. Range 0.5-1.0; 0.5 = random, 1.0 = perfect.</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overall_predicted_pd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Portfolio-average predicted PD from the model.</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overall_observed_dr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Actual observed default rate from the DataHub portfolio.</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calibration_ratio</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Predicted PD / Observed DR. Ideal = 1.0. &lt;0.8 = overestimating risk, &gt;1.2 = underestimating.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psi_score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Population Stability Index. 0-0.1 = stable, 0.1-0.25 = shift, &gt;0.25 = alarm.</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psi_status</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VARCHAR(20)</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STABLE, SHIFT, or ALARM based on PSI thresholds.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total_contracts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Total contracts in the observation window.</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total_defaults</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Total defaults in the observation window.</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observation_window_months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NOT NULL</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Observation period used.</w:t>
            </w:r>
          </w:p>
        </w:tc>
      </w:tr>
      <w:tr>
        <w:tc>
          <w:tcPr>
            <w:tcW w:type="dxa" w:w="24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tier_distribution_json</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JSON</w:t>
            </w:r>
          </w:p>
        </w:tc>
        <w:tc>
          <w:tcPr>
            <w:tcW w:type="dxa" w:w="7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2F4F7"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JSON object showing proportion of portfolio in each tier. E.g., {BRIGHT_GREEN: 0.42, GREEN: 0.30, ...}.</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NULLABLE</w:t>
            </w:r>
          </w:p>
        </w:tc>
        <w:tc>
          <w:tcPr>
            <w:tcW w:type="dxa" w:w="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1A1A1A"/>
                <w:sz w:val="16"/>
                <w:szCs w:val="16"/>
              </w:rPr>
              <w:t xml:space="preserve"/>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Free-text analyst notes about this snapshot.</w:t>
            </w:r>
          </w:p>
        </w:tc>
      </w:tr>
    </w:tbl>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3. Entity Relationships</w:t>
      </w:r>
    </w:p>
    <w:p>
      <w:pPr>
        <w:spacing w:after="80" w:before="60"/>
      </w:pPr>
      <w:r>
        <w:rPr>
          <w:rFonts w:ascii="Arial" w:cs="Arial" w:eastAsia="Arial" w:hAnsi="Arial"/>
          <w:color w:val="1A1A1A"/>
          <w:sz w:val="20"/>
          <w:szCs w:val="20"/>
        </w:rPr>
        <w:t xml:space="preserve">The following describes the key relationships between tables:</w:t>
      </w:r>
    </w:p>
    <w:p>
      <w:pPr>
        <w:spacing w:after="60" w:before="60"/>
      </w:pPr>
    </w:p>
    <w:p>
      <w:pPr>
        <w:pStyle w:val="ListParagraph"/>
        <w:numPr>
          <w:ilvl w:val="0"/>
          <w:numId w:val="2"/>
        </w:numPr>
        <w:spacing w:after="40" w:before="40"/>
      </w:pPr>
      <w:r>
        <w:rPr>
          <w:rFonts w:ascii="Arial" w:cs="Arial" w:eastAsia="Arial" w:hAnsi="Arial"/>
          <w:color w:val="1A1A1A"/>
          <w:sz w:val="20"/>
          <w:szCs w:val="20"/>
        </w:rPr>
        <w:t xml:space="preserve">model_version (1) has-many scoring_factor_config, scoring_factor_bins, scoring_tier_thresholds, business_rules, calibration_audit_log, woe_scorecard_params</w:t>
      </w:r>
    </w:p>
    <w:p>
      <w:pPr>
        <w:pStyle w:val="ListParagraph"/>
        <w:numPr>
          <w:ilvl w:val="0"/>
          <w:numId w:val="2"/>
        </w:numPr>
        <w:spacing w:after="40" w:before="40"/>
      </w:pPr>
      <w:r>
        <w:rPr>
          <w:rFonts w:ascii="Arial" w:cs="Arial" w:eastAsia="Arial" w:hAnsi="Arial"/>
          <w:color w:val="1A1A1A"/>
          <w:sz w:val="20"/>
          <w:szCs w:val="20"/>
        </w:rPr>
        <w:t xml:space="preserve">risk_assessment (1) has-many scoring_defaults_applied (tracks per-field defaults)</w:t>
      </w:r>
    </w:p>
    <w:p>
      <w:pPr>
        <w:pStyle w:val="ListParagraph"/>
        <w:numPr>
          <w:ilvl w:val="0"/>
          <w:numId w:val="2"/>
        </w:numPr>
        <w:spacing w:after="40" w:before="40"/>
      </w:pPr>
      <w:r>
        <w:rPr>
          <w:rFonts w:ascii="Arial" w:cs="Arial" w:eastAsia="Arial" w:hAnsi="Arial"/>
          <w:color w:val="1A1A1A"/>
          <w:sz w:val="20"/>
          <w:szCs w:val="20"/>
        </w:rPr>
        <w:t xml:space="preserve">dealer_risk_metrics is standalone — queried by Flowable independently of the scoring request</w:t>
      </w:r>
    </w:p>
    <w:p>
      <w:pPr>
        <w:pStyle w:val="ListParagraph"/>
        <w:numPr>
          <w:ilvl w:val="0"/>
          <w:numId w:val="2"/>
        </w:numPr>
        <w:spacing w:after="40" w:before="40"/>
      </w:pPr>
      <w:r>
        <w:rPr>
          <w:rFonts w:ascii="Arial" w:cs="Arial" w:eastAsia="Arial" w:hAnsi="Arial"/>
          <w:color w:val="1A1A1A"/>
          <w:sz w:val="20"/>
          <w:szCs w:val="20"/>
        </w:rPr>
        <w:t xml:space="preserve">population_segment_performance and model_monitoring_snapshot are standalone analytics tables</w:t>
      </w:r>
    </w:p>
    <w:p>
      <w:pPr>
        <w:spacing w:after="60" w:before="60"/>
      </w:pPr>
    </w:p>
    <w:p>
      <w:pPr>
        <w:spacing w:after="60" w:before="40"/>
        <w:ind w:left="360"/>
      </w:pPr>
      <w:r>
        <w:rPr>
          <w:rFonts w:ascii="Arial" w:cs="Arial" w:eastAsia="Arial" w:hAnsi="Arial"/>
          <w:i/>
          <w:iCs/>
          <w:color w:val="555555"/>
          <w:sz w:val="18"/>
          <w:szCs w:val="18"/>
        </w:rPr>
        <w:t xml:space="preserve">There are no foreign keys from risk_assessment to model_version. This is intentional — historical assessments must remain accessible even if an old model version is deleted.</w:t>
      </w:r>
    </w:p>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4. Indexing Strategy</w:t>
      </w:r>
    </w:p>
    <w:p>
      <w:pPr>
        <w:spacing w:after="80" w:before="60"/>
      </w:pPr>
      <w:r>
        <w:rPr>
          <w:rFonts w:ascii="Arial" w:cs="Arial" w:eastAsia="Arial" w:hAnsi="Arial"/>
          <w:color w:val="1A1A1A"/>
          <w:sz w:val="20"/>
          <w:szCs w:val="20"/>
        </w:rPr>
        <w:t xml:space="preserve">Indexes are designed around the actual query patterns of the risk engine. The primary concerns are read-heavy reporting queries, the idempotency check on every POST /evaluate, and time-series monitoring queries.</w:t>
      </w:r>
    </w:p>
    <w:p>
      <w:pPr>
        <w:spacing w:after="60" w:before="60"/>
      </w:pPr>
    </w:p>
    <w:p>
      <w:pPr>
        <w:pStyle w:val="Heading2"/>
        <w:spacing w:after="100" w:before="280"/>
      </w:pPr>
      <w:r>
        <w:rPr>
          <w:rFonts w:ascii="Arial" w:cs="Arial" w:eastAsia="Arial" w:hAnsi="Arial"/>
          <w:b/>
          <w:bCs/>
          <w:color w:val="2E75B6"/>
          <w:sz w:val="26"/>
          <w:szCs w:val="26"/>
        </w:rPr>
        <w:t xml:space="preserve">4.1  Index Design Rationale by Table</w:t>
      </w:r>
    </w:p>
    <w:p>
      <w:pPr>
        <w:spacing w:after="60" w:before="60"/>
      </w:pPr>
    </w:p>
    <w:p>
      <w:pPr>
        <w:pStyle w:val="Heading3"/>
        <w:spacing w:after="60" w:before="180"/>
      </w:pPr>
      <w:r>
        <w:rPr>
          <w:rFonts w:ascii="Arial" w:cs="Arial" w:eastAsia="Arial" w:hAnsi="Arial"/>
          <w:b/>
          <w:bCs/>
          <w:color w:val="17A589"/>
          <w:sz w:val="22"/>
          <w:szCs w:val="22"/>
        </w:rPr>
        <w:t xml:space="preserve">risk_assessment indexes</w:t>
      </w:r>
    </w:p>
    <w:p>
      <w:pPr>
        <w:pStyle w:val="ListParagraph"/>
        <w:numPr>
          <w:ilvl w:val="0"/>
          <w:numId w:val="2"/>
        </w:numPr>
        <w:spacing w:after="40" w:before="40"/>
      </w:pPr>
      <w:r>
        <w:rPr>
          <w:rFonts w:ascii="Arial" w:cs="Arial" w:eastAsia="Arial" w:hAnsi="Arial"/>
          <w:color w:val="1A1A1A"/>
          <w:sz w:val="20"/>
          <w:szCs w:val="20"/>
        </w:rPr>
        <w:t xml:space="preserve">request_id (UNIQUE B-tree): The idempotency check SELECT WHERE request_id = ? runs on every scoring request. This must be O(log n) — a sequential scan on a million-row table would cause unacceptable latency.</w:t>
      </w:r>
    </w:p>
    <w:p>
      <w:pPr>
        <w:pStyle w:val="ListParagraph"/>
        <w:numPr>
          <w:ilvl w:val="0"/>
          <w:numId w:val="2"/>
        </w:numPr>
        <w:spacing w:after="40" w:before="40"/>
      </w:pPr>
      <w:r>
        <w:rPr>
          <w:rFonts w:ascii="Arial" w:cs="Arial" w:eastAsia="Arial" w:hAnsi="Arial"/>
          <w:color w:val="1A1A1A"/>
          <w:sz w:val="20"/>
          <w:szCs w:val="20"/>
        </w:rPr>
        <w:t xml:space="preserve">contract_id (B-tree): Customer service and dispute resolution frequently look up all assessments for a contract.</w:t>
      </w:r>
    </w:p>
    <w:p>
      <w:pPr>
        <w:pStyle w:val="ListParagraph"/>
        <w:numPr>
          <w:ilvl w:val="0"/>
          <w:numId w:val="2"/>
        </w:numPr>
        <w:spacing w:after="40" w:before="40"/>
      </w:pPr>
      <w:r>
        <w:rPr>
          <w:rFonts w:ascii="Arial" w:cs="Arial" w:eastAsia="Arial" w:hAnsi="Arial"/>
          <w:color w:val="1A1A1A"/>
          <w:sz w:val="20"/>
          <w:szCs w:val="20"/>
        </w:rPr>
        <w:t xml:space="preserve">customer_id (B-tree): Portfolio analysis and customer history views filter by customer.</w:t>
      </w:r>
    </w:p>
    <w:p>
      <w:pPr>
        <w:pStyle w:val="ListParagraph"/>
        <w:numPr>
          <w:ilvl w:val="0"/>
          <w:numId w:val="2"/>
        </w:numPr>
        <w:spacing w:after="40" w:before="40"/>
      </w:pPr>
      <w:r>
        <w:rPr>
          <w:rFonts w:ascii="Arial" w:cs="Arial" w:eastAsia="Arial" w:hAnsi="Arial"/>
          <w:color w:val="1A1A1A"/>
          <w:sz w:val="20"/>
          <w:szCs w:val="20"/>
        </w:rPr>
        <w:t xml:space="preserve">tier (B-tree): Dashboard queries frequently filter by tier ('show me all RED assessments this week').</w:t>
      </w:r>
    </w:p>
    <w:p>
      <w:pPr>
        <w:pStyle w:val="ListParagraph"/>
        <w:numPr>
          <w:ilvl w:val="0"/>
          <w:numId w:val="2"/>
        </w:numPr>
        <w:spacing w:after="40" w:before="40"/>
      </w:pPr>
      <w:r>
        <w:rPr>
          <w:rFonts w:ascii="Arial" w:cs="Arial" w:eastAsia="Arial" w:hAnsi="Arial"/>
          <w:color w:val="1A1A1A"/>
          <w:sz w:val="20"/>
          <w:szCs w:val="20"/>
        </w:rPr>
        <w:t xml:space="preserve">evaluated_at (B-tree): Time-range queries for reporting. Also enables efficient range partitioning in the future (see Section 4.3).</w:t>
      </w:r>
    </w:p>
    <w:p>
      <w:pPr>
        <w:spacing w:after="60" w:before="60"/>
      </w:pPr>
    </w:p>
    <w:p>
      <w:pPr>
        <w:pStyle w:val="Heading3"/>
        <w:spacing w:after="60" w:before="180"/>
      </w:pPr>
      <w:r>
        <w:rPr>
          <w:rFonts w:ascii="Arial" w:cs="Arial" w:eastAsia="Arial" w:hAnsi="Arial"/>
          <w:b/>
          <w:bCs/>
          <w:color w:val="17A589"/>
          <w:sz w:val="22"/>
          <w:szCs w:val="22"/>
        </w:rPr>
        <w:t xml:space="preserve">Calibration table indexes</w:t>
      </w:r>
    </w:p>
    <w:p>
      <w:pPr>
        <w:pStyle w:val="ListParagraph"/>
        <w:numPr>
          <w:ilvl w:val="0"/>
          <w:numId w:val="2"/>
        </w:numPr>
        <w:spacing w:after="40" w:before="40"/>
      </w:pPr>
      <w:r>
        <w:rPr>
          <w:rFonts w:ascii="Arial" w:cs="Arial" w:eastAsia="Arial" w:hAnsi="Arial"/>
          <w:color w:val="1A1A1A"/>
          <w:sz w:val="20"/>
          <w:szCs w:val="20"/>
        </w:rPr>
        <w:t xml:space="preserve">scoring_factor_config: UNIQUE on (version_id, factor_name) — ensures one config row per factor per version.</w:t>
      </w:r>
    </w:p>
    <w:p>
      <w:pPr>
        <w:pStyle w:val="ListParagraph"/>
        <w:numPr>
          <w:ilvl w:val="0"/>
          <w:numId w:val="2"/>
        </w:numPr>
        <w:spacing w:after="40" w:before="40"/>
      </w:pPr>
      <w:r>
        <w:rPr>
          <w:rFonts w:ascii="Arial" w:cs="Arial" w:eastAsia="Arial" w:hAnsi="Arial"/>
          <w:color w:val="1A1A1A"/>
          <w:sz w:val="20"/>
          <w:szCs w:val="20"/>
        </w:rPr>
        <w:t xml:space="preserve">scoring_factor_bins: UNIQUE on (version_id, factor_name, bin_order) — ensures bins are uniquely ordered.</w:t>
      </w:r>
    </w:p>
    <w:p>
      <w:pPr>
        <w:pStyle w:val="ListParagraph"/>
        <w:numPr>
          <w:ilvl w:val="0"/>
          <w:numId w:val="2"/>
        </w:numPr>
        <w:spacing w:after="40" w:before="40"/>
      </w:pPr>
      <w:r>
        <w:rPr>
          <w:rFonts w:ascii="Arial" w:cs="Arial" w:eastAsia="Arial" w:hAnsi="Arial"/>
          <w:color w:val="1A1A1A"/>
          <w:sz w:val="20"/>
          <w:szCs w:val="20"/>
        </w:rPr>
        <w:t xml:space="preserve">scoring_tier_thresholds: UNIQUE on (version_id, tier_name) — one threshold per tier per version.</w:t>
      </w:r>
    </w:p>
    <w:p>
      <w:pPr>
        <w:pStyle w:val="ListParagraph"/>
        <w:numPr>
          <w:ilvl w:val="0"/>
          <w:numId w:val="2"/>
        </w:numPr>
        <w:spacing w:after="40" w:before="40"/>
      </w:pPr>
      <w:r>
        <w:rPr>
          <w:rFonts w:ascii="Arial" w:cs="Arial" w:eastAsia="Arial" w:hAnsi="Arial"/>
          <w:color w:val="1A1A1A"/>
          <w:sz w:val="20"/>
          <w:szCs w:val="20"/>
        </w:rPr>
        <w:t xml:space="preserve">business_rules: UNIQUE on (version_id, rule_code) — one rule per code per version.</w:t>
      </w:r>
    </w:p>
    <w:p>
      <w:pPr>
        <w:pStyle w:val="ListParagraph"/>
        <w:numPr>
          <w:ilvl w:val="0"/>
          <w:numId w:val="2"/>
        </w:numPr>
        <w:spacing w:after="40" w:before="40"/>
      </w:pPr>
      <w:r>
        <w:rPr>
          <w:rFonts w:ascii="Arial" w:cs="Arial" w:eastAsia="Arial" w:hAnsi="Arial"/>
          <w:color w:val="1A1A1A"/>
          <w:sz w:val="20"/>
          <w:szCs w:val="20"/>
        </w:rPr>
        <w:t xml:space="preserve">calibration_audit_log: B-tree on (version_id) and (changed_at) for audit queries.</w:t>
      </w:r>
    </w:p>
    <w:p>
      <w:pPr>
        <w:spacing w:after="60" w:before="60"/>
      </w:pPr>
    </w:p>
    <w:p>
      <w:pPr>
        <w:pStyle w:val="Heading3"/>
        <w:spacing w:after="60" w:before="180"/>
      </w:pPr>
      <w:r>
        <w:rPr>
          <w:rFonts w:ascii="Arial" w:cs="Arial" w:eastAsia="Arial" w:hAnsi="Arial"/>
          <w:b/>
          <w:bCs/>
          <w:color w:val="17A589"/>
          <w:sz w:val="22"/>
          <w:szCs w:val="22"/>
        </w:rPr>
        <w:t xml:space="preserve">dealer_risk_metrics indexes</w:t>
      </w:r>
    </w:p>
    <w:p>
      <w:pPr>
        <w:pStyle w:val="ListParagraph"/>
        <w:numPr>
          <w:ilvl w:val="0"/>
          <w:numId w:val="2"/>
        </w:numPr>
        <w:spacing w:after="40" w:before="40"/>
      </w:pPr>
      <w:r>
        <w:rPr>
          <w:rFonts w:ascii="Arial" w:cs="Arial" w:eastAsia="Arial" w:hAnsi="Arial"/>
          <w:color w:val="1A1A1A"/>
          <w:sz w:val="20"/>
          <w:szCs w:val="20"/>
        </w:rPr>
        <w:t xml:space="preserve">UNIQUE on (dealer_id, snapshot_date): Supports the upsert (ON CONFLICT) and ensures one snapshot per dealer per day.</w:t>
      </w:r>
    </w:p>
    <w:p>
      <w:pPr>
        <w:pStyle w:val="ListParagraph"/>
        <w:numPr>
          <w:ilvl w:val="0"/>
          <w:numId w:val="2"/>
        </w:numPr>
        <w:spacing w:after="40" w:before="40"/>
      </w:pPr>
      <w:r>
        <w:rPr>
          <w:rFonts w:ascii="Arial" w:cs="Arial" w:eastAsia="Arial" w:hAnsi="Arial"/>
          <w:color w:val="1A1A1A"/>
          <w:sz w:val="20"/>
          <w:szCs w:val="20"/>
        </w:rPr>
        <w:t xml:space="preserve">B-tree on (is_watchlist): Quickly find all watchlisted dealers for risk monitoring reports.</w:t>
      </w:r>
    </w:p>
    <w:p>
      <w:pPr>
        <w:spacing w:after="60" w:before="60"/>
      </w:pPr>
    </w:p>
    <w:p>
      <w:pPr>
        <w:pStyle w:val="Heading3"/>
        <w:spacing w:after="60" w:before="180"/>
      </w:pPr>
      <w:r>
        <w:rPr>
          <w:rFonts w:ascii="Arial" w:cs="Arial" w:eastAsia="Arial" w:hAnsi="Arial"/>
          <w:b/>
          <w:bCs/>
          <w:color w:val="17A589"/>
          <w:sz w:val="22"/>
          <w:szCs w:val="22"/>
        </w:rPr>
        <w:t xml:space="preserve">population_segment_performance indexes</w:t>
      </w:r>
    </w:p>
    <w:p>
      <w:pPr>
        <w:pStyle w:val="ListParagraph"/>
        <w:numPr>
          <w:ilvl w:val="0"/>
          <w:numId w:val="2"/>
        </w:numPr>
        <w:spacing w:after="40" w:before="40"/>
      </w:pPr>
      <w:r>
        <w:rPr>
          <w:rFonts w:ascii="Arial" w:cs="Arial" w:eastAsia="Arial" w:hAnsi="Arial"/>
          <w:color w:val="1A1A1A"/>
          <w:sz w:val="20"/>
          <w:szCs w:val="20"/>
        </w:rPr>
        <w:t xml:space="preserve">B-tree on (snapshot_date, segment_type): Primary access pattern for the monitoring dashboard — 'give me all bin-level performance for this quarter's snapshot'.</w:t>
      </w:r>
    </w:p>
    <w:p>
      <w:pPr>
        <w:pStyle w:val="ListParagraph"/>
        <w:numPr>
          <w:ilvl w:val="0"/>
          <w:numId w:val="2"/>
        </w:numPr>
        <w:spacing w:after="40" w:before="40"/>
      </w:pPr>
      <w:r>
        <w:rPr>
          <w:rFonts w:ascii="Arial" w:cs="Arial" w:eastAsia="Arial" w:hAnsi="Arial"/>
          <w:color w:val="1A1A1A"/>
          <w:sz w:val="20"/>
          <w:szCs w:val="20"/>
        </w:rPr>
        <w:t xml:space="preserve">B-tree on (factor_name, bin_label): WoE drift queries filter by factor and bin.</w:t>
      </w:r>
    </w:p>
    <w:p>
      <w:pPr>
        <w:spacing w:after="60" w:before="60"/>
      </w:pPr>
    </w:p>
    <w:p>
      <w:pPr>
        <w:pStyle w:val="Heading2"/>
        <w:spacing w:after="100" w:before="280"/>
      </w:pPr>
      <w:r>
        <w:rPr>
          <w:rFonts w:ascii="Arial" w:cs="Arial" w:eastAsia="Arial" w:hAnsi="Arial"/>
          <w:b/>
          <w:bCs/>
          <w:color w:val="2E75B6"/>
          <w:sz w:val="26"/>
          <w:szCs w:val="26"/>
        </w:rPr>
        <w:t xml:space="preserve">4.2  Partial Indexes for AWS RDS</w:t>
      </w:r>
    </w:p>
    <w:p>
      <w:pPr>
        <w:spacing w:after="80" w:before="60"/>
      </w:pPr>
      <w:r>
        <w:rPr>
          <w:rFonts w:ascii="Arial" w:cs="Arial" w:eastAsia="Arial" w:hAnsi="Arial"/>
          <w:color w:val="1A1A1A"/>
          <w:sz w:val="20"/>
          <w:szCs w:val="20"/>
        </w:rPr>
        <w:t xml:space="preserve">For large tables, partial indexes can significantly reduce index size and improve query performance. Recommended for risk_assessment on AWS RDS:</w:t>
      </w:r>
    </w:p>
    <w:p>
      <w:pPr>
        <w:spacing w:after="60" w:before="60"/>
      </w:pPr>
    </w:p>
    <w:p>
      <w:pPr>
        <w:spacing w:after="30" w:before="30"/>
        <w:ind w:left="720"/>
      </w:pPr>
      <w:r>
        <w:rPr>
          <w:rFonts w:ascii="Courier New" w:cs="Courier New" w:eastAsia="Courier New" w:hAnsi="Courier New"/>
          <w:color w:val="1A1A1A"/>
          <w:sz w:val="17"/>
          <w:szCs w:val="17"/>
        </w:rPr>
        <w:t xml:space="preserve">-- Partial index: only index MANUAL_REVIEW cases (credit analyst workqueue)</w:t>
      </w:r>
    </w:p>
    <w:p>
      <w:pPr>
        <w:spacing w:after="30" w:before="30"/>
        <w:ind w:left="720"/>
      </w:pPr>
      <w:r>
        <w:rPr>
          <w:rFonts w:ascii="Courier New" w:cs="Courier New" w:eastAsia="Courier New" w:hAnsi="Courier New"/>
          <w:color w:val="1A1A1A"/>
          <w:sz w:val="17"/>
          <w:szCs w:val="17"/>
        </w:rPr>
        <w:t xml:space="preserve">CREATE INDEX ix_assessment_manual_review</w:t>
      </w:r>
    </w:p>
    <w:p>
      <w:pPr>
        <w:spacing w:after="30" w:before="30"/>
        <w:ind w:left="720"/>
      </w:pPr>
      <w:r>
        <w:rPr>
          <w:rFonts w:ascii="Courier New" w:cs="Courier New" w:eastAsia="Courier New" w:hAnsi="Courier New"/>
          <w:color w:val="1A1A1A"/>
          <w:sz w:val="17"/>
          <w:szCs w:val="17"/>
        </w:rPr>
        <w:t xml:space="preserve">  ON lt_risk_engine.risk_assessment (evaluated_at DESC)</w:t>
      </w:r>
    </w:p>
    <w:p>
      <w:pPr>
        <w:spacing w:after="30" w:before="30"/>
        <w:ind w:left="720"/>
      </w:pPr>
      <w:r>
        <w:rPr>
          <w:rFonts w:ascii="Courier New" w:cs="Courier New" w:eastAsia="Courier New" w:hAnsi="Courier New"/>
          <w:color w:val="1A1A1A"/>
          <w:sz w:val="17"/>
          <w:szCs w:val="17"/>
        </w:rPr>
        <w:t xml:space="preserve">  WHERE decision = 'MANUAL_REVIEW';</w:t>
      </w:r>
    </w:p>
    <w:p>
      <w:pPr>
        <w:spacing w:after="60" w:before="60"/>
      </w:pPr>
    </w:p>
    <w:p>
      <w:pPr>
        <w:spacing w:after="30" w:before="30"/>
        <w:ind w:left="720"/>
      </w:pPr>
      <w:r>
        <w:rPr>
          <w:rFonts w:ascii="Courier New" w:cs="Courier New" w:eastAsia="Courier New" w:hAnsi="Courier New"/>
          <w:color w:val="1A1A1A"/>
          <w:sz w:val="17"/>
          <w:szCs w:val="17"/>
        </w:rPr>
        <w:t xml:space="preserve">-- Partial index: only index RED tier (decline monitoring)</w:t>
      </w:r>
    </w:p>
    <w:p>
      <w:pPr>
        <w:spacing w:after="30" w:before="30"/>
        <w:ind w:left="720"/>
      </w:pPr>
      <w:r>
        <w:rPr>
          <w:rFonts w:ascii="Courier New" w:cs="Courier New" w:eastAsia="Courier New" w:hAnsi="Courier New"/>
          <w:color w:val="1A1A1A"/>
          <w:sz w:val="17"/>
          <w:szCs w:val="17"/>
        </w:rPr>
        <w:t xml:space="preserve">CREATE INDEX ix_assessment_red_tier</w:t>
      </w:r>
    </w:p>
    <w:p>
      <w:pPr>
        <w:spacing w:after="30" w:before="30"/>
        <w:ind w:left="720"/>
      </w:pPr>
      <w:r>
        <w:rPr>
          <w:rFonts w:ascii="Courier New" w:cs="Courier New" w:eastAsia="Courier New" w:hAnsi="Courier New"/>
          <w:color w:val="1A1A1A"/>
          <w:sz w:val="17"/>
          <w:szCs w:val="17"/>
        </w:rPr>
        <w:t xml:space="preserve">  ON lt_risk_engine.risk_assessment (evaluated_at DESC)</w:t>
      </w:r>
    </w:p>
    <w:p>
      <w:pPr>
        <w:spacing w:after="30" w:before="30"/>
        <w:ind w:left="720"/>
      </w:pPr>
      <w:r>
        <w:rPr>
          <w:rFonts w:ascii="Courier New" w:cs="Courier New" w:eastAsia="Courier New" w:hAnsi="Courier New"/>
          <w:color w:val="1A1A1A"/>
          <w:sz w:val="17"/>
          <w:szCs w:val="17"/>
        </w:rPr>
        <w:t xml:space="preserve">  WHERE tier = 'RED';</w:t>
      </w:r>
    </w:p>
    <w:p>
      <w:pPr>
        <w:spacing w:after="60" w:before="60"/>
      </w:pPr>
    </w:p>
    <w:p>
      <w:pPr>
        <w:spacing w:after="30" w:before="30"/>
        <w:ind w:left="720"/>
      </w:pPr>
      <w:r>
        <w:rPr>
          <w:rFonts w:ascii="Courier New" w:cs="Courier New" w:eastAsia="Courier New" w:hAnsi="Courier New"/>
          <w:color w:val="1A1A1A"/>
          <w:sz w:val="17"/>
          <w:szCs w:val="17"/>
        </w:rPr>
        <w:t xml:space="preserve">-- Partial index: watchlisted dealers only</w:t>
      </w:r>
    </w:p>
    <w:p>
      <w:pPr>
        <w:spacing w:after="30" w:before="30"/>
        <w:ind w:left="720"/>
      </w:pPr>
      <w:r>
        <w:rPr>
          <w:rFonts w:ascii="Courier New" w:cs="Courier New" w:eastAsia="Courier New" w:hAnsi="Courier New"/>
          <w:color w:val="1A1A1A"/>
          <w:sz w:val="17"/>
          <w:szCs w:val="17"/>
        </w:rPr>
        <w:t xml:space="preserve">CREATE INDEX ix_dealer_watchlist_active</w:t>
      </w:r>
    </w:p>
    <w:p>
      <w:pPr>
        <w:spacing w:after="30" w:before="30"/>
        <w:ind w:left="720"/>
      </w:pPr>
      <w:r>
        <w:rPr>
          <w:rFonts w:ascii="Courier New" w:cs="Courier New" w:eastAsia="Courier New" w:hAnsi="Courier New"/>
          <w:color w:val="1A1A1A"/>
          <w:sz w:val="17"/>
          <w:szCs w:val="17"/>
        </w:rPr>
        <w:t xml:space="preserve">  ON lt_risk_engine.dealer_risk_metrics (dealer_id, snapshot_date DESC)</w:t>
      </w:r>
    </w:p>
    <w:p>
      <w:pPr>
        <w:spacing w:after="30" w:before="30"/>
        <w:ind w:left="720"/>
      </w:pPr>
      <w:r>
        <w:rPr>
          <w:rFonts w:ascii="Courier New" w:cs="Courier New" w:eastAsia="Courier New" w:hAnsi="Courier New"/>
          <w:color w:val="1A1A1A"/>
          <w:sz w:val="17"/>
          <w:szCs w:val="17"/>
        </w:rPr>
        <w:t xml:space="preserve">  WHERE is_watchlist = true;</w:t>
      </w:r>
    </w:p>
    <w:p>
      <w:pPr>
        <w:spacing w:after="60" w:before="60"/>
      </w:pPr>
    </w:p>
    <w:p>
      <w:pPr>
        <w:spacing w:after="60" w:before="40"/>
        <w:ind w:left="360"/>
      </w:pPr>
      <w:r>
        <w:rPr>
          <w:rFonts w:ascii="Arial" w:cs="Arial" w:eastAsia="Arial" w:hAnsi="Arial"/>
          <w:i/>
          <w:iCs/>
          <w:color w:val="555555"/>
          <w:sz w:val="18"/>
          <w:szCs w:val="18"/>
        </w:rPr>
        <w:t xml:space="preserve">Partial indexes should be applied after migration 001 via a separate performance migration script. See database/performance_indexes.sql in the repository.</w:t>
      </w:r>
    </w:p>
    <w:p>
      <w:pPr>
        <w:spacing w:after="60" w:before="60"/>
      </w:pPr>
    </w:p>
    <w:p>
      <w:pPr>
        <w:pStyle w:val="Heading2"/>
        <w:spacing w:after="100" w:before="280"/>
      </w:pPr>
      <w:r>
        <w:rPr>
          <w:rFonts w:ascii="Arial" w:cs="Arial" w:eastAsia="Arial" w:hAnsi="Arial"/>
          <w:b/>
          <w:bCs/>
          <w:color w:val="2E75B6"/>
          <w:sz w:val="26"/>
          <w:szCs w:val="26"/>
        </w:rPr>
        <w:t xml:space="preserve">4.3  Partitioning Strategy for risk_assessment</w:t>
      </w:r>
    </w:p>
    <w:p>
      <w:pPr>
        <w:spacing w:after="80" w:before="60"/>
      </w:pPr>
      <w:r>
        <w:rPr>
          <w:rFonts w:ascii="Arial" w:cs="Arial" w:eastAsia="Arial" w:hAnsi="Arial"/>
          <w:color w:val="1A1A1A"/>
          <w:sz w:val="20"/>
          <w:szCs w:val="20"/>
        </w:rPr>
        <w:t xml:space="preserve">The risk_assessment table grows with every application. At LeaseTeq's current volume, it will accumulate hundreds of thousands of rows within a year. For AWS RDS PostgreSQL, we recommend range partitioning by evaluated_at (monthly or quarterly):</w:t>
      </w:r>
    </w:p>
    <w:p>
      <w:pPr>
        <w:spacing w:after="60" w:before="60"/>
      </w:pPr>
    </w:p>
    <w:p>
      <w:pPr>
        <w:spacing w:after="30" w:before="30"/>
        <w:ind w:left="720"/>
      </w:pPr>
      <w:r>
        <w:rPr>
          <w:rFonts w:ascii="Courier New" w:cs="Courier New" w:eastAsia="Courier New" w:hAnsi="Courier New"/>
          <w:color w:val="1A1A1A"/>
          <w:sz w:val="17"/>
          <w:szCs w:val="17"/>
        </w:rPr>
        <w:t xml:space="preserve">-- Convert risk_assessment to a partitioned table</w:t>
      </w:r>
    </w:p>
    <w:p>
      <w:pPr>
        <w:spacing w:after="30" w:before="30"/>
        <w:ind w:left="720"/>
      </w:pPr>
      <w:r>
        <w:rPr>
          <w:rFonts w:ascii="Courier New" w:cs="Courier New" w:eastAsia="Courier New" w:hAnsi="Courier New"/>
          <w:color w:val="1A1A1A"/>
          <w:sz w:val="17"/>
          <w:szCs w:val="17"/>
        </w:rPr>
        <w:t xml:space="preserve">-- This requires a table rebuild -- plan for a maintenance window</w:t>
      </w:r>
    </w:p>
    <w:p>
      <w:pPr>
        <w:spacing w:after="30" w:before="30"/>
        <w:ind w:left="720"/>
      </w:pPr>
      <w:r>
        <w:rPr>
          <w:rFonts w:ascii="Courier New" w:cs="Courier New" w:eastAsia="Courier New" w:hAnsi="Courier New"/>
          <w:color w:val="1A1A1A"/>
          <w:sz w:val="17"/>
          <w:szCs w:val="17"/>
        </w:rPr>
        <w:t xml:space="preserve">CREATE TABLE lt_risk_engine.risk_assessment (</w:t>
      </w:r>
    </w:p>
    <w:p>
      <w:pPr>
        <w:spacing w:after="30" w:before="30"/>
        <w:ind w:left="720"/>
      </w:pPr>
      <w:r>
        <w:rPr>
          <w:rFonts w:ascii="Courier New" w:cs="Courier New" w:eastAsia="Courier New" w:hAnsi="Courier New"/>
          <w:color w:val="1A1A1A"/>
          <w:sz w:val="17"/>
          <w:szCs w:val="17"/>
        </w:rPr>
        <w:t xml:space="preserve">  ...</w:t>
      </w:r>
    </w:p>
    <w:p>
      <w:pPr>
        <w:spacing w:after="30" w:before="30"/>
        <w:ind w:left="720"/>
      </w:pPr>
      <w:r>
        <w:rPr>
          <w:rFonts w:ascii="Courier New" w:cs="Courier New" w:eastAsia="Courier New" w:hAnsi="Courier New"/>
          <w:color w:val="1A1A1A"/>
          <w:sz w:val="17"/>
          <w:szCs w:val="17"/>
        </w:rPr>
        <w:t xml:space="preserve">) PARTITION BY RANGE (evaluated_at);</w:t>
      </w:r>
    </w:p>
    <w:p>
      <w:pPr>
        <w:spacing w:after="60" w:before="60"/>
      </w:pPr>
    </w:p>
    <w:p>
      <w:pPr>
        <w:spacing w:after="30" w:before="30"/>
        <w:ind w:left="720"/>
      </w:pPr>
      <w:r>
        <w:rPr>
          <w:rFonts w:ascii="Courier New" w:cs="Courier New" w:eastAsia="Courier New" w:hAnsi="Courier New"/>
          <w:color w:val="1A1A1A"/>
          <w:sz w:val="17"/>
          <w:szCs w:val="17"/>
        </w:rPr>
        <w:t xml:space="preserve">-- Create partitions (one per quarter):</w:t>
      </w:r>
    </w:p>
    <w:p>
      <w:pPr>
        <w:spacing w:after="30" w:before="30"/>
        <w:ind w:left="720"/>
      </w:pPr>
      <w:r>
        <w:rPr>
          <w:rFonts w:ascii="Courier New" w:cs="Courier New" w:eastAsia="Courier New" w:hAnsi="Courier New"/>
          <w:color w:val="1A1A1A"/>
          <w:sz w:val="17"/>
          <w:szCs w:val="17"/>
        </w:rPr>
        <w:t xml:space="preserve">CREATE TABLE lt_risk_engine.risk_assessment_2026_q1</w:t>
      </w:r>
    </w:p>
    <w:p>
      <w:pPr>
        <w:spacing w:after="30" w:before="30"/>
        <w:ind w:left="720"/>
      </w:pPr>
      <w:r>
        <w:rPr>
          <w:rFonts w:ascii="Courier New" w:cs="Courier New" w:eastAsia="Courier New" w:hAnsi="Courier New"/>
          <w:color w:val="1A1A1A"/>
          <w:sz w:val="17"/>
          <w:szCs w:val="17"/>
        </w:rPr>
        <w:t xml:space="preserve">  PARTITION OF lt_risk_engine.risk_assessment</w:t>
      </w:r>
    </w:p>
    <w:p>
      <w:pPr>
        <w:spacing w:after="30" w:before="30"/>
        <w:ind w:left="720"/>
      </w:pPr>
      <w:r>
        <w:rPr>
          <w:rFonts w:ascii="Courier New" w:cs="Courier New" w:eastAsia="Courier New" w:hAnsi="Courier New"/>
          <w:color w:val="1A1A1A"/>
          <w:sz w:val="17"/>
          <w:szCs w:val="17"/>
        </w:rPr>
        <w:t xml:space="preserve">  FOR VALUES FROM ('2026-01-01') TO ('2026-04-01');</w:t>
      </w:r>
    </w:p>
    <w:p>
      <w:pPr>
        <w:spacing w:after="60" w:before="60"/>
      </w:pPr>
    </w:p>
    <w:p>
      <w:pPr>
        <w:spacing w:after="80" w:before="60"/>
      </w:pPr>
      <w:r>
        <w:rPr>
          <w:rFonts w:ascii="Arial" w:cs="Arial" w:eastAsia="Arial" w:hAnsi="Arial"/>
          <w:color w:val="1A1A1A"/>
          <w:sz w:val="20"/>
          <w:szCs w:val="20"/>
        </w:rPr>
        <w:t xml:space="preserve">Benefits of partitioning:</w:t>
      </w:r>
    </w:p>
    <w:p>
      <w:pPr>
        <w:pStyle w:val="ListParagraph"/>
        <w:numPr>
          <w:ilvl w:val="0"/>
          <w:numId w:val="2"/>
        </w:numPr>
        <w:spacing w:after="40" w:before="40"/>
      </w:pPr>
      <w:r>
        <w:rPr>
          <w:rFonts w:ascii="Arial" w:cs="Arial" w:eastAsia="Arial" w:hAnsi="Arial"/>
          <w:color w:val="1A1A1A"/>
          <w:sz w:val="20"/>
          <w:szCs w:val="20"/>
        </w:rPr>
        <w:t xml:space="preserve">Query pruning: Time-range queries ('assessments in Q1 2026') only scan the relevant partition</w:t>
      </w:r>
    </w:p>
    <w:p>
      <w:pPr>
        <w:pStyle w:val="ListParagraph"/>
        <w:numPr>
          <w:ilvl w:val="0"/>
          <w:numId w:val="2"/>
        </w:numPr>
        <w:spacing w:after="40" w:before="40"/>
      </w:pPr>
      <w:r>
        <w:rPr>
          <w:rFonts w:ascii="Arial" w:cs="Arial" w:eastAsia="Arial" w:hAnsi="Arial"/>
          <w:color w:val="1A1A1A"/>
          <w:sz w:val="20"/>
          <w:szCs w:val="20"/>
        </w:rPr>
        <w:t xml:space="preserve">Maintenance: Old partitions can be detached and archived to S3 without table locks</w:t>
      </w:r>
    </w:p>
    <w:p>
      <w:pPr>
        <w:pStyle w:val="ListParagraph"/>
        <w:numPr>
          <w:ilvl w:val="0"/>
          <w:numId w:val="2"/>
        </w:numPr>
        <w:spacing w:after="40" w:before="40"/>
      </w:pPr>
      <w:r>
        <w:rPr>
          <w:rFonts w:ascii="Arial" w:cs="Arial" w:eastAsia="Arial" w:hAnsi="Arial"/>
          <w:color w:val="1A1A1A"/>
          <w:sz w:val="20"/>
          <w:szCs w:val="20"/>
        </w:rPr>
        <w:t xml:space="preserve">Vacuuming: PostgreSQL autovacuum runs per-partition, more efficient for write-heavy tables</w:t>
      </w:r>
    </w:p>
    <w:p>
      <w:pPr>
        <w:spacing w:after="60" w:before="40"/>
        <w:ind w:left="360"/>
      </w:pPr>
      <w:r>
        <w:rPr>
          <w:rFonts w:ascii="Arial" w:cs="Arial" w:eastAsia="Arial" w:hAnsi="Arial"/>
          <w:i/>
          <w:iCs/>
          <w:color w:val="555555"/>
          <w:sz w:val="18"/>
          <w:szCs w:val="18"/>
        </w:rPr>
        <w:t xml:space="preserve">Partitioning is not applied in migration 001 to keep the initial deployment simple. Add partitioning when the table exceeds ~500,000 rows or query performance degrades.</w:t>
      </w:r>
    </w:p>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5. AWS RDS PostgreSQL Performance Design</w:t>
      </w:r>
    </w:p>
    <w:p>
      <w:pPr>
        <w:spacing w:after="80" w:before="60"/>
      </w:pPr>
      <w:r>
        <w:rPr>
          <w:rFonts w:ascii="Arial" w:cs="Arial" w:eastAsia="Arial" w:hAnsi="Arial"/>
          <w:color w:val="1A1A1A"/>
          <w:sz w:val="20"/>
          <w:szCs w:val="20"/>
        </w:rPr>
        <w:t xml:space="preserve">The risk engine is designed for AWS RDS PostgreSQL (recommended: PostgreSQL 15+, db.t3.medium or db.r6g.large for production). The following sections cover all performance considerations for production operation.</w:t>
      </w:r>
    </w:p>
    <w:p>
      <w:pPr>
        <w:spacing w:after="60" w:before="60"/>
      </w:pPr>
    </w:p>
    <w:p>
      <w:pPr>
        <w:pStyle w:val="Heading2"/>
        <w:spacing w:after="100" w:before="280"/>
      </w:pPr>
      <w:r>
        <w:rPr>
          <w:rFonts w:ascii="Arial" w:cs="Arial" w:eastAsia="Arial" w:hAnsi="Arial"/>
          <w:b/>
          <w:bCs/>
          <w:color w:val="2E75B6"/>
          <w:sz w:val="26"/>
          <w:szCs w:val="26"/>
        </w:rPr>
        <w:t xml:space="preserve">5.1  Instance and Storage Recommendations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Instance Class</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Development / Staging</w:t>
            </w:r>
          </w:p>
        </w:tc>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db.t3.medium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2 vCPU, 4 GB RAM. Sufficient for testing. Burstable CPU.</w:t>
            </w:r>
          </w:p>
        </w:tc>
      </w:tr>
      <w:tr>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Production (initial)</w:t>
            </w:r>
          </w:p>
        </w:tc>
        <w:tc>
          <w:tcPr>
            <w:tcW w:type="dxa" w:w="30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db.r6g.large</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2 vCPU, 16 GB RAM. Memory-optimised. Handles scoring + reporting workloads.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Production (scale-out)</w:t>
            </w:r>
          </w:p>
        </w:tc>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db.r6g.xlarge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4 vCPU, 32 GB RAM. Upgrade if CPU utilisation consistently above 60%.</w:t>
            </w:r>
          </w:p>
        </w:tc>
      </w:tr>
      <w:tr>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Storage</w:t>
            </w:r>
          </w:p>
        </w:tc>
        <w:tc>
          <w:tcPr>
            <w:tcW w:type="dxa" w:w="30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gp3 SSD, 100 GB+</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gp3 provides 3,000 IOPS baseline, scalable independently of storage size. Enable storage autoscaling.</w:t>
            </w:r>
          </w:p>
        </w:tc>
      </w:tr>
    </w:tbl>
    <w:p>
      <w:pPr>
        <w:spacing w:after="60" w:before="60"/>
      </w:pPr>
    </w:p>
    <w:p>
      <w:pPr>
        <w:pStyle w:val="Heading2"/>
        <w:spacing w:after="100" w:before="280"/>
      </w:pPr>
      <w:r>
        <w:rPr>
          <w:rFonts w:ascii="Arial" w:cs="Arial" w:eastAsia="Arial" w:hAnsi="Arial"/>
          <w:b/>
          <w:bCs/>
          <w:color w:val="2E75B6"/>
          <w:sz w:val="26"/>
          <w:szCs w:val="26"/>
        </w:rPr>
        <w:t xml:space="preserve">5.2  Connection Pooling</w:t>
      </w:r>
    </w:p>
    <w:p>
      <w:pPr>
        <w:spacing w:after="80" w:before="60"/>
      </w:pPr>
      <w:r>
        <w:rPr>
          <w:rFonts w:ascii="Arial" w:cs="Arial" w:eastAsia="Arial" w:hAnsi="Arial"/>
          <w:color w:val="1A1A1A"/>
          <w:sz w:val="20"/>
          <w:szCs w:val="20"/>
        </w:rPr>
        <w:t xml:space="preserve">PostgreSQL has a hard limit on concurrent connections. The risk engine uses SQLAlchemy with pool_size=10 and max_overflow=20, giving a maximum of 30 connections per Uvicorn process. With 4 workers (as in the production Dockerfile), this is up to 120 connections per service instance.</w:t>
      </w:r>
    </w:p>
    <w:p>
      <w:pPr>
        <w:spacing w:after="60" w:before="60"/>
      </w:pPr>
    </w:p>
    <w:p>
      <w:pPr>
        <w:pStyle w:val="ListParagraph"/>
        <w:numPr>
          <w:ilvl w:val="0"/>
          <w:numId w:val="2"/>
        </w:numPr>
        <w:spacing w:after="40" w:before="40"/>
      </w:pPr>
      <w:r>
        <w:rPr>
          <w:rFonts w:ascii="Arial" w:cs="Arial" w:eastAsia="Arial" w:hAnsi="Arial"/>
          <w:color w:val="1A1A1A"/>
          <w:sz w:val="20"/>
          <w:szCs w:val="20"/>
        </w:rPr>
        <w:t xml:space="preserve">For a single ECS task: 120 connections is fine for a db.r6g.large (max_connections ~500-900 depending on memory).</w:t>
      </w:r>
    </w:p>
    <w:p>
      <w:pPr>
        <w:pStyle w:val="ListParagraph"/>
        <w:numPr>
          <w:ilvl w:val="0"/>
          <w:numId w:val="2"/>
        </w:numPr>
        <w:spacing w:after="40" w:before="40"/>
      </w:pPr>
      <w:r>
        <w:rPr>
          <w:rFonts w:ascii="Arial" w:cs="Arial" w:eastAsia="Arial" w:hAnsi="Arial"/>
          <w:color w:val="1A1A1A"/>
          <w:sz w:val="20"/>
          <w:szCs w:val="20"/>
        </w:rPr>
        <w:t xml:space="preserve">For multiple ECS tasks (horizontal scaling): Use AWS RDS Proxy as a connection pooler. RDS Proxy multiplexes thousands of application connections into a smaller pool of actual database connections.</w:t>
      </w:r>
    </w:p>
    <w:p>
      <w:pPr>
        <w:spacing w:after="60" w:before="60"/>
      </w:pPr>
    </w:p>
    <w:p>
      <w:pPr>
        <w:spacing w:after="80" w:before="60"/>
      </w:pPr>
      <w:r>
        <w:rPr>
          <w:rFonts w:ascii="Arial" w:cs="Arial" w:eastAsia="Arial" w:hAnsi="Arial"/>
          <w:color w:val="1A1A1A"/>
          <w:sz w:val="20"/>
          <w:szCs w:val="20"/>
        </w:rPr>
        <w:t xml:space="preserve">RDS Proxy setup (recommended for production):</w:t>
      </w:r>
    </w:p>
    <w:p>
      <w:pPr>
        <w:spacing w:after="30" w:before="30"/>
        <w:ind w:left="720"/>
      </w:pPr>
      <w:r>
        <w:rPr>
          <w:rFonts w:ascii="Courier New" w:cs="Courier New" w:eastAsia="Courier New" w:hAnsi="Courier New"/>
          <w:color w:val="1A1A1A"/>
          <w:sz w:val="17"/>
          <w:szCs w:val="17"/>
        </w:rPr>
        <w:t xml:space="preserve">-- RDS Proxy configuration</w:t>
      </w:r>
    </w:p>
    <w:p>
      <w:pPr>
        <w:spacing w:after="30" w:before="30"/>
        <w:ind w:left="720"/>
      </w:pPr>
      <w:r>
        <w:rPr>
          <w:rFonts w:ascii="Courier New" w:cs="Courier New" w:eastAsia="Courier New" w:hAnsi="Courier New"/>
          <w:color w:val="1A1A1A"/>
          <w:sz w:val="17"/>
          <w:szCs w:val="17"/>
        </w:rPr>
        <w:t xml:space="preserve">Connection pool maximum: 100 connections to RDS</w:t>
      </w:r>
    </w:p>
    <w:p>
      <w:pPr>
        <w:spacing w:after="30" w:before="30"/>
        <w:ind w:left="720"/>
      </w:pPr>
      <w:r>
        <w:rPr>
          <w:rFonts w:ascii="Courier New" w:cs="Courier New" w:eastAsia="Courier New" w:hAnsi="Courier New"/>
          <w:color w:val="1A1A1A"/>
          <w:sz w:val="17"/>
          <w:szCs w:val="17"/>
        </w:rPr>
        <w:t xml:space="preserve">Max connection percent: 50% of RDS max_connections</w:t>
      </w:r>
    </w:p>
    <w:p>
      <w:pPr>
        <w:spacing w:after="30" w:before="30"/>
        <w:ind w:left="720"/>
      </w:pPr>
      <w:r>
        <w:rPr>
          <w:rFonts w:ascii="Courier New" w:cs="Courier New" w:eastAsia="Courier New" w:hAnsi="Courier New"/>
          <w:color w:val="1A1A1A"/>
          <w:sz w:val="17"/>
          <w:szCs w:val="17"/>
        </w:rPr>
        <w:t xml:space="preserve">Idle connection timeout: 1800 seconds</w:t>
      </w:r>
    </w:p>
    <w:p>
      <w:pPr>
        <w:spacing w:after="30" w:before="30"/>
        <w:ind w:left="720"/>
      </w:pPr>
      <w:r>
        <w:rPr>
          <w:rFonts w:ascii="Courier New" w:cs="Courier New" w:eastAsia="Courier New" w:hAnsi="Courier New"/>
          <w:color w:val="1A1A1A"/>
          <w:sz w:val="17"/>
          <w:szCs w:val="17"/>
        </w:rPr>
        <w:t xml:space="preserve">Application connects to proxy endpoint, not RDS endpoint directly</w:t>
      </w:r>
    </w:p>
    <w:p>
      <w:pPr>
        <w:spacing w:after="60" w:before="60"/>
      </w:pPr>
    </w:p>
    <w:p>
      <w:pPr>
        <w:spacing w:after="60" w:before="40"/>
        <w:ind w:left="360"/>
      </w:pPr>
      <w:r>
        <w:rPr>
          <w:rFonts w:ascii="Arial" w:cs="Arial" w:eastAsia="Arial" w:hAnsi="Arial"/>
          <w:i/>
          <w:iCs/>
          <w:color w:val="555555"/>
          <w:sz w:val="18"/>
          <w:szCs w:val="18"/>
        </w:rPr>
        <w:t xml:space="preserve">RDS Proxy also provides automatic failover: if the primary RDS instance fails, Proxy reconnects to the new primary after a Multi-AZ failover, with near-zero downtime for the application.</w:t>
      </w:r>
    </w:p>
    <w:p>
      <w:pPr>
        <w:spacing w:after="60" w:before="60"/>
      </w:pPr>
    </w:p>
    <w:p>
      <w:pPr>
        <w:pStyle w:val="Heading2"/>
        <w:spacing w:after="100" w:before="280"/>
      </w:pPr>
      <w:r>
        <w:rPr>
          <w:rFonts w:ascii="Arial" w:cs="Arial" w:eastAsia="Arial" w:hAnsi="Arial"/>
          <w:b/>
          <w:bCs/>
          <w:color w:val="2E75B6"/>
          <w:sz w:val="26"/>
          <w:szCs w:val="26"/>
        </w:rPr>
        <w:t xml:space="preserve">5.3  RDS Parameter Group Tuning</w:t>
      </w:r>
    </w:p>
    <w:p>
      <w:pPr>
        <w:spacing w:after="80" w:before="60"/>
      </w:pPr>
      <w:r>
        <w:rPr>
          <w:rFonts w:ascii="Arial" w:cs="Arial" w:eastAsia="Arial" w:hAnsi="Arial"/>
          <w:color w:val="1A1A1A"/>
          <w:sz w:val="20"/>
          <w:szCs w:val="20"/>
        </w:rPr>
        <w:t xml:space="preserve">The following PostgreSQL parameters should be set in a custom RDS parameter group: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Recommended Value</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Reason</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shared_buffers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4GB (25% of RAM)</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PostgreSQL's internal page cache. Default (128MB) is too low for production.</w:t>
            </w:r>
          </w:p>
        </w:tc>
      </w:tr>
      <w:tr>
        <w:tc>
          <w:tcPr>
            <w:tcW w:type="dxa" w:w="32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effective_cache_size</w:t>
            </w:r>
          </w:p>
        </w:tc>
        <w:tc>
          <w:tcPr>
            <w:tcW w:type="dxa" w:w="18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12GB (75% of RAM)</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Planner estimate of OS page cache. Higher value encourages index scans.</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work_mem</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32MB</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Memory per sort/hash operation. Low value causes disk spills. Set per connection, not globally.</w:t>
            </w:r>
          </w:p>
        </w:tc>
      </w:tr>
      <w:tr>
        <w:tc>
          <w:tcPr>
            <w:tcW w:type="dxa" w:w="32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maintenance_work_mem</w:t>
            </w:r>
          </w:p>
        </w:tc>
        <w:tc>
          <w:tcPr>
            <w:tcW w:type="dxa" w:w="18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512MB</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Memory for VACUUM and CREATE INDEX. Higher = faster vacuuming.</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max_connections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With RDS Proxy: can reduce. Without Proxy: must accommodate all application + admin connections.</w:t>
            </w:r>
          </w:p>
        </w:tc>
      </w:tr>
      <w:tr>
        <w:tc>
          <w:tcPr>
            <w:tcW w:type="dxa" w:w="32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autovacuum_vacuum_scale_factor</w:t>
            </w:r>
          </w:p>
        </w:tc>
        <w:tc>
          <w:tcPr>
            <w:tcW w:type="dxa" w:w="18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0.05</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Trigger VACUUM when 5% of rows change (default 20%). Critical for risk_assessment (high insert rate).</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autovacuum_analyze_scale_factor</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0.02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Trigger ANALYZE when 2% of rows change. Keeps query planner statistics fresh.</w:t>
            </w:r>
          </w:p>
        </w:tc>
      </w:tr>
      <w:tr>
        <w:tc>
          <w:tcPr>
            <w:tcW w:type="dxa" w:w="32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log_min_duration_statement</w:t>
            </w:r>
          </w:p>
        </w:tc>
        <w:tc>
          <w:tcPr>
            <w:tcW w:type="dxa" w:w="18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200</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Log queries taking over 200ms. Visible in RDS Performance Insights.</w:t>
            </w:r>
          </w:p>
        </w:tc>
      </w:tr>
      <w:tr>
        <w:tc>
          <w:tcPr>
            <w:tcW w:type="dxa" w:w="3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pg_stat_statements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6"/>
                <w:szCs w:val="16"/>
              </w:rPr>
              <w:t xml:space="preserve">Enable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7"/>
                <w:szCs w:val="17"/>
              </w:rPr>
              <w:t xml:space="preserve">Required for RDS Performance Insights to show individual query performance.</w:t>
            </w:r>
          </w:p>
        </w:tc>
      </w:tr>
      <w:tr>
        <w:tc>
          <w:tcPr>
            <w:tcW w:type="dxa" w:w="32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wal_compression</w:t>
            </w:r>
          </w:p>
        </w:tc>
        <w:tc>
          <w:tcPr>
            <w:tcW w:type="dxa" w:w="1800"/>
            <w:tcBorders>
              <w:top w:val="single" w:color="CCCCCC" w:sz="1"/>
              <w:left w:val="single" w:color="CCCCCC" w:sz="1"/>
              <w:bottom w:val="single" w:color="CCCCCC" w:sz="1"/>
              <w:right w:val="single" w:color="CCCCCC" w:sz="1"/>
            </w:tcBorders>
            <w:shd w:fill="EFEFEF" w:val="clear"/>
            <w:tcMar>
              <w:top w:type="dxa" w:w="70"/>
              <w:left w:type="dxa" w:w="120"/>
              <w:bottom w:type="dxa" w:w="70"/>
              <w:right w:type="dxa" w:w="120"/>
            </w:tcMar>
          </w:tcPr>
          <w:p>
            <w:r>
              <w:rPr>
                <w:rFonts w:ascii="Courier New" w:cs="Courier New" w:eastAsia="Courier New" w:hAnsi="Courier New"/>
                <w:color w:val="1A1A1A"/>
                <w:sz w:val="16"/>
                <w:szCs w:val="16"/>
              </w:rPr>
              <w:t xml:space="preserve">on</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7"/>
                <w:szCs w:val="17"/>
              </w:rPr>
              <w:t xml:space="preserve">Compresses WAL logs before writing. Reduces storage and network I/O for Multi-AZ replication.</w:t>
            </w:r>
          </w:p>
        </w:tc>
      </w:tr>
    </w:tbl>
    <w:p>
      <w:pPr>
        <w:spacing w:after="60" w:before="60"/>
      </w:pPr>
    </w:p>
    <w:p>
      <w:pPr>
        <w:pStyle w:val="Heading2"/>
        <w:spacing w:after="100" w:before="280"/>
      </w:pPr>
      <w:r>
        <w:rPr>
          <w:rFonts w:ascii="Arial" w:cs="Arial" w:eastAsia="Arial" w:hAnsi="Arial"/>
          <w:b/>
          <w:bCs/>
          <w:color w:val="2E75B6"/>
          <w:sz w:val="26"/>
          <w:szCs w:val="26"/>
        </w:rPr>
        <w:t xml:space="preserve">5.4  Autovacuum Considerations</w:t>
      </w:r>
    </w:p>
    <w:p>
      <w:pPr>
        <w:spacing w:after="80" w:before="60"/>
      </w:pPr>
      <w:r>
        <w:rPr>
          <w:rFonts w:ascii="Arial" w:cs="Arial" w:eastAsia="Arial" w:hAnsi="Arial"/>
          <w:color w:val="1A1A1A"/>
          <w:sz w:val="20"/>
          <w:szCs w:val="20"/>
        </w:rPr>
        <w:t xml:space="preserve">The risk_assessment table is insert-heavy (one row per application scored). PostgreSQL's autovacuum has two critical jobs for this table:</w:t>
      </w:r>
    </w:p>
    <w:p>
      <w:pPr>
        <w:spacing w:after="60" w:before="60"/>
      </w:pPr>
    </w:p>
    <w:p>
      <w:pPr>
        <w:pStyle w:val="ListParagraph"/>
        <w:numPr>
          <w:ilvl w:val="0"/>
          <w:numId w:val="2"/>
        </w:numPr>
        <w:spacing w:after="40" w:before="40"/>
      </w:pPr>
      <w:r>
        <w:rPr>
          <w:rFonts w:ascii="Arial" w:cs="Arial" w:eastAsia="Arial" w:hAnsi="Arial"/>
          <w:color w:val="1A1A1A"/>
          <w:sz w:val="20"/>
          <w:szCs w:val="20"/>
        </w:rPr>
        <w:t xml:space="preserve">VACUUM: Reclaims space from dead row versions (MVCC overhead). For insert-only tables, less critical — but needed when old rows are ever deleted.</w:t>
      </w:r>
    </w:p>
    <w:p>
      <w:pPr>
        <w:pStyle w:val="ListParagraph"/>
        <w:numPr>
          <w:ilvl w:val="0"/>
          <w:numId w:val="2"/>
        </w:numPr>
        <w:spacing w:after="40" w:before="40"/>
      </w:pPr>
      <w:r>
        <w:rPr>
          <w:rFonts w:ascii="Arial" w:cs="Arial" w:eastAsia="Arial" w:hAnsi="Arial"/>
          <w:color w:val="1A1A1A"/>
          <w:sz w:val="20"/>
          <w:szCs w:val="20"/>
        </w:rPr>
        <w:t xml:space="preserve">ANALYZE: Updates query planner statistics. As the table grows, outdated statistics cause the planner to choose sequential scans instead of index scans.</w:t>
      </w:r>
    </w:p>
    <w:p>
      <w:pPr>
        <w:spacing w:after="60" w:before="60"/>
      </w:pPr>
    </w:p>
    <w:p>
      <w:pPr>
        <w:spacing w:after="80" w:before="60"/>
      </w:pPr>
      <w:r>
        <w:rPr>
          <w:rFonts w:ascii="Arial" w:cs="Arial" w:eastAsia="Arial" w:hAnsi="Arial"/>
          <w:color w:val="1A1A1A"/>
          <w:sz w:val="20"/>
          <w:szCs w:val="20"/>
        </w:rPr>
        <w:t xml:space="preserve">Recommended autovacuum settings on risk_assessment specifically (via table storage parameters):</w:t>
      </w:r>
    </w:p>
    <w:p>
      <w:pPr>
        <w:spacing w:after="30" w:before="30"/>
        <w:ind w:left="720"/>
      </w:pPr>
      <w:r>
        <w:rPr>
          <w:rFonts w:ascii="Courier New" w:cs="Courier New" w:eastAsia="Courier New" w:hAnsi="Courier New"/>
          <w:color w:val="1A1A1A"/>
          <w:sz w:val="17"/>
          <w:szCs w:val="17"/>
        </w:rPr>
        <w:t xml:space="preserve">ALTER TABLE lt_risk_engine.risk_assessment SET (</w:t>
      </w:r>
    </w:p>
    <w:p>
      <w:pPr>
        <w:spacing w:after="30" w:before="30"/>
        <w:ind w:left="720"/>
      </w:pPr>
      <w:r>
        <w:rPr>
          <w:rFonts w:ascii="Courier New" w:cs="Courier New" w:eastAsia="Courier New" w:hAnsi="Courier New"/>
          <w:color w:val="1A1A1A"/>
          <w:sz w:val="17"/>
          <w:szCs w:val="17"/>
        </w:rPr>
        <w:t xml:space="preserve">  autovacuum_vacuum_scale_factor = 0.01,  -- vacuum after 1% change</w:t>
      </w:r>
    </w:p>
    <w:p>
      <w:pPr>
        <w:spacing w:after="30" w:before="30"/>
        <w:ind w:left="720"/>
      </w:pPr>
      <w:r>
        <w:rPr>
          <w:rFonts w:ascii="Courier New" w:cs="Courier New" w:eastAsia="Courier New" w:hAnsi="Courier New"/>
          <w:color w:val="1A1A1A"/>
          <w:sz w:val="17"/>
          <w:szCs w:val="17"/>
        </w:rPr>
        <w:t xml:space="preserve">  autovacuum_analyze_scale_factor = 0.005, -- analyze after 0.5% change</w:t>
      </w:r>
    </w:p>
    <w:p>
      <w:pPr>
        <w:spacing w:after="30" w:before="30"/>
        <w:ind w:left="720"/>
      </w:pPr>
      <w:r>
        <w:rPr>
          <w:rFonts w:ascii="Courier New" w:cs="Courier New" w:eastAsia="Courier New" w:hAnsi="Courier New"/>
          <w:color w:val="1A1A1A"/>
          <w:sz w:val="17"/>
          <w:szCs w:val="17"/>
        </w:rPr>
        <w:t xml:space="preserve">  autovacuum_vacuum_cost_delay = 2         -- reduce I/O throttle</w:t>
      </w:r>
    </w:p>
    <w:p>
      <w:pPr>
        <w:spacing w:after="30" w:before="30"/>
        <w:ind w:left="720"/>
      </w:pPr>
      <w:r>
        <w:rPr>
          <w:rFonts w:ascii="Courier New" w:cs="Courier New" w:eastAsia="Courier New" w:hAnsi="Courier New"/>
          <w:color w:val="1A1A1A"/>
          <w:sz w:val="17"/>
          <w:szCs w:val="17"/>
        </w:rPr>
        <w:t xml:space="preserve">);</w:t>
      </w:r>
    </w:p>
    <w:p>
      <w:pPr>
        <w:spacing w:after="60" w:before="60"/>
      </w:pPr>
    </w:p>
    <w:p>
      <w:pPr>
        <w:pStyle w:val="Heading2"/>
        <w:spacing w:after="100" w:before="280"/>
      </w:pPr>
      <w:r>
        <w:rPr>
          <w:rFonts w:ascii="Arial" w:cs="Arial" w:eastAsia="Arial" w:hAnsi="Arial"/>
          <w:b/>
          <w:bCs/>
          <w:color w:val="2E75B6"/>
          <w:sz w:val="26"/>
          <w:szCs w:val="26"/>
        </w:rPr>
        <w:t xml:space="preserve">5.5  Multi-AZ and Read Replicas</w:t>
      </w:r>
    </w:p>
    <w:p>
      <w:pPr>
        <w:pStyle w:val="ListParagraph"/>
        <w:numPr>
          <w:ilvl w:val="0"/>
          <w:numId w:val="2"/>
        </w:numPr>
        <w:spacing w:after="40" w:before="40"/>
      </w:pPr>
      <w:r>
        <w:rPr>
          <w:rFonts w:ascii="Arial" w:cs="Arial" w:eastAsia="Arial" w:hAnsi="Arial"/>
          <w:color w:val="1A1A1A"/>
          <w:sz w:val="20"/>
          <w:szCs w:val="20"/>
        </w:rPr>
        <w:t xml:space="preserve">Multi-AZ: Enable for production. RDS automatically maintains a synchronous standby replica in a different Availability Zone. Failover is automatic in 60-120 seconds. Essential for SLA compliance.</w:t>
      </w:r>
    </w:p>
    <w:p>
      <w:pPr>
        <w:pStyle w:val="ListParagraph"/>
        <w:numPr>
          <w:ilvl w:val="0"/>
          <w:numId w:val="2"/>
        </w:numPr>
        <w:spacing w:after="40" w:before="40"/>
      </w:pPr>
      <w:r>
        <w:rPr>
          <w:rFonts w:ascii="Arial" w:cs="Arial" w:eastAsia="Arial" w:hAnsi="Arial"/>
          <w:color w:val="1A1A1A"/>
          <w:sz w:val="20"/>
          <w:szCs w:val="20"/>
        </w:rPr>
        <w:t xml:space="preserve">Read Replicas: Create one read replica for reporting and analytics workloads (population_segment_performance queries, model_monitoring_snapshot aggregations). The scoring path must never use a read replica — only the primary.</w:t>
      </w:r>
    </w:p>
    <w:p>
      <w:pPr>
        <w:pStyle w:val="ListParagraph"/>
        <w:numPr>
          <w:ilvl w:val="0"/>
          <w:numId w:val="2"/>
        </w:numPr>
        <w:spacing w:after="40" w:before="40"/>
      </w:pPr>
      <w:r>
        <w:rPr>
          <w:rFonts w:ascii="Arial" w:cs="Arial" w:eastAsia="Arial" w:hAnsi="Arial"/>
          <w:color w:val="1A1A1A"/>
          <w:sz w:val="20"/>
          <w:szCs w:val="20"/>
        </w:rPr>
        <w:t xml:space="preserve">Replica lag: Monitor replica_lag metric in CloudWatch. If lag exceeds 30 seconds, reporting queries may see stale data.</w:t>
      </w:r>
    </w:p>
    <w:p>
      <w:pPr>
        <w:spacing w:after="60" w:before="60"/>
      </w:pPr>
    </w:p>
    <w:p>
      <w:pPr>
        <w:pStyle w:val="Heading2"/>
        <w:spacing w:after="100" w:before="280"/>
      </w:pPr>
      <w:r>
        <w:rPr>
          <w:rFonts w:ascii="Arial" w:cs="Arial" w:eastAsia="Arial" w:hAnsi="Arial"/>
          <w:b/>
          <w:bCs/>
          <w:color w:val="2E75B6"/>
          <w:sz w:val="26"/>
          <w:szCs w:val="26"/>
        </w:rPr>
        <w:t xml:space="preserve">5.6  RDS Performance Insights and Monitoring</w:t>
      </w:r>
    </w:p>
    <w:p>
      <w:pPr>
        <w:pStyle w:val="ListParagraph"/>
        <w:numPr>
          <w:ilvl w:val="0"/>
          <w:numId w:val="2"/>
        </w:numPr>
        <w:spacing w:after="40" w:before="40"/>
      </w:pPr>
      <w:r>
        <w:rPr>
          <w:rFonts w:ascii="Arial" w:cs="Arial" w:eastAsia="Arial" w:hAnsi="Arial"/>
          <w:color w:val="1A1A1A"/>
          <w:sz w:val="20"/>
          <w:szCs w:val="20"/>
        </w:rPr>
        <w:t xml:space="preserve">Enable Performance Insights: Provides query-level performance visibility in the AWS console. Identifies top SQL by wait time.</w:t>
      </w:r>
    </w:p>
    <w:p>
      <w:pPr>
        <w:pStyle w:val="ListParagraph"/>
        <w:numPr>
          <w:ilvl w:val="0"/>
          <w:numId w:val="2"/>
        </w:numPr>
        <w:spacing w:after="40" w:before="40"/>
      </w:pPr>
      <w:r>
        <w:rPr>
          <w:rFonts w:ascii="Arial" w:cs="Arial" w:eastAsia="Arial" w:hAnsi="Arial"/>
          <w:color w:val="1A1A1A"/>
          <w:sz w:val="20"/>
          <w:szCs w:val="20"/>
        </w:rPr>
        <w:t xml:space="preserve">CloudWatch Alarms: Set alarms on DatabaseConnections (&gt;80% of max), FreeStorageSpace (&lt;10GB), ReadLatency (&gt;20ms), WriteLatency (&gt;20ms), CPUUtilization (&gt;75%).</w:t>
      </w:r>
    </w:p>
    <w:p>
      <w:pPr>
        <w:pStyle w:val="ListParagraph"/>
        <w:numPr>
          <w:ilvl w:val="0"/>
          <w:numId w:val="2"/>
        </w:numPr>
        <w:spacing w:after="40" w:before="40"/>
      </w:pPr>
      <w:r>
        <w:rPr>
          <w:rFonts w:ascii="Arial" w:cs="Arial" w:eastAsia="Arial" w:hAnsi="Arial"/>
          <w:color w:val="1A1A1A"/>
          <w:sz w:val="20"/>
          <w:szCs w:val="20"/>
        </w:rPr>
        <w:t xml:space="preserve">pg_stat_statements: Query the view to find the most frequently called and slowest queries. The idempotency check (WHERE request_id = ?) should be in the top-10 by call count.</w:t>
      </w:r>
    </w:p>
    <w:p>
      <w:pPr>
        <w:spacing w:after="60" w:before="60"/>
      </w:pPr>
    </w:p>
    <w:p>
      <w:pPr>
        <w:spacing w:after="30" w:before="30"/>
        <w:ind w:left="720"/>
      </w:pPr>
      <w:r>
        <w:rPr>
          <w:rFonts w:ascii="Courier New" w:cs="Courier New" w:eastAsia="Courier New" w:hAnsi="Courier New"/>
          <w:color w:val="1A1A1A"/>
          <w:sz w:val="17"/>
          <w:szCs w:val="17"/>
        </w:rPr>
        <w:t xml:space="preserve">SELECT query, calls, total_exec_time/calls AS avg_ms, rows</w:t>
      </w:r>
    </w:p>
    <w:p>
      <w:pPr>
        <w:spacing w:after="30" w:before="30"/>
        <w:ind w:left="720"/>
      </w:pPr>
      <w:r>
        <w:rPr>
          <w:rFonts w:ascii="Courier New" w:cs="Courier New" w:eastAsia="Courier New" w:hAnsi="Courier New"/>
          <w:color w:val="1A1A1A"/>
          <w:sz w:val="17"/>
          <w:szCs w:val="17"/>
        </w:rPr>
        <w:t xml:space="preserve">FROM pg_stat_statements</w:t>
      </w:r>
    </w:p>
    <w:p>
      <w:pPr>
        <w:spacing w:after="30" w:before="30"/>
        <w:ind w:left="720"/>
      </w:pPr>
      <w:r>
        <w:rPr>
          <w:rFonts w:ascii="Courier New" w:cs="Courier New" w:eastAsia="Courier New" w:hAnsi="Courier New"/>
          <w:color w:val="1A1A1A"/>
          <w:sz w:val="17"/>
          <w:szCs w:val="17"/>
        </w:rPr>
        <w:t xml:space="preserve">ORDER BY total_exec_time DESC</w:t>
      </w:r>
    </w:p>
    <w:p>
      <w:pPr>
        <w:spacing w:after="30" w:before="30"/>
        <w:ind w:left="720"/>
      </w:pPr>
      <w:r>
        <w:rPr>
          <w:rFonts w:ascii="Courier New" w:cs="Courier New" w:eastAsia="Courier New" w:hAnsi="Courier New"/>
          <w:color w:val="1A1A1A"/>
          <w:sz w:val="17"/>
          <w:szCs w:val="17"/>
        </w:rPr>
        <w:t xml:space="preserve">LIMIT 20;</w:t>
      </w:r>
    </w:p>
    <w:p>
      <w:pPr>
        <w:spacing w:after="60" w:before="60"/>
      </w:pPr>
    </w:p>
    <w:p>
      <w:pPr>
        <w:pStyle w:val="Heading2"/>
        <w:spacing w:after="100" w:before="280"/>
      </w:pPr>
      <w:r>
        <w:rPr>
          <w:rFonts w:ascii="Arial" w:cs="Arial" w:eastAsia="Arial" w:hAnsi="Arial"/>
          <w:b/>
          <w:bCs/>
          <w:color w:val="2E75B6"/>
          <w:sz w:val="26"/>
          <w:szCs w:val="26"/>
        </w:rPr>
        <w:t xml:space="preserve">5.7  Backup and Retention</w:t>
      </w:r>
    </w:p>
    <w:p>
      <w:pPr>
        <w:pStyle w:val="ListParagraph"/>
        <w:numPr>
          <w:ilvl w:val="0"/>
          <w:numId w:val="2"/>
        </w:numPr>
        <w:spacing w:after="40" w:before="40"/>
      </w:pPr>
      <w:r>
        <w:rPr>
          <w:rFonts w:ascii="Arial" w:cs="Arial" w:eastAsia="Arial" w:hAnsi="Arial"/>
          <w:color w:val="1A1A1A"/>
          <w:sz w:val="20"/>
          <w:szCs w:val="20"/>
        </w:rPr>
        <w:t xml:space="preserve">Automated Backups: Enable with 7-day retention minimum (35 days for production). Point-in-time recovery (PITR) allows restoring to any second within the retention window.</w:t>
      </w:r>
    </w:p>
    <w:p>
      <w:pPr>
        <w:pStyle w:val="ListParagraph"/>
        <w:numPr>
          <w:ilvl w:val="0"/>
          <w:numId w:val="2"/>
        </w:numPr>
        <w:spacing w:after="40" w:before="40"/>
      </w:pPr>
      <w:r>
        <w:rPr>
          <w:rFonts w:ascii="Arial" w:cs="Arial" w:eastAsia="Arial" w:hAnsi="Arial"/>
          <w:color w:val="1A1A1A"/>
          <w:sz w:val="20"/>
          <w:szCs w:val="20"/>
        </w:rPr>
        <w:t xml:space="preserve">Snapshots: Take manual snapshots before any schema migration (alembic upgrade head).</w:t>
      </w:r>
    </w:p>
    <w:p>
      <w:pPr>
        <w:pStyle w:val="ListParagraph"/>
        <w:numPr>
          <w:ilvl w:val="0"/>
          <w:numId w:val="2"/>
        </w:numPr>
        <w:spacing w:after="40" w:before="40"/>
      </w:pPr>
      <w:r>
        <w:rPr>
          <w:rFonts w:ascii="Arial" w:cs="Arial" w:eastAsia="Arial" w:hAnsi="Arial"/>
          <w:color w:val="1A1A1A"/>
          <w:sz w:val="20"/>
          <w:szCs w:val="20"/>
        </w:rPr>
        <w:t xml:space="preserve">Encryption: Enable AWS KMS encryption at rest on the RDS instance. Enable SSL/TLS in transit (ssl=true in the database connection string).</w:t>
      </w:r>
    </w:p>
    <w:p>
      <w:pPr>
        <w:spacing w:after="60" w:before="60"/>
      </w:pPr>
    </w:p>
    <w:p>
      <w:pPr>
        <w:pStyle w:val="Heading2"/>
        <w:spacing w:after="100" w:before="280"/>
      </w:pPr>
      <w:r>
        <w:rPr>
          <w:rFonts w:ascii="Arial" w:cs="Arial" w:eastAsia="Arial" w:hAnsi="Arial"/>
          <w:b/>
          <w:bCs/>
          <w:color w:val="2E75B6"/>
          <w:sz w:val="26"/>
          <w:szCs w:val="26"/>
        </w:rPr>
        <w:t xml:space="preserve">5.8  JSON Column Performance</w:t>
      </w:r>
    </w:p>
    <w:p>
      <w:pPr>
        <w:spacing w:after="80" w:before="60"/>
      </w:pPr>
      <w:r>
        <w:rPr>
          <w:rFonts w:ascii="Arial" w:cs="Arial" w:eastAsia="Arial" w:hAnsi="Arial"/>
          <w:color w:val="1A1A1A"/>
          <w:sz w:val="20"/>
          <w:szCs w:val="20"/>
        </w:rPr>
        <w:t xml:space="preserve">The risk_assessment table uses JSON columns (factor_scores_json, request_payload, response_payload) for flexibility. On AWS RDS PostgreSQL, consider these optimizations:</w:t>
      </w:r>
    </w:p>
    <w:p>
      <w:pPr>
        <w:pStyle w:val="ListParagraph"/>
        <w:numPr>
          <w:ilvl w:val="0"/>
          <w:numId w:val="2"/>
        </w:numPr>
        <w:spacing w:after="40" w:before="40"/>
      </w:pPr>
      <w:r>
        <w:rPr>
          <w:rFonts w:ascii="Arial" w:cs="Arial" w:eastAsia="Arial" w:hAnsi="Arial"/>
          <w:color w:val="1A1A1A"/>
          <w:sz w:val="20"/>
          <w:szCs w:val="20"/>
        </w:rPr>
        <w:t xml:space="preserve">Use JSONB instead of JSON for columns that will be queried. JSONB is stored in a decomposed binary format that supports GIN indexes.</w:t>
      </w:r>
    </w:p>
    <w:p>
      <w:pPr>
        <w:pStyle w:val="ListParagraph"/>
        <w:numPr>
          <w:ilvl w:val="0"/>
          <w:numId w:val="2"/>
        </w:numPr>
        <w:spacing w:after="40" w:before="40"/>
      </w:pPr>
      <w:r>
        <w:rPr>
          <w:rFonts w:ascii="Arial" w:cs="Arial" w:eastAsia="Arial" w:hAnsi="Arial"/>
          <w:color w:val="1A1A1A"/>
          <w:sz w:val="20"/>
          <w:szCs w:val="20"/>
        </w:rPr>
        <w:t xml:space="preserve">If you need to query inside factor_scores_json frequently (e.g., find all assessments where CRIF score was MISSING), add a GIN index:</w:t>
      </w:r>
    </w:p>
    <w:p>
      <w:pPr>
        <w:spacing w:after="30" w:before="30"/>
        <w:ind w:left="720"/>
      </w:pPr>
      <w:r>
        <w:rPr>
          <w:rFonts w:ascii="Courier New" w:cs="Courier New" w:eastAsia="Courier New" w:hAnsi="Courier New"/>
          <w:color w:val="1A1A1A"/>
          <w:sz w:val="17"/>
          <w:szCs w:val="17"/>
        </w:rPr>
        <w:t xml:space="preserve">CREATE INDEX idx_factor_scores_gin</w:t>
      </w:r>
    </w:p>
    <w:p>
      <w:pPr>
        <w:spacing w:after="30" w:before="30"/>
        <w:ind w:left="720"/>
      </w:pPr>
      <w:r>
        <w:rPr>
          <w:rFonts w:ascii="Courier New" w:cs="Courier New" w:eastAsia="Courier New" w:hAnsi="Courier New"/>
          <w:color w:val="1A1A1A"/>
          <w:sz w:val="17"/>
          <w:szCs w:val="17"/>
        </w:rPr>
        <w:t xml:space="preserve">  ON lt_risk_engine.risk_assessment</w:t>
      </w:r>
    </w:p>
    <w:p>
      <w:pPr>
        <w:spacing w:after="30" w:before="30"/>
        <w:ind w:left="720"/>
      </w:pPr>
      <w:r>
        <w:rPr>
          <w:rFonts w:ascii="Courier New" w:cs="Courier New" w:eastAsia="Courier New" w:hAnsi="Courier New"/>
          <w:color w:val="1A1A1A"/>
          <w:sz w:val="17"/>
          <w:szCs w:val="17"/>
        </w:rPr>
        <w:t xml:space="preserve">  USING GIN (factor_scores_json jsonb_path_ops);</w:t>
      </w:r>
    </w:p>
    <w:p>
      <w:pPr>
        <w:spacing w:after="60" w:before="40"/>
        <w:ind w:left="360"/>
      </w:pPr>
      <w:r>
        <w:rPr>
          <w:rFonts w:ascii="Arial" w:cs="Arial" w:eastAsia="Arial" w:hAnsi="Arial"/>
          <w:i/>
          <w:iCs/>
          <w:color w:val="555555"/>
          <w:sz w:val="18"/>
          <w:szCs w:val="18"/>
        </w:rPr>
        <w:t xml:space="preserve">In migration 001, the columns are declared as JSON type. Run ALTER TABLE ... ALTER COLUMN ... TYPE JSONB USING column::jsonb to convert, but this requires a full table rewrite — plan for a maintenance window.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360"/>
      </w:tabs>
    </w:pPr>
    <w:r>
      <w:rPr>
        <w:rFonts w:ascii="Arial" w:cs="Arial" w:eastAsia="Arial" w:hAnsi="Arial"/>
        <w:color w:val="555555"/>
        <w:sz w:val="16"/>
        <w:szCs w:val="16"/>
      </w:rPr>
      <w:t xml:space="preserve">Aralytiks LLC  |  February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80"/>
    </w:pPr>
    <w:r>
      <w:rPr>
        <w:rFonts w:ascii="Arial" w:cs="Arial" w:eastAsia="Arial" w:hAnsi="Arial"/>
        <w:color w:val="555555"/>
        <w:sz w:val="16"/>
        <w:szCs w:val="16"/>
      </w:rPr>
      <w:t xml:space="preserve">LeaseTeq Risk Engine  |  Data Model Reference  |  PostgreSQL on AWS</w:t>
    </w:r>
    <w:r>
      <w:rPr>
        <w:rFonts w:ascii="Arial" w:cs="Arial" w:eastAsia="Arial" w:hAnsi="Arial"/>
        <w:b/>
        <w:bCs/>
        <w:color w:val="D4860B"/>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7A58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2026-02-27T07:36:23.537Z</dcterms:created>
  <dcterms:modified xsi:type="dcterms:W3CDTF">2026-02-27T07:36:23.537Z</dcterms:modified>
</cp:coreProperties>
</file>

<file path=docProps/custom.xml><?xml version="1.0" encoding="utf-8"?>
<Properties xmlns="http://schemas.openxmlformats.org/officeDocument/2006/custom-properties" xmlns:vt="http://schemas.openxmlformats.org/officeDocument/2006/docPropsVTypes"/>
</file>