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b/>
          <w:bCs/>
          <w:color w:val="1F4E79"/>
          <w:sz w:val="52"/>
          <w:szCs w:val="52"/>
        </w:rPr>
        <w:t xml:space="preserve">LeaseTeq AG</w:t>
      </w:r>
    </w:p>
    <w:p>
      <w:pPr>
        <w:jc w:val="center"/>
      </w:pPr>
      <w:r>
        <w:rPr>
          <w:rFonts w:ascii="Arial" w:cs="Arial" w:eastAsia="Arial" w:hAnsi="Arial"/>
          <w:b/>
          <w:bCs/>
          <w:color w:val="1F4E79"/>
          <w:sz w:val="64"/>
          <w:szCs w:val="64"/>
        </w:rPr>
        <w:t xml:space="preserve">Risk Engine</w:t>
      </w:r>
    </w:p>
    <w:p>
      <w:pPr>
        <w:jc w:val="center"/>
      </w:pPr>
      <w:r>
        <w:rPr>
          <w:rFonts w:ascii="Arial" w:cs="Arial" w:eastAsia="Arial" w:hAnsi="Arial"/>
          <w:color w:val="2E75B6"/>
          <w:sz w:val="40"/>
          <w:szCs w:val="40"/>
        </w:rPr>
        <w:t xml:space="preserve">Technical Specification</w:t>
      </w:r>
    </w:p>
    <w:p>
      <w:r>
        <w:rPr>
          <w:rFonts w:ascii="Arial" w:cs="Arial" w:eastAsia="Arial" w:hAnsi="Arial"/>
          <w:sz w:val="20"/>
          <w:szCs w:val="20"/>
        </w:rPr>
        <w:t xml:space="preserve"/>
      </w:r>
    </w:p>
    <w:p>
      <w:pPr>
        <w:pBdr>
          <w:bottom w:val="single" w:color="2E75B6" w:sz="8"/>
        </w:pBdr>
        <w:jc w:val="center"/>
      </w:pPr>
      <w:r>
        <w:t xml:space="preserve"/>
      </w:r>
    </w:p>
    <w:p>
      <w:r>
        <w:rPr>
          <w:rFonts w:ascii="Arial" w:cs="Arial" w:eastAsia="Arial" w:hAnsi="Arial"/>
          <w:sz w:val="20"/>
          <w:szCs w:val="20"/>
        </w:rPr>
        <w:t xml:space="preserve"/>
      </w:r>
    </w:p>
    <w:p>
      <w:pPr>
        <w:jc w:val="center"/>
      </w:pPr>
      <w:r>
        <w:rPr>
          <w:rFonts w:ascii="Arial" w:cs="Arial" w:eastAsia="Arial" w:hAnsi="Arial"/>
          <w:b/>
          <w:bCs/>
          <w:color w:val="2E75B6"/>
          <w:sz w:val="28"/>
          <w:szCs w:val="28"/>
        </w:rPr>
        <w:t xml:space="preserve">Version 1.3</w:t>
      </w:r>
    </w:p>
    <w:p>
      <w:pPr>
        <w:jc w:val="center"/>
      </w:pPr>
      <w:r>
        <w:rPr>
          <w:rFonts w:ascii="Arial" w:cs="Arial" w:eastAsia="Arial" w:hAnsi="Arial"/>
          <w:color w:val="444444"/>
          <w:sz w:val="24"/>
          <w:szCs w:val="24"/>
        </w:rPr>
        <w:t xml:space="preserve">February 2026</w:t>
      </w:r>
    </w:p>
    <w:p>
      <w:r>
        <w:rPr>
          <w:rFonts w:ascii="Arial" w:cs="Arial" w:eastAsia="Arial" w:hAnsi="Arial"/>
          <w:sz w:val="20"/>
          <w:szCs w:val="20"/>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Active — Ready for Implementation</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Aralytiks LLC  /  Avi Kannan</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LeaseTeq AG, Switzerland</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LT-RE-SPEC-001</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Style w:val="Heading1"/>
      </w:pPr>
      <w:r>
        <w:rPr>
          <w:rFonts w:ascii="Arial" w:cs="Arial" w:eastAsia="Arial" w:hAnsi="Arial"/>
        </w:rPr>
        <w:t xml:space="preserve">1. Overview &amp; Purpose</w:t>
      </w:r>
    </w:p>
    <w:p>
      <w:r>
        <w:rPr>
          <w:rFonts w:ascii="Arial" w:cs="Arial" w:eastAsia="Arial" w:hAnsi="Arial"/>
          <w:sz w:val="20"/>
          <w:szCs w:val="20"/>
        </w:rPr>
        <w:t xml:space="preserve">The LeaseTeq Risk Engine is a real-time credit scoring microservice designed to automate lease approval decisions for LeaseTeq AG’s B2C (and B2B) automotive leasing portfolio. It is called synchronously by the Flowable BPM platform during the credit origination workflow.</w:t>
      </w:r>
    </w:p>
    <w:p>
      <w:r>
        <w:rPr>
          <w:rFonts w:ascii="Arial" w:cs="Arial" w:eastAsia="Arial" w:hAnsi="Arial"/>
          <w:sz w:val="20"/>
          <w:szCs w:val="20"/>
        </w:rPr>
        <w:t xml:space="preserve"/>
      </w:r>
    </w:p>
    <w:p>
      <w:r>
        <w:rPr>
          <w:rFonts w:ascii="Arial" w:cs="Arial" w:eastAsia="Arial" w:hAnsi="Arial"/>
          <w:sz w:val="20"/>
          <w:szCs w:val="20"/>
        </w:rPr>
        <w:t xml:space="preserve">The engine evaluates an applicant’s credit risk using 10 weighted factors derived from source system data (SST/CRM), external bureau APIs (CRIF, ZEK, Intrum), and dealer portfolio history. It returns a risk tier, scoring decision, and full factor breakdown to Flowable in under 300ms.</w:t>
      </w:r>
    </w:p>
    <w:p>
      <w:r>
        <w:rPr>
          <w:rFonts w:ascii="Arial" w:cs="Arial" w:eastAsia="Arial" w:hAnsi="Arial"/>
          <w:sz w:val="20"/>
          <w:szCs w:val="20"/>
        </w:rPr>
        <w:t xml:space="preserve"/>
      </w:r>
    </w:p>
    <w:p>
      <w:pPr>
        <w:shd w:fill="FFF2CC" w:val="clear"/>
        <w:ind w:left="360"/>
      </w:pPr>
      <w:r>
        <w:rPr>
          <w:rFonts w:ascii="Arial" w:cs="Arial" w:eastAsia="Arial" w:hAnsi="Arial"/>
          <w:i/>
          <w:iCs/>
          <w:color w:val="7F6000"/>
          <w:sz w:val="18"/>
          <w:szCs w:val="18"/>
        </w:rPr>
        <w:t xml:space="preserve">⚑  Architecture principle: The microservice is stateless. All inputs arrive in the Flowable POST payload. The engine does not query the DWH/ODS at scoring time. The DataHub is downstream (analytics only).</w:t>
      </w:r>
    </w:p>
    <w:p>
      <w:r>
        <w:rPr>
          <w:rFonts w:ascii="Arial" w:cs="Arial" w:eastAsia="Arial" w:hAnsi="Arial"/>
          <w:sz w:val="20"/>
          <w:szCs w:val="20"/>
        </w:rPr>
        <w:t xml:space="preserve"/>
      </w:r>
    </w:p>
    <w:p>
      <w:pPr>
        <w:pStyle w:val="Heading2"/>
      </w:pPr>
      <w:r>
        <w:rPr>
          <w:rFonts w:ascii="Arial" w:cs="Arial" w:eastAsia="Arial" w:hAnsi="Arial"/>
        </w:rPr>
        <w:t xml:space="preserve">1.1 System Context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LeaseTeq SST (CRM)</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Source of truth for contracts, customers, vehicles. Mirror reflected in ODS _sst tables.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Flowable BPM</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Orchestrates lease origination workflow. Calls Risk Engine POST /v1/risk/evaluate with all input data collected during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CRIF Bureau</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Credit score API. Called by Flowable before risk engine. Score passed in payload.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ZEK Registry</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Swiss credit registry. ZEK entries (zek_code, entry count) collected by Flowable, passed in payload.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Intrum</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Debt collection / credit score provider. intrum_score (0–5) passed in payload.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Zefix API</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Swiss commercial register. Used for B2B company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Risk Engine (this service)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Stateless FastAPI microservice. Receives all inputs via POST, scores in-memory, returns tier + decision + breakdown.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Enterprise DataHub (ODS/DWH)</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Downstream analytics. Consumes scoring events via Kafka. NOT in the real-time scoring path. Dealer metrics refreshed into lt_risk_engine schema via nightly batch.</w:t>
            </w:r>
          </w:p>
        </w:tc>
      </w:tr>
    </w:tbl>
    <w:p>
      <w:r>
        <w:rPr>
          <w:rFonts w:ascii="Arial" w:cs="Arial" w:eastAsia="Arial" w:hAnsi="Arial"/>
          <w:sz w:val="20"/>
          <w:szCs w:val="20"/>
        </w:rPr>
        <w:t xml:space="preserve"/>
      </w:r>
    </w:p>
    <w:p>
      <w:r>
        <w:br w:type="page"/>
      </w:r>
    </w:p>
    <w:p>
      <w:pPr>
        <w:pStyle w:val="Heading1"/>
      </w:pPr>
      <w:r>
        <w:rPr>
          <w:rFonts w:ascii="Arial" w:cs="Arial" w:eastAsia="Arial" w:hAnsi="Arial"/>
        </w:rPr>
        <w:t xml:space="preserve">2. Data Flow &amp; Scoring Pipeline</w:t>
      </w:r>
    </w:p>
    <w:p>
      <w:r>
        <w:rPr>
          <w:rFonts w:ascii="Arial" w:cs="Arial" w:eastAsia="Arial" w:hAnsi="Arial"/>
          <w:sz w:val="20"/>
          <w:szCs w:val="20"/>
        </w:rPr>
        <w:t xml:space="preserve">The scoring pipeline is a 7-step synchronous process executed on every POST request:</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9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Input validation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Pydantic schema validation. Strict types, required vs optional fields.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DSCR calculation</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B2C: (net_income − monthly_expenses) / monthly_payment. B2B: EBITDA / (12 × payment). Uses dscr_customer_dscr from SST if available (now a source-system field).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Factor scoring</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All 10 factors scored independently. Each returns bin_label + raw_score.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Composite score</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Sum of all raw scores. Range: −75 to +53. High-weight factors have wider raw ranges (no separate weighting multiplication needed).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Tier assignment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Score ≥25 → BRIGHT_GREEN; ≥10 → GREEN; ≥0 → YELLOW; &lt;0 → RED.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Business rules</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8 hard-override rules (BR-01 to BR-08). Any trigger forces RED regardless of composite score.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Response + audit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Returns full JSON response to Flowable. Persists to lt_risk_engine.risk_assessment. Publishes Kafka event.</w:t>
            </w:r>
          </w:p>
        </w:tc>
      </w:tr>
    </w:tbl>
    <w:p>
      <w:r>
        <w:rPr>
          <w:rFonts w:ascii="Arial" w:cs="Arial" w:eastAsia="Arial" w:hAnsi="Arial"/>
          <w:sz w:val="20"/>
          <w:szCs w:val="20"/>
        </w:rPr>
        <w:t xml:space="preserve"/>
      </w:r>
    </w:p>
    <w:p>
      <w:pPr>
        <w:pStyle w:val="Heading2"/>
      </w:pPr>
      <w:r>
        <w:rPr>
          <w:rFonts w:ascii="Arial" w:cs="Arial" w:eastAsia="Arial" w:hAnsi="Arial"/>
        </w:rPr>
        <w:t xml:space="preserve">2.1 Input Payload (Flowable → Risk Engine)</w:t>
      </w:r>
    </w:p>
    <w:p>
      <w:r>
        <w:rPr>
          <w:rFonts w:ascii="Arial" w:cs="Arial" w:eastAsia="Arial" w:hAnsi="Arial"/>
          <w:sz w:val="20"/>
          <w:szCs w:val="20"/>
        </w:rPr>
        <w:t xml:space="preserve">All fields below are sent by Flowable in a single POST /v1/risk/evaluate. Fields sourced directly from LeaseTeq SST (via Flowable) or bureau API calls made upstream.</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1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SST Source 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financed_amount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contracts_sst.financed_amount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decimal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CHF</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vehicle_price (offer_price)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contracts_sst.offer_price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decimal</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LTV = financed_amount / offer_price × 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term_months (duration)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contracts_sst.duration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integer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date_of_birth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persons_sst.date_of_birth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date</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Age calculated at scoring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crif_score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person_other_information_sst.credit_score_crif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integer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From CRIF API, stored in SST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intrum_score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person_other_information_sst.credit_score_intrum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integer</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0–5 scale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dscr_customer_dscr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person_other_information_sst.dscr_customer_dscr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decimal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Now direct from SST. Engine falls back to calculation if NULL.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monthly_net_income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person_primary_incomes_sst.net_income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decimal</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For DSCR fallback calc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zek_has_entries / zek_entry_count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contracts_sst.zek_code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bool / int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ZEK code present = entry exists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permit_type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persons_sst (nationality + permit data)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enum</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B2B / B_permit / C_permit / Other_B2C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dealer_default_rate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lt_risk_engine.dealer_risk_metrics (nightly)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decimal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Refreshed nightly from DWH. Passed by Flowable.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dealer_active_months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dealers_sst.registered_on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integer</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customer_type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contracts_sst.customer_type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enum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PRIVATE / COMPANY</w:t>
            </w:r>
          </w:p>
        </w:tc>
      </w:tr>
    </w:tbl>
    <w:p>
      <w:r>
        <w:rPr>
          <w:rFonts w:ascii="Arial" w:cs="Arial" w:eastAsia="Arial" w:hAnsi="Arial"/>
          <w:sz w:val="20"/>
          <w:szCs w:val="20"/>
        </w:rPr>
        <w:t xml:space="preserve"/>
      </w:r>
    </w:p>
    <w:p>
      <w:r>
        <w:br w:type="page"/>
      </w:r>
    </w:p>
    <w:p>
      <w:pPr>
        <w:pStyle w:val="Heading1"/>
      </w:pPr>
      <w:r>
        <w:rPr>
          <w:rFonts w:ascii="Arial" w:cs="Arial" w:eastAsia="Arial" w:hAnsi="Arial"/>
        </w:rPr>
        <w:t xml:space="preserve">3. Scoring Model v1.2</w:t>
      </w:r>
    </w:p>
    <w:p>
      <w:r>
        <w:rPr>
          <w:rFonts w:ascii="Arial" w:cs="Arial" w:eastAsia="Arial" w:hAnsi="Arial"/>
          <w:sz w:val="20"/>
          <w:szCs w:val="20"/>
        </w:rPr>
        <w:t xml:space="preserve">The v1.2 model uses 10 factors with raw scores calibrated so their direct sum produces the composite. Score range: −75 to +53.</w:t>
      </w:r>
    </w:p>
    <w:p>
      <w:r>
        <w:rPr>
          <w:rFonts w:ascii="Arial" w:cs="Arial" w:eastAsia="Arial" w:hAnsi="Arial"/>
          <w:sz w:val="20"/>
          <w:szCs w:val="20"/>
        </w:rPr>
        <w:t xml:space="preserve"/>
      </w:r>
    </w:p>
    <w:p>
      <w:pPr>
        <w:pStyle w:val="Heading2"/>
      </w:pPr>
      <w:r>
        <w:rPr>
          <w:rFonts w:ascii="Arial" w:cs="Arial" w:eastAsia="Arial" w:hAnsi="Arial"/>
        </w:rPr>
        <w:t xml:space="preserve">3.1 Factor Definitions &amp; Score Bins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200"/>
        <w:gridCol w:w="700"/>
        <w:gridCol w:w="2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Bin Label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Score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LTV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LTV &lt; 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financed_amt / offer_price × 100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75–85%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75 ≤ LTV &lt; 85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85–95%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85 ≤ LTV &lt; 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&gt;95%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LTV ≥ 95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BR-02: LTV&gt;120% forces 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CRIF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≥700 (Green)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crif_score ≥ 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BR-05: score&lt;150 forces 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500–699 (Yellow)</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500 ≤ score &lt; 700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&lt;500 (Red)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score &lt;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NULL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No CRIF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Use Intrum if 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DSCR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&gt;15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dscr &gt;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DIRECT from SST (dscr_customer_dscr). Engine calculates fallback if NULL.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7–15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7 ≤ dscr ≤ 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−3</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 ≤ dscr &lt;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 ≤ dscr &lt; 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&lt;0 (no income)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dscr &lt;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BR-03: negative DSCR forces 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Term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37–48m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37 ≤ term ≤ 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BR-08: term&gt;72m forces 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≤36m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term ≤ 36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+22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&gt;48m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term &gt; 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46–55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46 ≤ age ≤ 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Calculated from date_of_birth at scoring time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26–35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26 ≤ age ≤ 35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36–45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36 ≤ age ≤ 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age &gt; 55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18–25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age &lt; 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BR-01: age&lt;18 forces 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Permit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Other_B2C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Swiss / C-permit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C_permit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 permit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B_permit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 permit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B2B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Company customer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Intrum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&gt;3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intrum &gt;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0=no score; 1–3=medium; &gt;3=clean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intrum = 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 &lt; intrum ≤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intrum = 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−7</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ZEK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No entries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zek_has_entries = false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BR-04: 3+ entries forces 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1–2 entries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1–2 entries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 entries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 entries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Dealer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Low (&lt;5%)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dealer_DR &lt; 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From nightly batch. BR-07: DR&gt;20% forces 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Medium (5–15%)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0.05 ≤ DR &lt; 0.15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High (15–20%)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0.15 ≤ DR &lt; 0.20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19"/>
                <w:szCs w:val="19"/>
              </w:rPr>
              <w:t xml:space="preserve">Vehicle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&lt;CHF 65k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price &lt; 65000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65k–75k</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65k ≤ price &lt; 75k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75k–100k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75k ≤ price &lt; 100k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&gt;100k</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price ≥ 100k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High default rate observed</w:t>
            </w:r>
          </w:p>
        </w:tc>
      </w:tr>
    </w:tbl>
    <w:p>
      <w:r>
        <w:rPr>
          <w:rFonts w:ascii="Arial" w:cs="Arial" w:eastAsia="Arial" w:hAnsi="Arial"/>
          <w:sz w:val="20"/>
          <w:szCs w:val="20"/>
        </w:rPr>
        <w:t xml:space="preserve"/>
      </w:r>
    </w:p>
    <w:p>
      <w:r>
        <w:br w:type="page"/>
      </w:r>
    </w:p>
    <w:p>
      <w:pPr>
        <w:pStyle w:val="Heading1"/>
      </w:pPr>
      <w:r>
        <w:rPr>
          <w:rFonts w:ascii="Arial" w:cs="Arial" w:eastAsia="Arial" w:hAnsi="Arial"/>
        </w:rPr>
        <w:t xml:space="preserve">4. Risk Tiers &amp; Decisions</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2000"/>
        <w:gridCol w:w="29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PD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w:t>
            </w:r>
          </w:p>
        </w:tc>
      </w:tr>
      <w:tr>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r>
              <w:rPr>
                <w:rFonts w:ascii="Arial" w:cs="Arial" w:eastAsia="Arial" w:hAnsi="Arial"/>
                <w:b w:val="false"/>
                <w:bCs w:val="false"/>
                <w:sz w:val="19"/>
                <w:szCs w:val="19"/>
              </w:rPr>
              <w:t xml:space="preserve">BRIGHT_GREEN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AUTO_APPROVE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Auto-approve. Standard terms. No manual review needed.</w:t>
            </w:r>
          </w:p>
        </w:tc>
      </w:tr>
      <w:tr>
        <w:tc>
          <w:tcPr>
            <w:tcW w:type="dxa" w:w="1500"/>
            <w:tcBorders>
              <w:top w:val="single" w:color="CCCCCC" w:sz="1"/>
              <w:left w:val="single" w:color="CCCCCC" w:sz="1"/>
              <w:bottom w:val="single" w:color="CCCCCC" w:sz="1"/>
              <w:right w:val="single" w:color="CCCCCC" w:sz="1"/>
            </w:tcBorders>
            <w:shd w:fill="EBFAEB" w:val="clear"/>
            <w:tcMar>
              <w:top w:type="dxa" w:w="80"/>
              <w:left w:type="dxa" w:w="120"/>
              <w:bottom w:type="dxa" w:w="80"/>
              <w:right w:type="dxa" w:w="120"/>
            </w:tcMar>
            <w:vAlign w:val="center"/>
          </w:tcPr>
          <w:p>
            <w:r>
              <w:rPr>
                <w:rFonts w:ascii="Arial" w:cs="Arial" w:eastAsia="Arial" w:hAnsi="Arial"/>
                <w:b w:val="false"/>
                <w:bCs w:val="false"/>
                <w:sz w:val="19"/>
                <w:szCs w:val="19"/>
              </w:rPr>
              <w:t xml:space="preserve">GREEN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APPROVE_STANDARD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Approve. Standard terms. Enhanced monitoring flag.</w:t>
            </w:r>
          </w:p>
        </w:tc>
      </w:tr>
      <w:tr>
        <w:tc>
          <w:tcPr>
            <w:tcW w:type="dxa" w:w="1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val="false"/>
                <w:bCs w:val="false"/>
                <w:sz w:val="19"/>
                <w:szCs w:val="19"/>
              </w:rPr>
              <w:t xml:space="preserve">YELLOW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MANUAL_REVIEW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Route to underwriter. May approve with conditions or collateral.</w:t>
            </w:r>
          </w:p>
        </w:tc>
      </w:tr>
      <w:tr>
        <w:tc>
          <w:tcPr>
            <w:tcW w:type="dxa" w:w="1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val="false"/>
                <w:bCs w:val="false"/>
                <w:sz w:val="19"/>
                <w:szCs w:val="19"/>
              </w:rPr>
              <w:t xml:space="preserv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&lt;0 or rule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DECLINE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Decline or maximum collateral requirement. Document reason.</w:t>
            </w:r>
          </w:p>
        </w:tc>
      </w:tr>
    </w:tbl>
    <w:p>
      <w:r>
        <w:rPr>
          <w:rFonts w:ascii="Arial" w:cs="Arial" w:eastAsia="Arial" w:hAnsi="Arial"/>
          <w:sz w:val="20"/>
          <w:szCs w:val="20"/>
        </w:rPr>
        <w:t xml:space="preserve"/>
      </w:r>
    </w:p>
    <w:p>
      <w:pPr>
        <w:shd w:fill="FFF2CC" w:val="clear"/>
        <w:ind w:left="360"/>
      </w:pPr>
      <w:r>
        <w:rPr>
          <w:rFonts w:ascii="Arial" w:cs="Arial" w:eastAsia="Arial" w:hAnsi="Arial"/>
          <w:i/>
          <w:iCs/>
          <w:color w:val="7F6000"/>
          <w:sz w:val="18"/>
          <w:szCs w:val="18"/>
        </w:rPr>
        <w:t xml:space="preserve">⚑  PD values are calibrated from the Feb 2026 backtest (3,930 contracts, 90+ DPD default definition). Portfolio-level default rate is ~8.3%. PDs are through-the-cycle estimates and should be recalibrated quarterly.</w:t>
      </w:r>
    </w:p>
    <w:p>
      <w:r>
        <w:rPr>
          <w:rFonts w:ascii="Arial" w:cs="Arial" w:eastAsia="Arial" w:hAnsi="Arial"/>
          <w:sz w:val="20"/>
          <w:szCs w:val="20"/>
        </w:rPr>
        <w:t xml:space="preserve"/>
      </w:r>
    </w:p>
    <w:p>
      <w:pPr>
        <w:pStyle w:val="Heading2"/>
      </w:pPr>
      <w:r>
        <w:rPr>
          <w:rFonts w:ascii="Arial" w:cs="Arial" w:eastAsia="Arial" w:hAnsi="Arial"/>
        </w:rPr>
        <w:t xml:space="preserve">4.1 Business Rule Overrides (Hard RED Triggers)</w:t>
      </w:r>
    </w:p>
    <w:p>
      <w:r>
        <w:rPr>
          <w:rFonts w:ascii="Arial" w:cs="Arial" w:eastAsia="Arial" w:hAnsi="Arial"/>
          <w:sz w:val="20"/>
          <w:szCs w:val="20"/>
        </w:rPr>
        <w:t xml:space="preserve">The following rules force RED regardless of composite score. They are evaluated after factor scoring.</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Applicant is a minor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Age &lt; 18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Legal compliance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Extreme over-financing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LTV &gt; 120%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Collateral recovery risk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Negative DSCR — expenses exceed income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DSCR &lt;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Cannot service debt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Multiple negative ZEK entries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ZEK entries ≥ 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Serial default pattern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Critically low CRIF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CRIF &lt; 150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Severe credit impairment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No income data (B2C)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B2C + DSCR invalid + net_income = 0/NULL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Cannot assess repayment capacity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High-risk dealer watchlist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dealer_default_rate &gt; 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 portfolio risk</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BR-08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Excessive contract term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term_months &gt; 72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Policy limit</w:t>
            </w:r>
          </w:p>
        </w:tc>
      </w:tr>
    </w:tbl>
    <w:p>
      <w:r>
        <w:rPr>
          <w:rFonts w:ascii="Arial" w:cs="Arial" w:eastAsia="Arial" w:hAnsi="Arial"/>
          <w:sz w:val="20"/>
          <w:szCs w:val="20"/>
        </w:rPr>
        <w:t xml:space="preserve"/>
      </w:r>
    </w:p>
    <w:p>
      <w:r>
        <w:br w:type="page"/>
      </w:r>
    </w:p>
    <w:p>
      <w:pPr>
        <w:pStyle w:val="Heading1"/>
      </w:pPr>
      <w:r>
        <w:rPr>
          <w:rFonts w:ascii="Arial" w:cs="Arial" w:eastAsia="Arial" w:hAnsi="Arial"/>
        </w:rPr>
        <w:t xml:space="preserve">5. Microservice Database Schema (lt_risk_engine)</w:t>
      </w:r>
    </w:p>
    <w:p>
      <w:r>
        <w:rPr>
          <w:rFonts w:ascii="Arial" w:cs="Arial" w:eastAsia="Arial" w:hAnsi="Arial"/>
          <w:sz w:val="20"/>
          <w:szCs w:val="20"/>
        </w:rPr>
        <w:t xml:space="preserve">The risk engine maintains its own PostgreSQL schema (lt_risk_engine) separate from the DataHub. This schema stores all scoring activity, model configuration, historical performance data, and audit trails.</w:t>
      </w:r>
    </w:p>
    <w:p>
      <w:r>
        <w:rPr>
          <w:rFonts w:ascii="Arial" w:cs="Arial" w:eastAsia="Arial" w:hAnsi="Arial"/>
          <w:sz w:val="20"/>
          <w:szCs w:val="20"/>
        </w:rPr>
        <w:t xml:space="preserve"/>
      </w:r>
    </w:p>
    <w:p>
      <w:pPr>
        <w:pStyle w:val="Heading2"/>
      </w:pPr>
      <w:r>
        <w:rPr>
          <w:rFonts w:ascii="Arial" w:cs="Arial" w:eastAsia="Arial" w:hAnsi="Arial"/>
        </w:rPr>
        <w:t xml:space="preserve">5.1 Schema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8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Migration</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risk_assessment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001 + 004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Core scoring audit. One row per Flowable call. Stores full input JSON, output JSON, factor scores, rules triggered, composite score, legacy band.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model_version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002</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Version registry. Tracks which scorecard version is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scoring_factor_bins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Scorecard configuration. Bins, scores, weights. Can be updated without code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woe_scorecard_params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WoE logistic regression parameters (intercept, coefficients, points) for legacy A–E scorecard and recalibration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scoring_defaults_applied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Audit trail for NULL field substitutions. Field name, value used, source (SYSTEM/CONFIG/POPULATION_MEAN), score impact.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dealer_risk_metrics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 portfolio stats refreshed nightly from DWH dwh.dim_contract. Provides dealer_default_rate for scoring.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population_segment_performance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Quarterly historical default rates per factor bin. From DataHub ETL. Used for model drift detection and recalibration.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model_monitoring_snapshot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Periodic model health: Gini, KS, AUC-ROC, PSI, calibration ratio, tier distribution.</w:t>
            </w:r>
          </w:p>
        </w:tc>
      </w:tr>
    </w:tbl>
    <w:p>
      <w:r>
        <w:rPr>
          <w:rFonts w:ascii="Arial" w:cs="Arial" w:eastAsia="Arial" w:hAnsi="Arial"/>
          <w:sz w:val="20"/>
          <w:szCs w:val="20"/>
        </w:rPr>
        <w:t xml:space="preserve"/>
      </w:r>
    </w:p>
    <w:p>
      <w:pPr>
        <w:pStyle w:val="Heading2"/>
      </w:pPr>
      <w:r>
        <w:rPr>
          <w:rFonts w:ascii="Arial" w:cs="Arial" w:eastAsia="Arial" w:hAnsi="Arial"/>
        </w:rPr>
        <w:t xml:space="preserve">5.2 risk_assessment Table (Core)</w:t>
      </w:r>
    </w:p>
    <w:p>
      <w:r>
        <w:rPr>
          <w:rFonts w:ascii="Arial" w:cs="Arial" w:eastAsia="Arial" w:hAnsi="Arial"/>
          <w:sz w:val="20"/>
          <w:szCs w:val="20"/>
        </w:rPr>
        <w:t xml:space="preserve">Every scoring request generates one row. Key columns:</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9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assessment_id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UUID</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Primary key. UUID v4. Returned in Flowable 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request_id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varchar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Flowable’s correlation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contract_number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varchar</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LeaseTeq SST contract 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input_json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JSONB</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Full POST payload from Flowable. All scoring inputs preserved.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output_json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JSONB</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Full response returned. Tier, decision, factor breakdown, business rules.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composite_score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numeric</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Sum of all factor raw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varchar</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BRIGHT_GREEN / GREEN / YELLOW / 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decision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varchar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AUTO_APPROVE / APPROVE_STANDARD / MANUAL_REVIEW / DECLINE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factor_scores_json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JSONB</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Array of {factor_name, bin_label, raw_score, weight} for each of 10 factors.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rules_triggered_json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JSONB</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List of triggered BR codes. Empty array if no overrides.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defaults_applied_json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JSONB</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Summary of NULL fields and fallbacks used. Detail in scoring_defaults_applied.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legacy_score / legacy_band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 / varchar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WoE A–E scorecard result for BAWAG reporting backward compatibility.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processing_time_ms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integer</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End-to-end scoring latency in milliseconds.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evaluated_at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timestamptz</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UTC timestamp of scoring.</w:t>
            </w:r>
          </w:p>
        </w:tc>
      </w:tr>
    </w:tbl>
    <w:p>
      <w:r>
        <w:rPr>
          <w:rFonts w:ascii="Arial" w:cs="Arial" w:eastAsia="Arial" w:hAnsi="Arial"/>
          <w:sz w:val="20"/>
          <w:szCs w:val="20"/>
        </w:rPr>
        <w:t xml:space="preserve"/>
      </w:r>
    </w:p>
    <w:p>
      <w:r>
        <w:br w:type="page"/>
      </w:r>
    </w:p>
    <w:p>
      <w:pPr>
        <w:pStyle w:val="Heading1"/>
      </w:pPr>
      <w:r>
        <w:rPr>
          <w:rFonts w:ascii="Arial" w:cs="Arial" w:eastAsia="Arial" w:hAnsi="Arial"/>
        </w:rPr>
        <w:t xml:space="preserve">6. Historical Data Integration &amp; Model Recalibration</w:t>
      </w:r>
    </w:p>
    <w:p>
      <w:r>
        <w:rPr>
          <w:rFonts w:ascii="Arial" w:cs="Arial" w:eastAsia="Arial" w:hAnsi="Arial"/>
          <w:sz w:val="20"/>
          <w:szCs w:val="20"/>
        </w:rPr>
        <w:t xml:space="preserve">The scoring microservice is stateless at request time — it never queries the DataHub during scoring. However, two types of historical data feed into the system via batch processes:</w:t>
      </w:r>
    </w:p>
    <w:p>
      <w:r>
        <w:rPr>
          <w:rFonts w:ascii="Arial" w:cs="Arial" w:eastAsia="Arial" w:hAnsi="Arial"/>
          <w:sz w:val="20"/>
          <w:szCs w:val="20"/>
        </w:rPr>
        <w:t xml:space="preserve"/>
      </w:r>
    </w:p>
    <w:p>
      <w:pPr>
        <w:pStyle w:val="Heading2"/>
      </w:pPr>
      <w:r>
        <w:rPr>
          <w:rFonts w:ascii="Arial" w:cs="Arial" w:eastAsia="Arial" w:hAnsi="Arial"/>
        </w:rPr>
        <w:t xml:space="preserve">6.1 Nightly Dealer Risk Metrics Refresh</w:t>
      </w:r>
    </w:p>
    <w:p>
      <w:r>
        <w:rPr>
          <w:rFonts w:ascii="Arial" w:cs="Arial" w:eastAsia="Arial" w:hAnsi="Arial"/>
          <w:sz w:val="20"/>
          <w:szCs w:val="20"/>
        </w:rPr>
        <w:t xml:space="preserve">A scheduled job (dealer_metrics_refresh.py) runs nightly at 02:00 UTC. It queries dwh.dim_contract in the DataHub to compute each dealer’s current default rate, then writes to lt_risk_engine.dealer_risk_metrics.</w:t>
      </w:r>
    </w:p>
    <w:p>
      <w:r>
        <w:rPr>
          <w:rFonts w:ascii="Arial" w:cs="Arial" w:eastAsia="Arial" w:hAnsi="Arial"/>
          <w:sz w:val="20"/>
          <w:szCs w:val="20"/>
        </w:rPr>
        <w:t xml:space="preserve"/>
      </w:r>
    </w:p>
    <w:p>
      <w:r>
        <w:rPr>
          <w:rFonts w:ascii="Arial" w:cs="Arial" w:eastAsia="Arial" w:hAnsi="Arial"/>
          <w:sz w:val="20"/>
          <w:szCs w:val="20"/>
        </w:rPr>
        <w:t xml:space="preserve">Flowable reads the latest dealer_default_rate from this table and includes it in the POST payload. This is the mechanism for historical data entering the scoring path.</w:t>
      </w:r>
    </w:p>
    <w:p>
      <w:r>
        <w:rPr>
          <w:rFonts w:ascii="Arial" w:cs="Arial" w:eastAsia="Arial" w:hAnsi="Arial"/>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Schedule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Nightly 02:00 UTC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Source</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dwh.dim_contract (dpd, wo_amt_ltd, party_dealer_orig_key)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Default definition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dpd ≥ 90 OR wo_amt_ltd &gt; 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Minimum volume</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 contracts (below threshold: dealer_default_rate = NULL, scores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Watchlist threshold</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&gt;20% default rate → is_watchlist = true → triggers BR-07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Historical data from DB</w:t>
            </w:r>
          </w:p>
        </w:tc>
        <w:tc>
          <w:tcPr>
            <w:tcW w:type="dxa" w:w="6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Dealer IDs observed in Feb 2026 data: several dealers show 30–55% DR. Top dealers by volume have 14–34% DR.</w:t>
            </w:r>
          </w:p>
        </w:tc>
      </w:tr>
    </w:tbl>
    <w:p>
      <w:r>
        <w:rPr>
          <w:rFonts w:ascii="Arial" w:cs="Arial" w:eastAsia="Arial" w:hAnsi="Arial"/>
          <w:sz w:val="20"/>
          <w:szCs w:val="20"/>
        </w:rPr>
        <w:t xml:space="preserve"/>
      </w:r>
    </w:p>
    <w:p>
      <w:pPr>
        <w:pStyle w:val="Heading2"/>
      </w:pPr>
      <w:r>
        <w:rPr>
          <w:rFonts w:ascii="Arial" w:cs="Arial" w:eastAsia="Arial" w:hAnsi="Arial"/>
        </w:rPr>
        <w:t xml:space="preserve">6.2 Quarterly Portfolio Segment Performance (Model Monitoring)</w:t>
      </w:r>
    </w:p>
    <w:p>
      <w:r>
        <w:rPr>
          <w:rFonts w:ascii="Arial" w:cs="Arial" w:eastAsia="Arial" w:hAnsi="Arial"/>
          <w:sz w:val="20"/>
          <w:szCs w:val="20"/>
        </w:rPr>
        <w:t xml:space="preserve">A quarterly batch job (quarterly_segment_refresh.py) computes observed default rates per factor bin from the DataHub and stores in population_segment_performance. This feeds the model_monitoring_snapshot table for drift detection.</w:t>
      </w:r>
    </w:p>
    <w:p>
      <w:r>
        <w:rPr>
          <w:rFonts w:ascii="Arial" w:cs="Arial" w:eastAsia="Arial" w:hAnsi="Arial"/>
          <w:sz w:val="20"/>
          <w:szCs w:val="20"/>
        </w:rPr>
        <w:t xml:space="preserve"/>
      </w:r>
    </w:p>
    <w:p>
      <w:r>
        <w:rPr>
          <w:rFonts w:ascii="Arial" w:cs="Arial" w:eastAsia="Arial" w:hAnsi="Arial"/>
          <w:sz w:val="20"/>
          <w:szCs w:val="20"/>
        </w:rPr>
        <w:t xml:space="preserve">Model recalibration triggers:</w:t>
      </w:r>
    </w:p>
    <w:p>
      <w:pPr>
        <w:pStyle w:val="ListParagraph"/>
        <w:numPr>
          <w:ilvl w:val="0"/>
          <w:numId w:val="2"/>
        </w:numPr>
      </w:pPr>
      <w:r>
        <w:rPr>
          <w:rFonts w:ascii="Arial" w:cs="Arial" w:eastAsia="Arial" w:hAnsi="Arial"/>
          <w:sz w:val="20"/>
          <w:szCs w:val="20"/>
        </w:rPr>
        <w:t xml:space="preserve">PSI &gt; 0.25 on any factor bin (alarm level)</w:t>
      </w:r>
    </w:p>
    <w:p>
      <w:pPr>
        <w:pStyle w:val="ListParagraph"/>
        <w:numPr>
          <w:ilvl w:val="0"/>
          <w:numId w:val="2"/>
        </w:numPr>
      </w:pPr>
      <w:r>
        <w:rPr>
          <w:rFonts w:ascii="Arial" w:cs="Arial" w:eastAsia="Arial" w:hAnsi="Arial"/>
          <w:sz w:val="20"/>
          <w:szCs w:val="20"/>
        </w:rPr>
        <w:t xml:space="preserve">Observed PD exceeds predicted PD by more than 2× for any tier, sustained over 2 quarters</w:t>
      </w:r>
    </w:p>
    <w:p>
      <w:pPr>
        <w:pStyle w:val="ListParagraph"/>
        <w:numPr>
          <w:ilvl w:val="0"/>
          <w:numId w:val="2"/>
        </w:numPr>
      </w:pPr>
      <w:r>
        <w:rPr>
          <w:rFonts w:ascii="Arial" w:cs="Arial" w:eastAsia="Arial" w:hAnsi="Arial"/>
          <w:sz w:val="20"/>
          <w:szCs w:val="20"/>
        </w:rPr>
        <w:t xml:space="preserve">Gini coefficient drops below 0.25 (from current ~0.35)</w:t>
      </w:r>
    </w:p>
    <w:p>
      <w:pPr>
        <w:pStyle w:val="ListParagraph"/>
        <w:numPr>
          <w:ilvl w:val="0"/>
          <w:numId w:val="2"/>
        </w:numPr>
      </w:pPr>
      <w:r>
        <w:rPr>
          <w:rFonts w:ascii="Arial" w:cs="Arial" w:eastAsia="Arial" w:hAnsi="Arial"/>
          <w:sz w:val="20"/>
          <w:szCs w:val="20"/>
        </w:rPr>
        <w:t xml:space="preserve">Annual recalibration review regardless of drift metrics</w:t>
      </w:r>
    </w:p>
    <w:p>
      <w:r>
        <w:rPr>
          <w:rFonts w:ascii="Arial" w:cs="Arial" w:eastAsia="Arial" w:hAnsi="Arial"/>
          <w:sz w:val="20"/>
          <w:szCs w:val="20"/>
        </w:rPr>
        <w:t xml:space="preserve"/>
      </w:r>
    </w:p>
    <w:p>
      <w:pPr>
        <w:pStyle w:val="Heading2"/>
      </w:pPr>
      <w:r>
        <w:rPr>
          <w:rFonts w:ascii="Arial" w:cs="Arial" w:eastAsia="Arial" w:hAnsi="Arial"/>
        </w:rPr>
        <w:t xml:space="preserve">6.3 WoE Intercept Explained</w:t>
      </w:r>
    </w:p>
    <w:p>
      <w:r>
        <w:rPr>
          <w:rFonts w:ascii="Arial" w:cs="Arial" w:eastAsia="Arial" w:hAnsi="Arial"/>
          <w:sz w:val="20"/>
          <w:szCs w:val="20"/>
        </w:rPr>
        <w:t xml:space="preserve">The intercept of +389 in the legacy WoE scorecard is NOT a standalone historical data mechanism — it is the base score representing the log-odds of the population average default rate from the development sample (2,461 LeaseTeq contracts), scaled to the scoring range. Every contract starts at 389, then factor points are added or subtracted.</w:t>
      </w:r>
    </w:p>
    <w:p>
      <w:r>
        <w:rPr>
          <w:rFonts w:ascii="Arial" w:cs="Arial" w:eastAsia="Arial" w:hAnsi="Arial"/>
          <w:sz w:val="20"/>
          <w:szCs w:val="20"/>
        </w:rPr>
        <w:t xml:space="preserve"/>
      </w:r>
    </w:p>
    <w:p>
      <w:r>
        <w:rPr>
          <w:rFonts w:ascii="Arial" w:cs="Arial" w:eastAsia="Arial" w:hAnsi="Arial"/>
          <w:sz w:val="20"/>
          <w:szCs w:val="20"/>
        </w:rPr>
        <w:t xml:space="preserve">The ongoing historical data integration (Sections 6.1 and 6.2) is the correct mechanism for incorporating portfolio trends into scoring — not modifying the intercept directly. Intercept changes require a full model recalibration.</w:t>
      </w:r>
    </w:p>
    <w:p>
      <w:r>
        <w:rPr>
          <w:rFonts w:ascii="Arial" w:cs="Arial" w:eastAsia="Arial" w:hAnsi="Arial"/>
          <w:sz w:val="20"/>
          <w:szCs w:val="20"/>
        </w:rPr>
        <w:t xml:space="preserve"/>
      </w:r>
    </w:p>
    <w:p>
      <w:pPr>
        <w:pStyle w:val="Heading2"/>
      </w:pPr>
      <w:r>
        <w:rPr>
          <w:rFonts w:ascii="Arial" w:cs="Arial" w:eastAsia="Arial" w:hAnsi="Arial"/>
        </w:rPr>
        <w:t xml:space="preserve">6.4 Backtest Findings (Feb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7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PD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Observed DR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BRIGHT_GREEN (&gt;428 legacy)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4.5%</w:t>
            </w:r>
          </w:p>
        </w:tc>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9"/>
                <w:szCs w:val="19"/>
              </w:rPr>
              <w:t xml:space="preserve">Recalibration needed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GREEN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5.95%</w:t>
            </w:r>
          </w:p>
        </w:tc>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9"/>
                <w:szCs w:val="19"/>
              </w:rPr>
              <w:t xml:space="preserve">Recalibration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2.91%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8.41%</w:t>
            </w:r>
          </w:p>
        </w:tc>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9"/>
                <w:szCs w:val="19"/>
              </w:rPr>
              <w:t xml:space="preserve">Recalibration needed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RED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11.58%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20.32%</w:t>
            </w:r>
          </w:p>
        </w:tc>
        <w:tc>
          <w:tcPr>
            <w:tcW w:type="dxa" w:w="2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9"/>
                <w:szCs w:val="19"/>
              </w:rPr>
              <w:t xml:space="preserve">Direction correct, level off</w:t>
            </w:r>
          </w:p>
        </w:tc>
      </w:tr>
    </w:tbl>
    <w:p>
      <w:r>
        <w:rPr>
          <w:rFonts w:ascii="Arial" w:cs="Arial" w:eastAsia="Arial" w:hAnsi="Arial"/>
          <w:sz w:val="20"/>
          <w:szCs w:val="20"/>
        </w:rPr>
        <w:t xml:space="preserve"/>
      </w:r>
    </w:p>
    <w:p>
      <w:pPr>
        <w:shd w:fill="FFF2CC" w:val="clear"/>
        <w:ind w:left="360"/>
      </w:pPr>
      <w:r>
        <w:rPr>
          <w:rFonts w:ascii="Arial" w:cs="Arial" w:eastAsia="Arial" w:hAnsi="Arial"/>
          <w:i/>
          <w:iCs/>
          <w:color w:val="7F6000"/>
          <w:sz w:val="18"/>
          <w:szCs w:val="18"/>
        </w:rPr>
        <w:t xml:space="preserve">⚑  PD levels are systematically 3–5× too optimistic vs observed. Likely due to: (a) definition mismatch between dev sample and current data, (b) immature vintage contamination in 2025 Q1/Q2 (26–30% DR — likely early-terminated problem contracts). Recalibration recommended after vintage maturation.</w:t>
      </w:r>
    </w:p>
    <w:p>
      <w:r>
        <w:rPr>
          <w:rFonts w:ascii="Arial" w:cs="Arial" w:eastAsia="Arial" w:hAnsi="Arial"/>
          <w:sz w:val="20"/>
          <w:szCs w:val="20"/>
        </w:rPr>
        <w:t xml:space="preserve"/>
      </w:r>
    </w:p>
    <w:p>
      <w:r>
        <w:br w:type="page"/>
      </w:r>
    </w:p>
    <w:p>
      <w:pPr>
        <w:pStyle w:val="Heading1"/>
      </w:pPr>
      <w:r>
        <w:rPr>
          <w:rFonts w:ascii="Arial" w:cs="Arial" w:eastAsia="Arial" w:hAnsi="Arial"/>
        </w:rPr>
        <w:t xml:space="preserve">7. Analytics Capabilities</w:t>
      </w:r>
    </w:p>
    <w:p>
      <w:r>
        <w:rPr>
          <w:rFonts w:ascii="Arial" w:cs="Arial" w:eastAsia="Arial" w:hAnsi="Arial"/>
          <w:sz w:val="20"/>
          <w:szCs w:val="20"/>
        </w:rPr>
        <w:t xml:space="preserve">With the full input + output stored per assessment, the following analytics are available from the lt_risk_engine schema:</w:t>
      </w:r>
    </w:p>
    <w:p>
      <w:r>
        <w:rPr>
          <w:rFonts w:ascii="Arial" w:cs="Arial" w:eastAsia="Arial" w:hAnsi="Arial"/>
          <w:sz w:val="20"/>
          <w:szCs w:val="20"/>
        </w:rPr>
        <w:t xml:space="preserve"/>
      </w:r>
    </w:p>
    <w:p>
      <w:pPr>
        <w:pStyle w:val="Heading2"/>
      </w:pPr>
      <w:r>
        <w:rPr>
          <w:rFonts w:ascii="Arial" w:cs="Arial" w:eastAsia="Arial" w:hAnsi="Arial"/>
        </w:rPr>
        <w:t xml:space="preserve">7.1 Scoring Distribution</w:t>
      </w:r>
    </w:p>
    <w:p>
      <w:pPr>
        <w:pStyle w:val="ListParagraph"/>
        <w:numPr>
          <w:ilvl w:val="0"/>
          <w:numId w:val="2"/>
        </w:numPr>
      </w:pPr>
      <w:r>
        <w:rPr>
          <w:rFonts w:ascii="Arial" w:cs="Arial" w:eastAsia="Arial" w:hAnsi="Arial"/>
          <w:sz w:val="20"/>
          <w:szCs w:val="20"/>
        </w:rPr>
        <w:t xml:space="preserve">Score histogram by tier and month</w:t>
      </w:r>
    </w:p>
    <w:p>
      <w:pPr>
        <w:pStyle w:val="ListParagraph"/>
        <w:numPr>
          <w:ilvl w:val="0"/>
          <w:numId w:val="2"/>
        </w:numPr>
      </w:pPr>
      <w:r>
        <w:rPr>
          <w:rFonts w:ascii="Arial" w:cs="Arial" w:eastAsia="Arial" w:hAnsi="Arial"/>
          <w:sz w:val="20"/>
          <w:szCs w:val="20"/>
        </w:rPr>
        <w:t xml:space="preserve">Tier distribution trend over time (detect policy drift)</w:t>
      </w:r>
    </w:p>
    <w:p>
      <w:pPr>
        <w:pStyle w:val="ListParagraph"/>
        <w:numPr>
          <w:ilvl w:val="0"/>
          <w:numId w:val="2"/>
        </w:numPr>
      </w:pPr>
      <w:r>
        <w:rPr>
          <w:rFonts w:ascii="Arial" w:cs="Arial" w:eastAsia="Arial" w:hAnsi="Arial"/>
          <w:sz w:val="20"/>
          <w:szCs w:val="20"/>
        </w:rPr>
        <w:t xml:space="preserve">Average score by factor — identify dominant drivers</w:t>
      </w:r>
    </w:p>
    <w:p>
      <w:pPr>
        <w:pStyle w:val="ListParagraph"/>
        <w:numPr>
          <w:ilvl w:val="0"/>
          <w:numId w:val="2"/>
        </w:numPr>
      </w:pPr>
      <w:r>
        <w:rPr>
          <w:rFonts w:ascii="Arial" w:cs="Arial" w:eastAsia="Arial" w:hAnsi="Arial"/>
          <w:sz w:val="20"/>
          <w:szCs w:val="20"/>
        </w:rPr>
        <w:t xml:space="preserve">Business rule trigger frequency (which BRs fire most)</w:t>
      </w:r>
    </w:p>
    <w:p>
      <w:r>
        <w:rPr>
          <w:rFonts w:ascii="Arial" w:cs="Arial" w:eastAsia="Arial" w:hAnsi="Arial"/>
          <w:sz w:val="20"/>
          <w:szCs w:val="20"/>
        </w:rPr>
        <w:t xml:space="preserve"/>
      </w:r>
    </w:p>
    <w:p>
      <w:pPr>
        <w:pStyle w:val="Heading2"/>
      </w:pPr>
      <w:r>
        <w:rPr>
          <w:rFonts w:ascii="Arial" w:cs="Arial" w:eastAsia="Arial" w:hAnsi="Arial"/>
        </w:rPr>
        <w:t xml:space="preserve">7.2 Model Performance</w:t>
      </w:r>
    </w:p>
    <w:p>
      <w:pPr>
        <w:pStyle w:val="ListParagraph"/>
        <w:numPr>
          <w:ilvl w:val="0"/>
          <w:numId w:val="2"/>
        </w:numPr>
      </w:pPr>
      <w:r>
        <w:rPr>
          <w:rFonts w:ascii="Arial" w:cs="Arial" w:eastAsia="Arial" w:hAnsi="Arial"/>
          <w:sz w:val="20"/>
          <w:szCs w:val="20"/>
        </w:rPr>
        <w:t xml:space="preserve">Actual vs predicted PD by tier (requires DWH outcome join)</w:t>
      </w:r>
    </w:p>
    <w:p>
      <w:pPr>
        <w:pStyle w:val="ListParagraph"/>
        <w:numPr>
          <w:ilvl w:val="0"/>
          <w:numId w:val="2"/>
        </w:numPr>
      </w:pPr>
      <w:r>
        <w:rPr>
          <w:rFonts w:ascii="Arial" w:cs="Arial" w:eastAsia="Arial" w:hAnsi="Arial"/>
          <w:sz w:val="20"/>
          <w:szCs w:val="20"/>
        </w:rPr>
        <w:t xml:space="preserve">Gini / KS / AUC-ROC over time (model_monitoring_snapshot)</w:t>
      </w:r>
    </w:p>
    <w:p>
      <w:pPr>
        <w:pStyle w:val="ListParagraph"/>
        <w:numPr>
          <w:ilvl w:val="0"/>
          <w:numId w:val="2"/>
        </w:numPr>
      </w:pPr>
      <w:r>
        <w:rPr>
          <w:rFonts w:ascii="Arial" w:cs="Arial" w:eastAsia="Arial" w:hAnsi="Arial"/>
          <w:sz w:val="20"/>
          <w:szCs w:val="20"/>
        </w:rPr>
        <w:t xml:space="preserve">PSI per factor bin — detect population drift</w:t>
      </w:r>
    </w:p>
    <w:p>
      <w:pPr>
        <w:pStyle w:val="ListParagraph"/>
        <w:numPr>
          <w:ilvl w:val="0"/>
          <w:numId w:val="2"/>
        </w:numPr>
      </w:pPr>
      <w:r>
        <w:rPr>
          <w:rFonts w:ascii="Arial" w:cs="Arial" w:eastAsia="Arial" w:hAnsi="Arial"/>
          <w:sz w:val="20"/>
          <w:szCs w:val="20"/>
        </w:rPr>
        <w:t xml:space="preserve">Default rate by vintage quarter — track seasoning</w:t>
      </w:r>
    </w:p>
    <w:p>
      <w:r>
        <w:rPr>
          <w:rFonts w:ascii="Arial" w:cs="Arial" w:eastAsia="Arial" w:hAnsi="Arial"/>
          <w:sz w:val="20"/>
          <w:szCs w:val="20"/>
        </w:rPr>
        <w:t xml:space="preserve"/>
      </w:r>
    </w:p>
    <w:p>
      <w:pPr>
        <w:pStyle w:val="Heading2"/>
      </w:pPr>
      <w:r>
        <w:rPr>
          <w:rFonts w:ascii="Arial" w:cs="Arial" w:eastAsia="Arial" w:hAnsi="Arial"/>
        </w:rPr>
        <w:t xml:space="preserve">7.3 Default Tracking Audit</w:t>
      </w:r>
    </w:p>
    <w:p>
      <w:pPr>
        <w:pStyle w:val="ListParagraph"/>
        <w:numPr>
          <w:ilvl w:val="0"/>
          <w:numId w:val="2"/>
        </w:numPr>
      </w:pPr>
      <w:r>
        <w:rPr>
          <w:rFonts w:ascii="Arial" w:cs="Arial" w:eastAsia="Arial" w:hAnsi="Arial"/>
          <w:sz w:val="20"/>
          <w:szCs w:val="20"/>
        </w:rPr>
        <w:t xml:space="preserve">Missing field frequency by factor (scoring_defaults_applied) — identify data quality issues</w:t>
      </w:r>
    </w:p>
    <w:p>
      <w:pPr>
        <w:pStyle w:val="ListParagraph"/>
        <w:numPr>
          <w:ilvl w:val="0"/>
          <w:numId w:val="2"/>
        </w:numPr>
      </w:pPr>
      <w:r>
        <w:rPr>
          <w:rFonts w:ascii="Arial" w:cs="Arial" w:eastAsia="Arial" w:hAnsi="Arial"/>
          <w:sz w:val="20"/>
          <w:szCs w:val="20"/>
        </w:rPr>
        <w:t xml:space="preserve">Score sensitivity: impact on composite score when a field is NULL vs populated</w:t>
      </w:r>
    </w:p>
    <w:p>
      <w:pPr>
        <w:pStyle w:val="ListParagraph"/>
        <w:numPr>
          <w:ilvl w:val="0"/>
          <w:numId w:val="2"/>
        </w:numPr>
      </w:pPr>
      <w:r>
        <w:rPr>
          <w:rFonts w:ascii="Arial" w:cs="Arial" w:eastAsia="Arial" w:hAnsi="Arial"/>
          <w:sz w:val="20"/>
          <w:szCs w:val="20"/>
        </w:rPr>
        <w:t xml:space="preserve">Dealer watchlist trend: DR trajectory per dealer over time</w:t>
      </w:r>
    </w:p>
    <w:p>
      <w:r>
        <w:rPr>
          <w:rFonts w:ascii="Arial" w:cs="Arial" w:eastAsia="Arial" w:hAnsi="Arial"/>
          <w:sz w:val="20"/>
          <w:szCs w:val="20"/>
        </w:rPr>
        <w:t xml:space="preserve"/>
      </w:r>
    </w:p>
    <w:p>
      <w:pPr>
        <w:pStyle w:val="Heading2"/>
      </w:pPr>
      <w:r>
        <w:rPr>
          <w:rFonts w:ascii="Arial" w:cs="Arial" w:eastAsia="Arial" w:hAnsi="Arial"/>
        </w:rPr>
        <w:t xml:space="preserve">7.4 Operational Metrics</w:t>
      </w:r>
    </w:p>
    <w:p>
      <w:pPr>
        <w:pStyle w:val="ListParagraph"/>
        <w:numPr>
          <w:ilvl w:val="0"/>
          <w:numId w:val="2"/>
        </w:numPr>
      </w:pPr>
      <w:r>
        <w:rPr>
          <w:rFonts w:ascii="Arial" w:cs="Arial" w:eastAsia="Arial" w:hAnsi="Arial"/>
          <w:sz w:val="20"/>
          <w:szCs w:val="20"/>
        </w:rPr>
        <w:t xml:space="preserve">Scoring latency by day (processing_time_ms) — SLA monitoring</w:t>
      </w:r>
    </w:p>
    <w:p>
      <w:pPr>
        <w:pStyle w:val="ListParagraph"/>
        <w:numPr>
          <w:ilvl w:val="0"/>
          <w:numId w:val="2"/>
        </w:numPr>
      </w:pPr>
      <w:r>
        <w:rPr>
          <w:rFonts w:ascii="Arial" w:cs="Arial" w:eastAsia="Arial" w:hAnsi="Arial"/>
          <w:sz w:val="20"/>
          <w:szCs w:val="20"/>
        </w:rPr>
        <w:t xml:space="preserve">Request volume by hour — capacity planning</w:t>
      </w:r>
    </w:p>
    <w:p>
      <w:pPr>
        <w:pStyle w:val="ListParagraph"/>
        <w:numPr>
          <w:ilvl w:val="0"/>
          <w:numId w:val="2"/>
        </w:numPr>
      </w:pPr>
      <w:r>
        <w:rPr>
          <w:rFonts w:ascii="Arial" w:cs="Arial" w:eastAsia="Arial" w:hAnsi="Arial"/>
          <w:sz w:val="20"/>
          <w:szCs w:val="20"/>
        </w:rPr>
        <w:t xml:space="preserve">Error rates and retry patterns</w:t>
      </w:r>
    </w:p>
    <w:p>
      <w:r>
        <w:rPr>
          <w:rFonts w:ascii="Arial" w:cs="Arial" w:eastAsia="Arial" w:hAnsi="Arial"/>
          <w:sz w:val="20"/>
          <w:szCs w:val="20"/>
        </w:rPr>
        <w:t xml:space="preserve"/>
      </w:r>
    </w:p>
    <w:p>
      <w:r>
        <w:br w:type="page"/>
      </w:r>
    </w:p>
    <w:p>
      <w:pPr>
        <w:pStyle w:val="Heading1"/>
      </w:pPr>
      <w:r>
        <w:rPr>
          <w:rFonts w:ascii="Arial" w:cs="Arial" w:eastAsia="Arial" w:hAnsi="Arial"/>
        </w:rPr>
        <w:t xml:space="preserve">8. Implementation Notes</w:t>
      </w:r>
    </w:p>
    <w:p>
      <w:pPr>
        <w:pStyle w:val="Heading2"/>
      </w:pPr>
      <w:r>
        <w:rPr>
          <w:rFonts w:ascii="Arial" w:cs="Arial" w:eastAsia="Arial" w:hAnsi="Arial"/>
        </w:rPr>
        <w:t xml:space="preserve">8.1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API Framework</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FastAPI (Python 3.10+). Async endpoint. Pydantic v2 validation.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Database</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PostgreSQL. Schema: lt_risk_engine. Managed via Alembic migrations.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ORM</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SQLAlchemy 2.0 (async).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Auth</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Keycloak JWT validation (disabled in dev via ENV 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Messaging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Kafka (confluent-kafka). Publishes risk.scored event on every assessment.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Logging</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structlog. JSON structured logs. assessment_id as correlation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Containerisation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Docker + docker-compose. Production: Kubernetes via LeaseTeq’s infrastructure.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Tests</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pytest. 48 tests passing (unit: factors, DSCR, engine; integration: end-to-end scenarios).</w:t>
            </w:r>
          </w:p>
        </w:tc>
      </w:tr>
    </w:tbl>
    <w:p>
      <w:r>
        <w:rPr>
          <w:rFonts w:ascii="Arial" w:cs="Arial" w:eastAsia="Arial" w:hAnsi="Arial"/>
          <w:sz w:val="20"/>
          <w:szCs w:val="20"/>
        </w:rPr>
        <w:t xml:space="preserve"/>
      </w:r>
    </w:p>
    <w:p>
      <w:pPr>
        <w:pStyle w:val="Heading2"/>
      </w:pPr>
      <w:r>
        <w:rPr>
          <w:rFonts w:ascii="Arial" w:cs="Arial" w:eastAsia="Arial" w:hAnsi="Arial"/>
        </w:rPr>
        <w:t xml:space="preserve">8.2 Migration Plan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9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Migration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initial_schema</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risk_assessment table, model_version base.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calibration_tables</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scoring_factor_bins, admin endpoint tables.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seed_v1_2_config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Seeds model v1.2 factor bins and tier thresholds.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004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monitoring_and_defaults</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scoring_defaults_applied, population_segment_performance, model_monitoring_snapshot, dealer_risk_metrics, woe_scorecard_params. Extended risk_assessment columns.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seed_woe_params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Populates woe_scorecard_params with all 26 WoE bins + intercept + 6 coefficients from development sample.</w:t>
            </w:r>
          </w:p>
        </w:tc>
      </w:tr>
    </w:tbl>
    <w:p>
      <w:r>
        <w:rPr>
          <w:rFonts w:ascii="Arial" w:cs="Arial" w:eastAsia="Arial" w:hAnsi="Arial"/>
          <w:sz w:val="20"/>
          <w:szCs w:val="20"/>
        </w:rPr>
        <w:t xml:space="preserve"/>
      </w:r>
    </w:p>
    <w:p>
      <w:pPr>
        <w:pStyle w:val="Heading2"/>
      </w:pPr>
      <w:r>
        <w:rPr>
          <w:rFonts w:ascii="Arial" w:cs="Arial" w:eastAsia="Arial" w:hAnsi="Arial"/>
        </w:rPr>
        <w:t xml:space="preserve">8.3 DSCR Calculation Logic</w:t>
      </w:r>
    </w:p>
    <w:p>
      <w:r>
        <w:rPr>
          <w:rFonts w:ascii="Arial" w:cs="Arial" w:eastAsia="Arial" w:hAnsi="Arial"/>
          <w:sz w:val="20"/>
          <w:szCs w:val="20"/>
        </w:rPr>
        <w:t xml:space="preserve">B2C formula (primary): DSCR = (net_income − monthly_housing_cost − monthly_other_obligations) / monthly_payment</w:t>
      </w:r>
    </w:p>
    <w:p>
      <w:r>
        <w:rPr>
          <w:rFonts w:ascii="Arial" w:cs="Arial" w:eastAsia="Arial" w:hAnsi="Arial"/>
          <w:sz w:val="20"/>
          <w:szCs w:val="20"/>
        </w:rPr>
        <w:t xml:space="preserve">B2B formula: DSCR = EBITDA / (12 × monthly_payment)</w:t>
      </w:r>
    </w:p>
    <w:p>
      <w:r>
        <w:rPr>
          <w:rFonts w:ascii="Arial" w:cs="Arial" w:eastAsia="Arial" w:hAnsi="Arial"/>
          <w:sz w:val="20"/>
          <w:szCs w:val="20"/>
        </w:rPr>
        <w:t xml:space="preserve">Source: DSCR is now a direct field in SST (person_other_information_sst.dscr_customer_dscr). This replaces the DWH-calculated value used previously. Engine uses SST value if present; falls back to calculation from income fields if NULL.</w:t>
      </w:r>
    </w:p>
    <w:p>
      <w:r>
        <w:rPr>
          <w:rFonts w:ascii="Arial" w:cs="Arial" w:eastAsia="Arial" w:hAnsi="Arial"/>
          <w:sz w:val="20"/>
          <w:szCs w:val="20"/>
        </w:rPr>
        <w:t xml:space="preserve"/>
      </w:r>
    </w:p>
    <w:p>
      <w:pPr>
        <w:pStyle w:val="Heading2"/>
      </w:pPr>
      <w:r>
        <w:rPr>
          <w:rFonts w:ascii="Arial" w:cs="Arial" w:eastAsia="Arial" w:hAnsi="Arial"/>
        </w:rPr>
        <w:t xml:space="preserve">8.4 GitHub Repository</w:t>
      </w:r>
    </w:p>
    <w:p>
      <w:r>
        <w:rPr>
          <w:rFonts w:ascii="Arial" w:cs="Arial" w:eastAsia="Arial" w:hAnsi="Arial"/>
          <w:sz w:val="20"/>
          <w:szCs w:val="20"/>
        </w:rPr>
        <w:t xml:space="preserve">Code: https://github.com/aralytiks-lab/riskengine</w:t>
      </w:r>
    </w:p>
    <w:p>
      <w:r>
        <w:rPr>
          <w:rFonts w:ascii="Arial" w:cs="Arial" w:eastAsia="Arial" w:hAnsi="Arial"/>
          <w:sz w:val="20"/>
          <w:szCs w:val="20"/>
        </w:rPr>
        <w:t xml:space="preserve">Live demo UI: https://aralytiks-lab.github.io/riskengine/calibration-ui/index.html</w:t>
      </w:r>
    </w:p>
    <w:p>
      <w:r>
        <w:rPr>
          <w:rFonts w:ascii="Arial" w:cs="Arial" w:eastAsia="Arial" w:hAnsi="Arial"/>
          <w:sz w:val="20"/>
          <w:szCs w:val="20"/>
        </w:rPr>
        <w:t xml:space="preserve">Data flow diagram: https://aralytiks-lab.github.io/riskengine/calibration-ui/flow.html</w:t>
      </w:r>
    </w:p>
    <w:p>
      <w:r>
        <w:rPr>
          <w:rFonts w:ascii="Arial" w:cs="Arial" w:eastAsia="Arial" w:hAnsi="Arial"/>
          <w:sz w:val="20"/>
          <w:szCs w:val="20"/>
        </w:rPr>
        <w:t xml:space="preserve"/>
      </w:r>
    </w:p>
    <w:p>
      <w:pPr>
        <w:pStyle w:val="Heading2"/>
      </w:pPr>
      <w:r>
        <w:rPr>
          <w:rFonts w:ascii="Arial" w:cs="Arial" w:eastAsia="Arial" w:hAnsi="Arial"/>
        </w:rPr>
        <w:t xml:space="preserve">8.5 Key Open Items for Next Phase</w:t>
      </w:r>
    </w:p>
    <w:p>
      <w:pPr>
        <w:pStyle w:val="ListParagraph"/>
        <w:numPr>
          <w:ilvl w:val="0"/>
          <w:numId w:val="2"/>
        </w:numPr>
      </w:pPr>
      <w:r>
        <w:rPr>
          <w:rFonts w:ascii="Arial" w:cs="Arial" w:eastAsia="Arial" w:hAnsi="Arial"/>
          <w:sz w:val="20"/>
          <w:szCs w:val="20"/>
        </w:rPr>
        <w:t xml:space="preserve">Confirm permit_type field name and values from SST with LeaseTeq team</w:t>
      </w:r>
    </w:p>
    <w:p>
      <w:pPr>
        <w:pStyle w:val="ListParagraph"/>
        <w:numPr>
          <w:ilvl w:val="0"/>
          <w:numId w:val="2"/>
        </w:numPr>
      </w:pPr>
      <w:r>
        <w:rPr>
          <w:rFonts w:ascii="Arial" w:cs="Arial" w:eastAsia="Arial" w:hAnsi="Arial"/>
          <w:sz w:val="20"/>
          <w:szCs w:val="20"/>
        </w:rPr>
        <w:t xml:space="preserve">Align DSCR definition with underwriting team — which obligations are included in denominator</w:t>
      </w:r>
    </w:p>
    <w:p>
      <w:pPr>
        <w:pStyle w:val="ListParagraph"/>
        <w:numPr>
          <w:ilvl w:val="0"/>
          <w:numId w:val="2"/>
        </w:numPr>
      </w:pPr>
      <w:r>
        <w:rPr>
          <w:rFonts w:ascii="Arial" w:cs="Arial" w:eastAsia="Arial" w:hAnsi="Arial"/>
          <w:sz w:val="20"/>
          <w:szCs w:val="20"/>
        </w:rPr>
        <w:t xml:space="preserve">Implement quarterly_segment_refresh.py batch job (reads DWH, writes to population_segment_performance)</w:t>
      </w:r>
    </w:p>
    <w:p>
      <w:pPr>
        <w:pStyle w:val="ListParagraph"/>
        <w:numPr>
          <w:ilvl w:val="0"/>
          <w:numId w:val="2"/>
        </w:numPr>
      </w:pPr>
      <w:r>
        <w:rPr>
          <w:rFonts w:ascii="Arial" w:cs="Arial" w:eastAsia="Arial" w:hAnsi="Arial"/>
          <w:sz w:val="20"/>
          <w:szCs w:val="20"/>
        </w:rPr>
        <w:t xml:space="preserve">B2B scoring extension: Zefix API integration for company verification and EBITDA-based DSCR</w:t>
      </w:r>
    </w:p>
    <w:p>
      <w:pPr>
        <w:pStyle w:val="ListParagraph"/>
        <w:numPr>
          <w:ilvl w:val="0"/>
          <w:numId w:val="2"/>
        </w:numPr>
      </w:pPr>
      <w:r>
        <w:rPr>
          <w:rFonts w:ascii="Arial" w:cs="Arial" w:eastAsia="Arial" w:hAnsi="Arial"/>
          <w:sz w:val="20"/>
          <w:szCs w:val="20"/>
        </w:rPr>
        <w:t xml:space="preserve">Fraud risk factor: integrate payslip OCR service output once deployed</w:t>
      </w:r>
    </w:p>
    <w:p>
      <w:pPr>
        <w:pStyle w:val="ListParagraph"/>
        <w:numPr>
          <w:ilvl w:val="0"/>
          <w:numId w:val="2"/>
        </w:numPr>
      </w:pPr>
      <w:r>
        <w:rPr>
          <w:rFonts w:ascii="Arial" w:cs="Arial" w:eastAsia="Arial" w:hAnsi="Arial"/>
          <w:sz w:val="20"/>
          <w:szCs w:val="20"/>
        </w:rPr>
        <w:t xml:space="preserve">Recalibrate PD estimates after vintage maturation (target: end of 2026 Q2)</w:t>
      </w:r>
    </w:p>
    <w:p>
      <w:r>
        <w:rPr>
          <w:rFonts w:ascii="Arial" w:cs="Arial" w:eastAsia="Arial" w:hAnsi="Arial"/>
          <w:sz w:val="20"/>
          <w:szCs w:val="20"/>
        </w:rPr>
        <w:t xml:space="preserve"/>
      </w:r>
    </w:p>
    <w:p>
      <w:pPr>
        <w:pStyle w:val="Heading1"/>
      </w:pPr>
      <w:r>
        <w:rPr>
          <w:rFonts w:ascii="Arial" w:cs="Arial" w:eastAsia="Arial" w:hAnsi="Arial"/>
        </w:rPr>
        <w:t xml:space="preserve">9. Changelog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3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Jan 2026</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Initial scorecard specification (WoE A–E bands).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Jan 2026</w:t>
            </w:r>
          </w:p>
        </w:tc>
        <w:tc>
          <w:tcPr>
            <w:tcW w:type="dxa" w:w="6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Added fraud risk factor, nationality/permit scoring, down payment threshold.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Jan 2026</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9"/>
                <w:szCs w:val="19"/>
              </w:rPr>
              <w:t xml:space="preserve">Full microservice implementation. 10 factors, 4-tier system, 8 business rules, complete DB schema, 48 tests.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Feb 2026</w:t>
            </w:r>
          </w:p>
        </w:tc>
        <w:tc>
          <w:tcPr>
            <w:tcW w:type="dxa" w:w="6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sz w:val="19"/>
                <w:szCs w:val="19"/>
              </w:rPr>
              <w:t xml:space="preserve">Updated data flow (SST as source, ODS/DWH downstream only). DSCR confirmed as direct SST field. Added historical data integration design (dealer metrics nightly refresh, quarterly segment performance). Extended DB schema (migrations 004/005): defaults audit, model monitoring, WoE params seed. Backtest findings documented. Analytics capabilities section added.</w:t>
            </w:r>
          </w:p>
        </w:tc>
      </w:tr>
    </w:tbl>
    <w:p>
      <w:r>
        <w:rPr>
          <w:rFonts w:ascii="Arial" w:cs="Arial" w:eastAsia="Arial" w:hAnsi="Arial"/>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tabs>
        <w:tab w:val="right" w:pos="9360"/>
      </w:tabs>
    </w:pPr>
    <w:r>
      <w:rPr>
        <w:rFonts w:ascii="Arial" w:cs="Arial" w:eastAsia="Arial" w:hAnsi="Arial"/>
        <w:color w:val="666666"/>
        <w:sz w:val="16"/>
        <w:szCs w:val="16"/>
      </w:rPr>
      <w:t xml:space="preserve">LT-RE-SPEC-001  |  Internal Use Only</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tabs>
        <w:tab w:val="right" w:pos="9360"/>
      </w:tabs>
    </w:pPr>
    <w:r>
      <w:rPr>
        <w:rFonts w:ascii="Arial" w:cs="Arial" w:eastAsia="Arial" w:hAnsi="Arial"/>
        <w:color w:val="666666"/>
        <w:sz w:val="16"/>
        <w:szCs w:val="16"/>
      </w:rPr>
      <w:t xml:space="preserve">LeaseTeq AG  |  Risk Engine Specification</w:t>
    </w:r>
    <w:r>
      <w:rPr>
        <w:sz w:val="16"/>
        <w:szCs w:val="16"/>
      </w:rPr>
      <w:t xml:space="preserve">	</w:t>
    </w:r>
    <w:r>
      <w:rPr>
        <w:rFonts w:ascii="Arial" w:cs="Arial" w:eastAsia="Arial" w:hAnsi="Arial"/>
        <w:b/>
        <w:bCs/>
        <w:color w:val="C00000"/>
        <w:sz w:val="16"/>
        <w:szCs w:val="16"/>
      </w:rPr>
      <w:t xml:space="preserve">v1.3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2026-02-26T22:29:06.147Z</dcterms:created>
  <dcterms:modified xsi:type="dcterms:W3CDTF">2026-02-26T22:29:06.147Z</dcterms:modified>
</cp:coreProperties>
</file>

<file path=docProps/custom.xml><?xml version="1.0" encoding="utf-8"?>
<Properties xmlns="http://schemas.openxmlformats.org/officeDocument/2006/custom-properties" xmlns:vt="http://schemas.openxmlformats.org/officeDocument/2006/docPropsVTypes"/>
</file>