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52"/>
          <w:u w:val="none"/>
          <w:effect w:val="none"/>
          <w:shd w:fill="auto" w:val="clear"/>
        </w:rPr>
      </w:pPr>
      <w:bookmarkStart w:id="0" w:name="docs-internal-guid-3ee9b235-7fff-ed91-23"/>
      <w:bookmarkEnd w:id="0"/>
      <w:r>
        <w:rPr>
          <w:rFonts w:ascii="Arial;sans-serif" w:hAnsi="Arial;sans-serif"/>
          <w:b w:val="false"/>
          <w:i w:val="false"/>
          <w:caps w:val="false"/>
          <w:smallCaps w:val="false"/>
          <w:strike w:val="false"/>
          <w:dstrike w:val="false"/>
          <w:color w:val="000000"/>
          <w:sz w:val="52"/>
          <w:u w:val="none"/>
          <w:effect w:val="none"/>
          <w:shd w:fill="auto" w:val="clear"/>
        </w:rPr>
        <w:t>The History of US Trade Wars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An Examination of Economic Conflicts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Trade wars have been a recurring theme in the history of United States economics. These conflicts, characterized by tariffs, quotas, and other trade barriers, often emerge from a desire to protect domestic industries, retaliate against unfair practices, or exert geopolitical influence. This article explores the key episodes in the history of US trade wars, their causes, and their impacts on both the domestic and global economy.</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Early Trade Conflicts: The American Revolution and Post-Revolutionary Era</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roots of US trade wars can be traced back to the American Revolution. The colonies' rebellion against British mercantile policies, which included restrictive trade practices and high tariffs, set the stage for future economic conflicts. The Navigation Acts, imposed by Britain, aimed to control and monopolize colonial trade, leading to widespread discontent and eventual revolution.</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After gaining independence, the United States faced challenges in establishing its own trade policies. The fledgling nation enacted tariffs to protect its nascent industries from foreign competition. The Tariff Act of 1789, the first major piece of legislation passed by Congress, aimed to generate revenue and protect domestic manufacturing.</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The 19th Century: Industrialization and Protectionism</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As the US industrialized, trade policies became increasingly protectionist. The Tariff of 1828, known as the "Tariff of Abominations," was designed to shield Northern manufacturers from foreign competition but sparked significant opposition from Southern states, who relied on imported goods.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Civil War era saw further protectionist measures, with high tariffs implemented to fund the war effort and support industrial growth. Post-war, the Morrill Tariff of 1861 continued the trend of protecting domestic industries, fostering rapid industrialization.</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Early 20th Century: Reciprocal Trade Agreements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early 20th century marked a shift towards more reciprocal trade agreements. The Smoot-Hawley Tariff Act of 1930, however, represented a significant departure from this trend. Enacted during the Great Depression, the act raised tariffs on thousands of imports, aiming to protect American jobs and industries. Instead, it exacerbated the global economic downturn, leading to retaliatory tariffs from other nations and a steep decline in international trade.</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disastrous effects of the Smoot-Hawley Tariff catalyzed a new approach to trade policy. The Reciprocal Trade Agreements Act of 1934 empowered the president to negotiate tariff reductions with other countries, fostering a more cooperative global trade environment.</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Post-WWII Era: The Rise of Global Trade Institutions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aftermath of World War II saw the establishment of key international trade institutions. The General Agreement on Tariffs and Trade (GATT), created in 1947, aimed to reduce trade barriers and promote economic cooperation among nations. The United States played a pivotal role in this initiative, recognizing the importance of a stable and open global trade system.</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During this period, trade conflicts were often managed within the framework of GATT, reducing the incidence of outright trade wars. However, tensions still arose, particularly with countries like Japan, whose rapidly growing economy and export-driven model led to friction with US industries.</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Late 20th Century: Trade Conflicts with Japan</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1980s and 1990s witnessed significant trade tensions between the US and Japan. The US accused Japan of unfair trade practices, including market barriers and intellectual property theft. In response, the United States imposed tariffs and negotiated trade agreements aimed at opening Japanese markets to American goods.</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These conflicts highlighted the complexities of global trade, where economic interdependence made outright trade wars increasingly detrimental. The resolution of these disputes often involved diplomatic negotiations and compromises, reflecting the evolving nature of international trade relations.</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21st Century: Trade Wars with China</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early 21st century has seen the emergence of China as a major economic competitor to the United States. Trade tensions between the two nations have escalated, driven by concerns over intellectual property theft, trade imbalances, and market access. The US has implemented tariffs on Chinese goods, prompting retaliatory measures from China.</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trade war with China has had significant impacts on global supply chains, investment flows, and market stability. Both countries have sought to balance protectionist measures with the need for economic cooperation, navigating a complex and often contentious trade relationship.</w:t>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Conclusion</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history of US trade wars reflects the evolving dynamics of global economics and geopolitics. From early conflicts rooted in mercantilist policies to modern struggles with emerging economic powers, these trade wars have shaped the US economy and its position in the world. Understanding this history provides valuable insights into the ongoing challenges and opportunities in international trade.</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Trade wars, while often motivated by the desire to protect domestic interests, underscore the interconnectedness of the global economy. As the world continues to grapple with economic uncertainties, the lessons from past trade conflicts offer guidance for navigating future economic landscapes.</w:t>
      </w:r>
    </w:p>
    <w:p>
      <w:pPr>
        <w:pStyle w:val="BodyText"/>
        <w:bidi w:val="0"/>
        <w:spacing w:lineRule="auto" w:line="331" w:before="240" w:after="24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odyText"/>
        <w:bidi w:val="0"/>
        <w:spacing w:before="0" w:after="140"/>
        <w:jc w:val="start"/>
        <w:rPr/>
      </w:pPr>
      <w:r>
        <w:rPr>
          <w:b w:val="false"/>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sans-serif"/>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LibreOffice/25.2.1.2$Windows_X86_64 LibreOffice_project/d3abf4aee5fd705e4a92bba33a32f40bc4e56f49</Application>
  <AppVersion>15.0000</AppVersion>
  <Pages>4</Pages>
  <Words>780</Words>
  <Characters>4661</Characters>
  <CharactersWithSpaces>5419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2025-03-12T22:16:11Z</dcterms:created>
  <dc:creator/>
  <dc:description/>
  <dc:language>en-US</dc:language>
  <cp:lastModifiedBy/>
  <dcterms:modified xsi:type="dcterms:W3CDTF">2025-03-12T22:16:39Z</dcterms:modified>
  <cp:revision>1</cp:revision>
  <dc:subject/>
  <dc:title/>
</cp:coreProperties>
</file>