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619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 xml:space="preserve">AREA DE DESARROLLO</w:t>
      </w:r>
    </w:p>
    <w:p>
      <w:pPr>
        <w:spacing w:after="160" w:before="800"/>
        <w:jc w:val="center"/>
      </w:pPr>
      <w:r>
        <w:rPr>
          <w:b/>
          <w:bCs/>
          <w:color w:val="243B53"/>
          <w:sz w:val="34"/>
          <w:szCs w:val="34"/>
        </w:rPr>
        <w:t xml:space="preserve">MANUAL TECNICO</w:t>
      </w:r>
    </w:p>
    <w:p>
      <w:pPr>
        <w:spacing w:after="50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A6A6A6" w:sz="1"/>
          <w:left w:val="single" w:color="A6A6A6" w:sz="1"/>
          <w:bottom w:val="single" w:color="A6A6A6" w:sz="1"/>
          <w:right w:val="single" w:color="A6A6A6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MG-DES-MTE-001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Emitido para cliente interno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2606D"/>
          <w:sz w:val="20"/>
          <w:szCs w:val="20"/>
        </w:rPr>
        <w:t xml:space="preserve">Documento para cliente interno</w:t>
      </w:r>
    </w:p>
    <w:p>
      <w:r>
        <w:br w:type="page"/>
      </w:r>
    </w:p>
    <w:p>
      <w:pPr>
        <w:pStyle w:val="Heading1"/>
        <w:pBdr>
          <w:bottom w:val="single" w:color="auto" w:sz="6" w:space="1"/>
        </w:pBdr>
        <w:spacing w:after="120" w:before="220"/>
      </w:pPr>
      <w:r>
        <w:rPr>
          <w:b/>
          <w:bCs/>
          <w:color w:val="1F3A5F"/>
          <w:sz w:val="30"/>
          <w:szCs w:val="30"/>
        </w:rPr>
        <w:t xml:space="preserve">Manual Tecnico</w:t>
      </w:r>
    </w:p>
    <w:p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Documentar la arquitectura, configuracion y mantenimiento del sistema para soporte y continuidad.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1. Resumen de arquitectura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El sistema esta compuesto por dos partes: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Frontend web</w:t>
      </w:r>
      <w:r>
        <w:rPr>
          <w:sz w:val="22"/>
          <w:szCs w:val="22"/>
        </w:rPr>
        <w:t xml:space="preserve">: aplicacion</w:t>
      </w:r>
      <w:r>
        <w:rPr>
          <w:rFonts w:ascii="Consolas" w:cs="Consolas" w:eastAsia="Consolas" w:hAnsi="Consolas"/>
          <w:sz w:val="20"/>
          <w:szCs w:val="20"/>
        </w:rPr>
        <w:t xml:space="preserve">React + Vite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Fuente de datos</w:t>
      </w:r>
      <w:r>
        <w:rPr>
          <w:sz w:val="22"/>
          <w:szCs w:val="22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Google Sheets + Google Apps Script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Flujo general: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El frontend consume una URL configurada en</w:t>
      </w:r>
      <w:r>
        <w:rPr>
          <w:rFonts w:ascii="Consolas" w:cs="Consolas" w:eastAsia="Consolas" w:hAnsi="Consolas"/>
          <w:sz w:val="20"/>
          <w:szCs w:val="20"/>
        </w:rPr>
        <w:t xml:space="preserve">VITE_LOTS_API_URL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El Apps Script lee la hoja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  <w:r>
        <w:rPr>
          <w:sz w:val="22"/>
          <w:szCs w:val="22"/>
        </w:rPr>
        <w:t xml:space="preserve">del Google Sheet.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El endpoint devuelve JSON.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El frontend normaliza la data, la muestra y calcula resultados comerciales en cliente.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El usuario puede exportar una proforma PDF desde el navegador.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2. Estructura principal del proyecto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src/App.jsx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src/hooks/useLots.js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src/lib/lotsApi.js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src/lib/calculator.js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src/components/QuoteSheet.jsx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src/config/appConfig.js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apps-script/Code.gs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3. Stack tecnologico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Node.js</w:t>
      </w:r>
      <w:r>
        <w:rPr>
          <w:sz w:val="22"/>
          <w:szCs w:val="22"/>
        </w:rPr>
        <w:t xml:space="preserve">para entorno de desarrollo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React 19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Vite 7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html2pdf.js</w:t>
      </w:r>
      <w:r>
        <w:rPr>
          <w:sz w:val="22"/>
          <w:szCs w:val="22"/>
        </w:rPr>
        <w:t xml:space="preserve">para exportacion PDF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react-icons</w:t>
      </w:r>
      <w:r>
        <w:rPr>
          <w:sz w:val="22"/>
          <w:szCs w:val="22"/>
        </w:rPr>
        <w:t xml:space="preserve">para iconografia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Google Apps Script</w:t>
      </w:r>
      <w:r>
        <w:rPr>
          <w:sz w:val="22"/>
          <w:szCs w:val="22"/>
        </w:rPr>
        <w:t xml:space="preserve">para exposicion de datos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Google Sheets</w:t>
      </w:r>
      <w:r>
        <w:rPr>
          <w:sz w:val="22"/>
          <w:szCs w:val="22"/>
        </w:rPr>
        <w:t xml:space="preserve">como fuente operativa de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Vercel</w:t>
      </w:r>
      <w:r>
        <w:rPr>
          <w:sz w:val="22"/>
          <w:szCs w:val="22"/>
        </w:rPr>
        <w:t xml:space="preserve">como destino de despliegue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4. Configuracion local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4.1 Variables de entorno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Archivo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sz w:val="22"/>
          <w:szCs w:val="22"/>
        </w:rPr>
        <w:t xml:space="preserve">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VITE_LOTS_API_URL=https://script.google.com/macros/s/TU_DEPLOYMENT_ID/exec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Si la variable no existe, el sistema usa la data local definida en src/data/sampleLots.js.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4.2 Instalacion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dev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4.3 Build de produccion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5. Modelo de datos esperado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La hoja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  <w:r>
        <w:rPr>
          <w:sz w:val="22"/>
          <w:szCs w:val="22"/>
        </w:rPr>
        <w:t xml:space="preserve">debe contener estos encabezados exactos: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ID | ESTADO | MANZANA | NUM_LOTE | AREA | PRECIO_M2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Mapeo funcional: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sz w:val="22"/>
          <w:szCs w:val="22"/>
        </w:rPr>
        <w:t xml:space="preserve">: identificador unico del lote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ESTADO</w:t>
      </w:r>
      <w:r>
        <w:rPr>
          <w:sz w:val="22"/>
          <w:szCs w:val="22"/>
        </w:rPr>
        <w:t xml:space="preserve">: define si puede cotizarse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MANZANA</w:t>
      </w:r>
      <w:r>
        <w:rPr>
          <w:sz w:val="22"/>
          <w:szCs w:val="22"/>
        </w:rPr>
        <w:t xml:space="preserve">: agrupador para seleccion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NUM_LOTE</w:t>
      </w:r>
      <w:r>
        <w:rPr>
          <w:sz w:val="22"/>
          <w:szCs w:val="22"/>
        </w:rPr>
        <w:t xml:space="preserve">: numero visible del lote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AREA</w:t>
      </w:r>
      <w:r>
        <w:rPr>
          <w:sz w:val="22"/>
          <w:szCs w:val="22"/>
        </w:rPr>
        <w:t xml:space="preserve">: area del lote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PRECIO_M2</w:t>
      </w:r>
      <w:r>
        <w:rPr>
          <w:sz w:val="22"/>
          <w:szCs w:val="22"/>
        </w:rPr>
        <w:t xml:space="preserve">: precio unitario por metro cuadrado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6. Logica funcional relevante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6.1 Disponibilidad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Un lote solo se considera cotizable cuando: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estado.trim().toLowerCase() === "disponible"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Cualquier otro valor bloquea la edicion comercial y la emision del PDF.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6.2 Calculo comercial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Formula base: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precio_base = area * precio_m2</w:t>
      </w:r>
      <w:r>
        <w:rPr>
          <w:rFonts w:ascii="Consolas" w:cs="Consolas" w:eastAsia="Consolas" w:hAnsi="Consolas"/>
          <w:sz w:val="18"/>
          <w:szCs w:val="18"/>
        </w:rPr>
        <w:br/>
        <w:t xml:space="preserve">descuento = precio_base * (descuento_pct / 100)</w:t>
      </w:r>
      <w:r>
        <w:rPr>
          <w:rFonts w:ascii="Consolas" w:cs="Consolas" w:eastAsia="Consolas" w:hAnsi="Consolas"/>
          <w:sz w:val="18"/>
          <w:szCs w:val="18"/>
        </w:rPr>
        <w:br/>
        <w:t xml:space="preserve">precio_final = precio_base - descuento</w:t>
      </w:r>
      <w:r>
        <w:rPr>
          <w:rFonts w:ascii="Consolas" w:cs="Consolas" w:eastAsia="Consolas" w:hAnsi="Consolas"/>
          <w:sz w:val="18"/>
          <w:szCs w:val="18"/>
        </w:rPr>
        <w:br/>
        <w:t xml:space="preserve">inicial = precio_final * (inicial_pct / 100)</w:t>
      </w:r>
      <w:r>
        <w:rPr>
          <w:rFonts w:ascii="Consolas" w:cs="Consolas" w:eastAsia="Consolas" w:hAnsi="Consolas"/>
          <w:sz w:val="18"/>
          <w:szCs w:val="18"/>
        </w:rPr>
        <w:br/>
        <w:t xml:space="preserve">saldo_financiado = max(precio_final - inicial, 0)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6.3 Calculo financiero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Parámetros actuales: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tasa anual editable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inicial editable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plazo fijo</w:t>
      </w:r>
      <w:r>
        <w:rPr>
          <w:rFonts w:ascii="Consolas" w:cs="Consolas" w:eastAsia="Consolas" w:hAnsi="Consolas"/>
          <w:sz w:val="20"/>
          <w:szCs w:val="20"/>
        </w:rPr>
        <w:t xml:space="preserve">180 meses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Tasa mensual usada: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monthlyRate = (1 + annualRateDecimal)^(30/360) - 1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Cuota mensual: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payment = (principal * monthlyRate) / (1 - (1 + monthlyRate)^(-months))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7. Numeracion de proformas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La numeracion se genera en frontend mediante</w:t>
      </w:r>
      <w:r>
        <w:rPr>
          <w:rFonts w:ascii="Consolas" w:cs="Consolas" w:eastAsia="Consolas" w:hAnsi="Consolas"/>
          <w:sz w:val="20"/>
          <w:szCs w:val="20"/>
        </w:rPr>
        <w:t xml:space="preserve">localStorage</w:t>
      </w:r>
      <w:r>
        <w:rPr>
          <w:sz w:val="22"/>
          <w:szCs w:val="22"/>
        </w:rPr>
        <w:t xml:space="preserve">con una clave por fecha: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mgcalc-proforma-seq-YYYYMMDD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Formato visible: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PF-DDMMYY-### 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Implicancia: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cada navegador mantiene su propia secuencia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no existe consecutivo central ni auditoria historica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8. Despliegue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8.1 Frontend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repositorio compatible con</w:t>
      </w:r>
      <w:r>
        <w:rPr>
          <w:rFonts w:ascii="Consolas" w:cs="Consolas" w:eastAsia="Consolas" w:hAnsi="Consolas"/>
          <w:sz w:val="20"/>
          <w:szCs w:val="20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archivo vercel.json con framework</w:t>
      </w:r>
      <w:r>
        <w:rPr>
          <w:rFonts w:ascii="Consolas" w:cs="Consolas" w:eastAsia="Consolas" w:hAnsi="Consolas"/>
          <w:sz w:val="20"/>
          <w:szCs w:val="20"/>
        </w:rPr>
        <w:t xml:space="preserve">vite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configurar la variable</w:t>
      </w:r>
      <w:r>
        <w:rPr>
          <w:rFonts w:ascii="Consolas" w:cs="Consolas" w:eastAsia="Consolas" w:hAnsi="Consolas"/>
          <w:sz w:val="20"/>
          <w:szCs w:val="20"/>
        </w:rPr>
        <w:t xml:space="preserve">VITE_LOTS_API_URL</w:t>
      </w:r>
      <w:r>
        <w:rPr>
          <w:sz w:val="22"/>
          <w:szCs w:val="22"/>
        </w:rPr>
        <w:t xml:space="preserve">en el proyecto desplegado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8.2 Apps Script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Abrir el Google Sheet fuente.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Ir a</w:t>
      </w:r>
      <w:r>
        <w:rPr>
          <w:rFonts w:ascii="Consolas" w:cs="Consolas" w:eastAsia="Consolas" w:hAnsi="Consolas"/>
          <w:sz w:val="20"/>
          <w:szCs w:val="20"/>
        </w:rPr>
        <w:t xml:space="preserve">Extensiones &gt; Apps Script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Copiar el contenido de apps-script/Code.gs.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Reemplazar</w:t>
      </w:r>
      <w:r>
        <w:rPr>
          <w:rFonts w:ascii="Consolas" w:cs="Consolas" w:eastAsia="Consolas" w:hAnsi="Consolas"/>
          <w:sz w:val="20"/>
          <w:szCs w:val="20"/>
        </w:rPr>
        <w:t xml:space="preserve">REEMPLAZAR_CON_TU_SPREADSHEET_ID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Desplegar como</w:t>
      </w:r>
      <w:r>
        <w:rPr>
          <w:rFonts w:ascii="Consolas" w:cs="Consolas" w:eastAsia="Consolas" w:hAnsi="Consolas"/>
          <w:sz w:val="20"/>
          <w:szCs w:val="20"/>
        </w:rPr>
        <w:t xml:space="preserve">Aplicacion web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Conceder acceso</w:t>
      </w:r>
      <w:r>
        <w:rPr>
          <w:rFonts w:ascii="Consolas" w:cs="Consolas" w:eastAsia="Consolas" w:hAnsi="Consolas"/>
          <w:sz w:val="20"/>
          <w:szCs w:val="20"/>
        </w:rPr>
        <w:t xml:space="preserve">Cualquier usuario con el enlace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Copiar la URL publicada al entorno</w:t>
      </w:r>
      <w:r>
        <w:rPr>
          <w:rFonts w:ascii="Consolas" w:cs="Consolas" w:eastAsia="Consolas" w:hAnsi="Consolas"/>
          <w:sz w:val="20"/>
          <w:szCs w:val="20"/>
        </w:rPr>
        <w:t xml:space="preserve">VITE_LOTS_API_URL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9. Mantenimiento operativo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Si cambia la estructura de columnas, debe actualizarse</w:t>
      </w:r>
      <w:r>
        <w:rPr>
          <w:rFonts w:ascii="Consolas" w:cs="Consolas" w:eastAsia="Consolas" w:hAnsi="Consolas"/>
          <w:sz w:val="20"/>
          <w:szCs w:val="20"/>
        </w:rPr>
        <w:t xml:space="preserve">normalizeLot</w:t>
      </w:r>
      <w:r>
        <w:rPr>
          <w:sz w:val="22"/>
          <w:szCs w:val="22"/>
        </w:rPr>
        <w:t xml:space="preserve">en src/lib/lotsApi.js.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Si cambia la politica comercial de plazo, debe ajustarse</w:t>
      </w:r>
      <w:r>
        <w:rPr>
          <w:rFonts w:ascii="Consolas" w:cs="Consolas" w:eastAsia="Consolas" w:hAnsi="Consolas"/>
          <w:sz w:val="20"/>
          <w:szCs w:val="20"/>
        </w:rPr>
        <w:t xml:space="preserve">FIXED_TERM_MONTHS</w:t>
      </w:r>
      <w:r>
        <w:rPr>
          <w:sz w:val="22"/>
          <w:szCs w:val="22"/>
        </w:rPr>
        <w:t xml:space="preserve">en src/config/appConfig.js.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Si cambia el diseño del PDF, debe modificarse src/components/QuoteSheet.jsx.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Si cambia la regla de disponibilidad, debe revisarse src/App.jsx.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10. Limitaciones tecnicas actuales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No hay autenticacion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No hay persistencia de cotizaciones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No hay trazabilidad central de proformas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No existe bloqueo transaccional de disponibilidad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validacion fuerte de negocio ocurre en frontend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11. Recomendaciones tecnicas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centralizar la numeracion de proformas en backend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agregar trazabilidad de cotizaciones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registrar usuario emisor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implementar estados comerciales normalizados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agregar pruebas unitarias para calculos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considerar backend propio si la operacion crece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6B7280"/>
        <w:sz w:val="16"/>
        <w:szCs w:val="16"/>
      </w:rPr>
      <w:t xml:space="preserve">Mala Gardens | Area de Desarrollo | 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C5CED8" w:sz="1"/>
        <w:left w:val="single" w:color="C5CED8" w:sz="1"/>
        <w:bottom w:val="single" w:color="C5CED8" w:sz="1"/>
        <w:right w:val="single" w:color="C5CED8" w:sz="1"/>
        <w:insideH w:val="single" w:color="C5CED8" w:sz="1"/>
        <w:insideV w:val="single" w:color="C5CED8" w:sz="1"/>
      </w:tblBorders>
    </w:tblPr>
    <w:tblGrid>
      <w:gridCol w:w="100"/>
      <w:gridCol w:w="100"/>
      <w:gridCol w:w="100"/>
    </w:tblGrid>
    <w:tr>
      <w:tc>
        <w:tcPr>
          <w:tcW w:type="pct" w:w="24%"/>
          <w:tcMar>
            <w:top w:type="dxa" w:w="60"/>
            <w:left w:type="dxa" w:w="60"/>
            <w:bottom w:type="dxa" w:w="60"/>
            <w:right w:type="dxa" w:w="60"/>
          </w:tcMar>
        </w:tcPr>
        <w:p>
          <w:pPr>
            <w:jc w:val="center"/>
          </w:pPr>
          <w:r>
            <w:drawing>
              <wp:inline distT="0" distB="0" distL="0" distR="0">
                <wp:extent cx="104775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tcMar>
            <w:top w:type="dxa" w:w="100"/>
            <w:left w:type="dxa" w:w="100"/>
            <w:bottom w:type="dxa" w:w="100"/>
            <w:right w:type="dxa" w:w="100"/>
          </w:tcMar>
        </w:tcPr>
        <w:p>
          <w:pPr>
            <w:spacing w:after="0"/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 xml:space="preserve">Manual Tecnico</w:t>
          </w:r>
        </w:p>
        <w:p>
          <w:pPr>
            <w:spacing w:after="0"/>
            <w:jc w:val="center"/>
          </w:pPr>
          <w:r>
            <w:rPr>
              <w:color w:val="52606D"/>
              <w:sz w:val="18"/>
              <w:szCs w:val="18"/>
            </w:rPr>
            <w:t xml:space="preserve">Area de Desarrollo</w:t>
          </w:r>
        </w:p>
      </w:tc>
      <w:tc>
        <w:tcPr>
          <w:tcW w:type="pct" w:w="26%"/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Codigo: </w:t>
          </w:r>
          <w:r>
            <w:rPr>
              <w:sz w:val="16"/>
              <w:szCs w:val="16"/>
            </w:rPr>
            <w:t xml:space="preserve">MG-DES-MTE-001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 xml:space="preserve">1.0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Fecha: </w:t>
          </w:r>
          <w:r>
            <w:rPr>
              <w:sz w:val="16"/>
              <w:szCs w:val="16"/>
            </w:rPr>
            <w:t xml:space="preserve">19/03/2026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5aaa0a25382f294872a0a8ef9ead674fef912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5aaa0a25382f294872a0a8ef9ead674fef9121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</dc:title>
  <dc:creator>Area de Desarrollo</dc:creator>
  <dc:description>Manual Tecnico - Mala Gardens</dc:description>
  <cp:lastModifiedBy>Un-named</cp:lastModifiedBy>
  <cp:revision>1</cp:revision>
  <dcterms:created xsi:type="dcterms:W3CDTF">2026-03-19T20:07:33.062Z</dcterms:created>
  <dcterms:modified xsi:type="dcterms:W3CDTF">2026-03-19T20:07:33.062Z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