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619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 xml:space="preserve">AREA DE DESARROLLO</w:t>
      </w:r>
    </w:p>
    <w:p>
      <w:pPr>
        <w:spacing w:after="160" w:before="800"/>
        <w:jc w:val="center"/>
      </w:pPr>
      <w:r>
        <w:rPr>
          <w:b/>
          <w:bCs/>
          <w:color w:val="243B53"/>
          <w:sz w:val="34"/>
          <w:szCs w:val="34"/>
        </w:rPr>
        <w:t xml:space="preserve">ACCESOS Y ENTREGA TECNICA</w:t>
      </w:r>
    </w:p>
    <w:p>
      <w:pPr>
        <w:spacing w:after="50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A6A6A6" w:sz="1"/>
          <w:left w:val="single" w:color="A6A6A6" w:sz="1"/>
          <w:bottom w:val="single" w:color="A6A6A6" w:sz="1"/>
          <w:right w:val="single" w:color="A6A6A6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MG-DES-AET-001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Emitido para cliente interno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2606D"/>
          <w:sz w:val="20"/>
          <w:szCs w:val="20"/>
        </w:rPr>
        <w:t xml:space="preserve">Documento para cliente interno</w:t>
      </w:r>
    </w:p>
    <w:p>
      <w:r>
        <w:br w:type="page"/>
      </w:r>
    </w:p>
    <w:p>
      <w:pPr>
        <w:pStyle w:val="Heading1"/>
        <w:pBdr>
          <w:bottom w:val="single" w:color="auto" w:sz="6" w:space="1"/>
        </w:pBdr>
        <w:spacing w:after="120" w:before="220"/>
      </w:pPr>
      <w:r>
        <w:rPr>
          <w:b/>
          <w:bCs/>
          <w:color w:val="1F3A5F"/>
          <w:sz w:val="30"/>
          <w:szCs w:val="30"/>
        </w:rPr>
        <w:t xml:space="preserve">Accesos y Entrega Tecnica</w:t>
      </w:r>
    </w:p>
    <w:p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Consolidar los accesos, responsables y datos de traspaso tecnico del proyecto.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1. Objetivo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Este documento sirve como checklist de traspaso tecnico y operativo del sistema</w:t>
      </w:r>
      <w:r>
        <w:rPr>
          <w:rFonts w:ascii="Consolas" w:cs="Consolas" w:eastAsia="Consolas" w:hAnsi="Consolas"/>
          <w:sz w:val="20"/>
          <w:szCs w:val="20"/>
        </w:rPr>
        <w:t xml:space="preserve">MGCalc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2. Accesos que deben entregarse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2.1 Codigo fuente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Repositorio Git del proyecto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Permisos de lectura y escritura para mantenimiento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Responsable tecnico asignado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2.2 Frontend desplegado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Cuenta de</w:t>
      </w:r>
      <w:r>
        <w:rPr>
          <w:rFonts w:ascii="Consolas" w:cs="Consolas" w:eastAsia="Consolas" w:hAnsi="Consolas"/>
          <w:sz w:val="20"/>
          <w:szCs w:val="20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Proyecto donde esta publicada la aplicacion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Variables de entorno configuradas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Permisos para redeploy y consulta de logs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Dominio o subdominio, si aplica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2.3 Fuente de datos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Google Sheet maestro de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Permisos de edicion para responsables del negocio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Confirmacion del nombre de hoja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Validacion de columnas oficiales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2.4 Integracion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Proyecto de</w:t>
      </w:r>
      <w:r>
        <w:rPr>
          <w:rFonts w:ascii="Consolas" w:cs="Consolas" w:eastAsia="Consolas" w:hAnsi="Consolas"/>
          <w:sz w:val="20"/>
          <w:szCs w:val="20"/>
        </w:rPr>
        <w:t xml:space="preserve">Google Apps Script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Cuenta propietaria del script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Permisos para editar y volver a desplegar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URL activa de la aplicacion web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3. Datos tecnicos a registrar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Completar al momento de la entrega:</w:t>
      </w:r>
    </w:p>
    <w:tbl>
      <w:tblPr>
        <w:tblW w:type="pct" w:w="100%"/>
        <w:tblBorders>
          <w:top w:val="single" w:color="A6A6A6" w:sz="1"/>
          <w:left w:val="single" w:color="A6A6A6" w:sz="1"/>
          <w:bottom w:val="single" w:color="A6A6A6" w:sz="1"/>
          <w:right w:val="single" w:color="A6A6A6" w:sz="1"/>
          <w:insideH w:val="single" w:color="C9C9C9" w:sz="1"/>
          <w:insideV w:val="single" w:color="C9C9C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de produccion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de preview o contingencia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Rama principal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Cuenta Vercel propietaria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Proyecto Vercel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Dominio configurado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Spreadsheet ID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Apps Script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Cuenta propietaria del Google Sheet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Cuenta propietaria del Apps Script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funcional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tecnico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4. Variables de entorno y configuracion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Variable requerida en frontend: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VITE_LOTS_API_URL=...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Configuracion esperada del Apps Script:</w:t>
      </w:r>
    </w:p>
    <w:p>
      <w:pPr>
        <w:pBdr>
          <w:top w:val="single" w:color="D9D9D9" w:sz="1"/>
          <w:bottom w:val="single" w:color="D9D9D9" w:sz="1"/>
          <w:left w:val="single" w:color="D9D9D9" w:sz="1"/>
          <w:right w:val="single" w:color="D9D9D9" w:sz="1"/>
        </w:pBdr>
        <w:shd w:fill="F3F5F7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spreadsheetId = ID del Google Sheet maestro</w:t>
      </w:r>
      <w:r>
        <w:rPr>
          <w:rFonts w:ascii="Consolas" w:cs="Consolas" w:eastAsia="Consolas" w:hAnsi="Consolas"/>
          <w:sz w:val="18"/>
          <w:szCs w:val="18"/>
        </w:rPr>
        <w:br/>
        <w:t xml:space="preserve">sheetName = Lotes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5. Checklist de entrega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Codigo fuente accesible por el equipo responsable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Proyecto compila con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rPr>
          <w:sz w:val="22"/>
          <w:szCs w:val="22"/>
        </w:rPr>
        <w:t xml:space="preserve">y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URL del Apps Script responde JSON valido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frontend apunta al endpoint correcto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hoja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  <w:r>
        <w:rPr>
          <w:sz w:val="22"/>
          <w:szCs w:val="22"/>
        </w:rPr>
        <w:t xml:space="preserve">contiene encabezados validos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 confirmo el flujo de actualizacion de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 probo la generacion de PDF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 reviso el bloqueo de lotes no disponibles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 entregaron cuentas, permisos y responsables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 entrego la documentacion funcional y tecnica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6. Procedimiento de contingencia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Si el endpoint remoto falla: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Validar si el Apps Script sigue desplegado y accesible.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Confirmar permisos del Google Sheet.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Revisar si se modifico la hoja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  <w:r>
        <w:rPr>
          <w:sz w:val="22"/>
          <w:szCs w:val="22"/>
        </w:rPr>
        <w:t xml:space="preserve">o sus columnas.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Volver a desplegar Apps Script si hubo cambios.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Actualizar</w:t>
      </w:r>
      <w:r>
        <w:rPr>
          <w:rFonts w:ascii="Consolas" w:cs="Consolas" w:eastAsia="Consolas" w:hAnsi="Consolas"/>
          <w:sz w:val="20"/>
          <w:szCs w:val="20"/>
        </w:rPr>
        <w:t xml:space="preserve">VITE_LOTS_API_URL</w:t>
      </w:r>
      <w:r>
        <w:rPr>
          <w:sz w:val="22"/>
          <w:szCs w:val="22"/>
        </w:rPr>
        <w:t xml:space="preserve">en Vercel si la URL cambio.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7. Recomendacion de cierre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Antes del cierre definitivo, se recomienda registrar en este mismo documento: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enlaces finales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responsables nominados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fecha de pase a operacion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evidencias de prueba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6B7280"/>
        <w:sz w:val="16"/>
        <w:szCs w:val="16"/>
      </w:rPr>
      <w:t xml:space="preserve">Mala Gardens | Area de Desarrollo | 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C5CED8" w:sz="1"/>
        <w:left w:val="single" w:color="C5CED8" w:sz="1"/>
        <w:bottom w:val="single" w:color="C5CED8" w:sz="1"/>
        <w:right w:val="single" w:color="C5CED8" w:sz="1"/>
        <w:insideH w:val="single" w:color="C5CED8" w:sz="1"/>
        <w:insideV w:val="single" w:color="C5CED8" w:sz="1"/>
      </w:tblBorders>
    </w:tblPr>
    <w:tblGrid>
      <w:gridCol w:w="100"/>
      <w:gridCol w:w="100"/>
      <w:gridCol w:w="100"/>
    </w:tblGrid>
    <w:tr>
      <w:tc>
        <w:tcPr>
          <w:tcW w:type="pct" w:w="24%"/>
          <w:tcMar>
            <w:top w:type="dxa" w:w="60"/>
            <w:left w:type="dxa" w:w="60"/>
            <w:bottom w:type="dxa" w:w="60"/>
            <w:right w:type="dxa" w:w="60"/>
          </w:tcMar>
        </w:tcPr>
        <w:p>
          <w:pPr>
            <w:jc w:val="center"/>
          </w:pPr>
          <w:r>
            <w:drawing>
              <wp:inline distT="0" distB="0" distL="0" distR="0">
                <wp:extent cx="104775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tcMar>
            <w:top w:type="dxa" w:w="100"/>
            <w:left w:type="dxa" w:w="100"/>
            <w:bottom w:type="dxa" w:w="100"/>
            <w:right w:type="dxa" w:w="100"/>
          </w:tcMar>
        </w:tcPr>
        <w:p>
          <w:pPr>
            <w:spacing w:after="0"/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 xml:space="preserve">Accesos y Entrega Tecnica</w:t>
          </w:r>
        </w:p>
        <w:p>
          <w:pPr>
            <w:spacing w:after="0"/>
            <w:jc w:val="center"/>
          </w:pPr>
          <w:r>
            <w:rPr>
              <w:color w:val="52606D"/>
              <w:sz w:val="18"/>
              <w:szCs w:val="18"/>
            </w:rPr>
            <w:t xml:space="preserve">Area de Desarrollo</w:t>
          </w:r>
        </w:p>
      </w:tc>
      <w:tc>
        <w:tcPr>
          <w:tcW w:type="pct" w:w="26%"/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Codigo: </w:t>
          </w:r>
          <w:r>
            <w:rPr>
              <w:sz w:val="16"/>
              <w:szCs w:val="16"/>
            </w:rPr>
            <w:t xml:space="preserve">MG-DES-AET-001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 xml:space="preserve">1.0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Fecha: </w:t>
          </w:r>
          <w:r>
            <w:rPr>
              <w:sz w:val="16"/>
              <w:szCs w:val="16"/>
            </w:rPr>
            <w:t xml:space="preserve">19/03/2026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5aaa0a25382f294872a0a8ef9ead674fef912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5aaa0a25382f294872a0a8ef9ead674fef9121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Accesos y Entrega Tecnica</dc:title>
  <dc:creator>Area de Desarrollo</dc:creator>
  <dc:description>Accesos y Entrega Tecnica - Mala Gardens</dc:description>
  <cp:lastModifiedBy>Un-named</cp:lastModifiedBy>
  <cp:revision>1</cp:revision>
  <dcterms:created xsi:type="dcterms:W3CDTF">2026-03-19T20:07:33.118Z</dcterms:created>
  <dcterms:modified xsi:type="dcterms:W3CDTF">2026-03-19T20:07:33.118Z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