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00"/>
        <w:jc w:val="center"/>
      </w:pPr>
      <w:r>
        <w:rPr>
          <w:rFonts w:ascii="Calibri" w:cs="Calibri" w:eastAsia="Calibri" w:hAnsi="Calibri"/>
          <w:b/>
          <w:bCs/>
          <w:color w:val="2E5C9A"/>
          <w:spacing w:val="60"/>
          <w:sz w:val="26"/>
          <w:szCs w:val="26"/>
        </w:rPr>
        <w:t xml:space="preserve">AVANCE INMOBILIARIO</w:t>
      </w:r>
    </w:p>
    <w:p>
      <w:pPr>
        <w:pBdr>
          <w:bottom w:val="single" w:color="1F3864" w:sz="12" w:space="12"/>
        </w:pBdr>
        <w:spacing w:after="260"/>
        <w:jc w:val="center"/>
      </w:pPr>
      <w:r>
        <w:rPr>
          <w:sz w:val="4"/>
          <w:szCs w:val="4"/>
        </w:rPr>
        <w:t xml:space="preserve"/>
      </w:r>
    </w:p>
    <w:p>
      <w:pPr>
        <w:spacing w:after="160"/>
        <w:jc w:val="center"/>
      </w:pPr>
      <w:r>
        <w:rPr>
          <w:rFonts w:ascii="Calibri" w:cs="Calibri" w:eastAsia="Calibri" w:hAnsi="Calibri"/>
          <w:b/>
          <w:bCs/>
          <w:color w:val="1F3864"/>
          <w:sz w:val="48"/>
          <w:szCs w:val="48"/>
        </w:rPr>
        <w:t xml:space="preserve">Propuestas de Alianza Estratégica</w:t>
      </w:r>
    </w:p>
    <w:p>
      <w:pPr>
        <w:spacing w:after="500"/>
        <w:jc w:val="center"/>
      </w:pPr>
      <w:r>
        <w:rPr>
          <w:rFonts w:ascii="Calibri" w:cs="Calibri" w:eastAsia="Calibri" w:hAnsi="Calibri"/>
          <w:color w:val="595959"/>
          <w:sz w:val="30"/>
          <w:szCs w:val="30"/>
        </w:rPr>
        <w:t xml:space="preserve">Avance Inmobiliario  ·  Polka</w:t>
      </w:r>
    </w:p>
    <w:p>
      <w:pPr>
        <w:spacing w:after="100"/>
        <w:jc w:val="center"/>
      </w:pPr>
      <w:r>
        <w:rPr>
          <w:rFonts w:ascii="Calibri" w:cs="Calibri" w:eastAsia="Calibri" w:hAnsi="Calibri"/>
          <w:color w:val="262626"/>
          <w:sz w:val="24"/>
          <w:szCs w:val="24"/>
        </w:rPr>
        <w:t xml:space="preserve">Propuesta 1: Fusión / Alianza societaria (50/50)</w:t>
      </w:r>
    </w:p>
    <w:p>
      <w:pPr>
        <w:spacing w:after="900"/>
        <w:jc w:val="center"/>
      </w:pPr>
      <w:r>
        <w:rPr>
          <w:rFonts w:ascii="Calibri" w:cs="Calibri" w:eastAsia="Calibri" w:hAnsi="Calibri"/>
          <w:color w:val="262626"/>
          <w:sz w:val="24"/>
          <w:szCs w:val="24"/>
        </w:rPr>
        <w:t xml:space="preserve">Propuesta 2: Alianza comercial en ventas (comisión compartida)</w:t>
      </w:r>
    </w:p>
    <w:p>
      <w:pPr>
        <w:spacing w:after="60"/>
        <w:jc w:val="center"/>
      </w:pPr>
      <w:r>
        <w:rPr>
          <w:rFonts w:ascii="Calibri" w:cs="Calibri" w:eastAsia="Calibri" w:hAnsi="Calibri"/>
          <w:i/>
          <w:iCs/>
          <w:color w:val="595959"/>
          <w:sz w:val="20"/>
          <w:szCs w:val="20"/>
        </w:rPr>
        <w:t xml:space="preserve">Documento de trabajo · Confidencial</w:t>
      </w:r>
    </w:p>
    <w:p>
      <w:pPr>
        <w:spacing w:after="0"/>
        <w:jc w:val="center"/>
      </w:pPr>
      <w:r>
        <w:rPr>
          <w:rFonts w:ascii="Calibri" w:cs="Calibri" w:eastAsia="Calibri" w:hAnsi="Calibri"/>
          <w:color w:val="595959"/>
          <w:sz w:val="20"/>
          <w:szCs w:val="20"/>
        </w:rPr>
        <w:t xml:space="preserve">Santiago de Chile, agosto de 2026</w:t>
      </w:r>
    </w:p>
    <w:p>
      <w:r>
        <w:br w:type="page"/>
      </w:r>
    </w:p>
    <w:p>
      <w:pPr>
        <w:pStyle w:val="Heading1"/>
        <w:pBdr>
          <w:bottom w:val="single" w:color="1F3864" w:sz="8" w:space="6"/>
        </w:pBdr>
        <w:spacing w:after="180" w:before="340"/>
      </w:pPr>
      <w:r>
        <w:rPr>
          <w:rFonts w:ascii="Calibri" w:cs="Calibri" w:eastAsia="Calibri" w:hAnsi="Calibri"/>
          <w:b/>
          <w:bCs/>
          <w:color w:val="1F3864"/>
          <w:sz w:val="30"/>
          <w:szCs w:val="30"/>
        </w:rPr>
        <w:t xml:space="preserve">1. Introducción</w:t>
      </w:r>
    </w:p>
    <w:p>
      <w:pPr>
        <w:spacing w:after="140" w:line="280"/>
      </w:pPr>
      <w:r>
        <w:rPr>
          <w:rFonts w:ascii="Calibri" w:cs="Calibri" w:eastAsia="Calibri" w:hAnsi="Calibri"/>
          <w:color w:val="262626"/>
          <w:sz w:val="22"/>
          <w:szCs w:val="22"/>
        </w:rPr>
        <w:t xml:space="preserve">El presente documento tiene por objeto formalizar dos alternativas de colaboración entre Avance Inmobiliario y Polka, de manera que ambas partes puedan evaluar, con la misma información sobre la mesa, cuál de los dos caminos se ajusta mejor a sus objetivos de corto y mediano plazo.</w:t>
      </w:r>
    </w:p>
    <w:p>
      <w:pPr>
        <w:spacing w:after="140" w:line="280"/>
      </w:pPr>
      <w:r>
        <w:rPr>
          <w:rFonts w:ascii="Calibri" w:cs="Calibri" w:eastAsia="Calibri" w:hAnsi="Calibri"/>
          <w:color w:val="262626"/>
          <w:sz w:val="22"/>
          <w:szCs w:val="22"/>
        </w:rPr>
        <w:t xml:space="preserve">Ambas propuestas nacen de una convicción compartida: los portafolios de una y otra empresa son complementarios, no competitivos. Avance Inmobiliario ha desarrollado una posición sólida en propiedades nuevas, con marca, tecnología y relaciones comerciales ya instaladas; Polka aporta experiencia y presencia en el segmento de propiedades usadas, con un equipo de ejecutivos que domina ese proceso de venta. Puestas a trabajar en conjunto, ambas carteras se potencian y abren espacio a una venta cruzada que hoy ninguna de las dos empresas puede capturar por separado.</w:t>
      </w:r>
    </w:p>
    <w:p>
      <w:pPr>
        <w:spacing w:after="140" w:line="280"/>
      </w:pPr>
      <w:r>
        <w:rPr>
          <w:rFonts w:ascii="Calibri" w:cs="Calibri" w:eastAsia="Calibri" w:hAnsi="Calibri"/>
          <w:color w:val="262626"/>
          <w:sz w:val="22"/>
          <w:szCs w:val="22"/>
        </w:rPr>
        <w:t xml:space="preserve">La diferencia entre las dos propuestas es, esencialmente, el nivel de compromiso. La Propuesta 1 plantea una integración societaria en partes iguales, con una sola estructura, costos compartidos y una marca que crece de manera conjunta. La Propuesta 2 plantea una alianza exclusivamente comercial, sin fusión ni constitución de una nueva sociedad, en la que cada empresa mantiene su independencia y la colaboración se articula a través de un esquema de comisión compartida.</w:t>
      </w:r>
    </w:p>
    <w:p>
      <w:pPr>
        <w:spacing w:after="140" w:line="280"/>
      </w:pPr>
      <w:r>
        <w:rPr>
          <w:rFonts w:ascii="Calibri" w:cs="Calibri" w:eastAsia="Calibri" w:hAnsi="Calibri"/>
          <w:color w:val="262626"/>
          <w:sz w:val="22"/>
          <w:szCs w:val="22"/>
        </w:rPr>
        <w:t xml:space="preserve">Se presentan ambas con el mismo nivel de detalle, para que la decisión se tome sobre la base de los méritos de cada una y no por falta de información.</w:t>
      </w:r>
    </w:p>
    <w:p>
      <w:pPr>
        <w:spacing w:after="120"/>
      </w:pPr>
    </w:p>
    <w:p>
      <w:pPr>
        <w:pStyle w:val="Heading1"/>
        <w:pBdr>
          <w:bottom w:val="single" w:color="1F3864" w:sz="8" w:space="6"/>
        </w:pBdr>
        <w:spacing w:after="180" w:before="340"/>
      </w:pPr>
      <w:r>
        <w:rPr>
          <w:rFonts w:ascii="Calibri" w:cs="Calibri" w:eastAsia="Calibri" w:hAnsi="Calibri"/>
          <w:b/>
          <w:bCs/>
          <w:color w:val="1F3864"/>
          <w:sz w:val="30"/>
          <w:szCs w:val="30"/>
        </w:rPr>
        <w:t xml:space="preserve">2. Contexto común: activos que aporta Avance Inmobiliario</w:t>
      </w:r>
    </w:p>
    <w:p>
      <w:pPr>
        <w:spacing w:after="140" w:line="280"/>
      </w:pPr>
      <w:r>
        <w:rPr>
          <w:rFonts w:ascii="Calibri" w:cs="Calibri" w:eastAsia="Calibri" w:hAnsi="Calibri"/>
          <w:color w:val="262626"/>
          <w:sz w:val="22"/>
          <w:szCs w:val="22"/>
        </w:rPr>
        <w:t xml:space="preserve">Con independencia de la modalidad que se acuerde, Avance Inmobiliario pone a disposición de la alianza los siguientes activos, todos ellos operativos o en etapa final de implementación:</w:t>
      </w:r>
    </w:p>
    <w:p>
      <w:pPr>
        <w:pStyle w:val="ListParagraph"/>
        <w:numPr>
          <w:ilvl w:val="0"/>
          <w:numId w:val="2"/>
        </w:numPr>
        <w:spacing w:after="90" w:line="280"/>
      </w:pPr>
      <w:r>
        <w:rPr>
          <w:rFonts w:ascii="Calibri" w:cs="Calibri" w:eastAsia="Calibri" w:hAnsi="Calibri"/>
          <w:b/>
          <w:bCs/>
          <w:color w:val="262626"/>
          <w:sz w:val="22"/>
          <w:szCs w:val="22"/>
        </w:rPr>
        <w:t xml:space="preserve">Trayectoria y marca. </w:t>
      </w:r>
      <w:r>
        <w:rPr>
          <w:rFonts w:ascii="Calibri" w:cs="Calibri" w:eastAsia="Calibri" w:hAnsi="Calibri"/>
          <w:b w:val="false"/>
          <w:bCs w:val="false"/>
          <w:color w:val="262626"/>
          <w:sz w:val="22"/>
          <w:szCs w:val="22"/>
        </w:rPr>
        <w:t xml:space="preserve">Cerca de ocho años de operación continua, con crecimiento orgánico y un posicionamiento consolidado como especialista en inversión inmobiliaria.</w:t>
      </w:r>
    </w:p>
    <w:p>
      <w:pPr>
        <w:pStyle w:val="ListParagraph"/>
        <w:numPr>
          <w:ilvl w:val="0"/>
          <w:numId w:val="2"/>
        </w:numPr>
        <w:spacing w:after="90" w:line="280"/>
      </w:pPr>
      <w:r>
        <w:rPr>
          <w:rFonts w:ascii="Calibri" w:cs="Calibri" w:eastAsia="Calibri" w:hAnsi="Calibri"/>
          <w:b/>
          <w:bCs/>
          <w:color w:val="262626"/>
          <w:sz w:val="22"/>
          <w:szCs w:val="22"/>
        </w:rPr>
        <w:t xml:space="preserve">Presencia digital activa. </w:t>
      </w:r>
      <w:r>
        <w:rPr>
          <w:rFonts w:ascii="Calibri" w:cs="Calibri" w:eastAsia="Calibri" w:hAnsi="Calibri"/>
          <w:b w:val="false"/>
          <w:bCs w:val="false"/>
          <w:color w:val="262626"/>
          <w:sz w:val="22"/>
          <w:szCs w:val="22"/>
        </w:rPr>
        <w:t xml:space="preserve">Cuentas vigentes en Instagram, LinkedIn y Facebook, actualmente en proceso de escalamiento de audiencia.</w:t>
      </w:r>
    </w:p>
    <w:p>
      <w:pPr>
        <w:pStyle w:val="ListParagraph"/>
        <w:numPr>
          <w:ilvl w:val="0"/>
          <w:numId w:val="2"/>
        </w:numPr>
        <w:spacing w:after="90" w:line="280"/>
      </w:pPr>
      <w:r>
        <w:rPr>
          <w:rFonts w:ascii="Calibri" w:cs="Calibri" w:eastAsia="Calibri" w:hAnsi="Calibri"/>
          <w:b/>
          <w:bCs/>
          <w:color w:val="262626"/>
          <w:sz w:val="22"/>
          <w:szCs w:val="22"/>
        </w:rPr>
        <w:t xml:space="preserve">Bot de inteligencia artificial (Exitosa). </w:t>
      </w:r>
      <w:r>
        <w:rPr>
          <w:rFonts w:ascii="Calibri" w:cs="Calibri" w:eastAsia="Calibri" w:hAnsi="Calibri"/>
          <w:b w:val="false"/>
          <w:bCs w:val="false"/>
          <w:color w:val="262626"/>
          <w:sz w:val="22"/>
          <w:szCs w:val="22"/>
        </w:rPr>
        <w:t xml:space="preserve">Herramienta de atención y calificación de clientes, en etapa final de implementación.</w:t>
      </w:r>
    </w:p>
    <w:p>
      <w:pPr>
        <w:pStyle w:val="ListParagraph"/>
        <w:numPr>
          <w:ilvl w:val="0"/>
          <w:numId w:val="2"/>
        </w:numPr>
        <w:spacing w:after="90" w:line="280"/>
      </w:pPr>
      <w:r>
        <w:rPr>
          <w:rFonts w:ascii="Calibri" w:cs="Calibri" w:eastAsia="Calibri" w:hAnsi="Calibri"/>
          <w:b/>
          <w:bCs/>
          <w:color w:val="262626"/>
          <w:sz w:val="22"/>
          <w:szCs w:val="22"/>
        </w:rPr>
        <w:t xml:space="preserve">CRM y herramientas de soporte de venta. </w:t>
      </w:r>
      <w:r>
        <w:rPr>
          <w:rFonts w:ascii="Calibri" w:cs="Calibri" w:eastAsia="Calibri" w:hAnsi="Calibri"/>
          <w:b w:val="false"/>
          <w:bCs w:val="false"/>
          <w:color w:val="262626"/>
          <w:sz w:val="22"/>
          <w:szCs w:val="22"/>
        </w:rPr>
        <w:t xml:space="preserve">Plataforma completa de gestión comercial, seguimiento de clientes y control del embudo de ventas.</w:t>
      </w:r>
    </w:p>
    <w:p>
      <w:pPr>
        <w:pStyle w:val="ListParagraph"/>
        <w:numPr>
          <w:ilvl w:val="0"/>
          <w:numId w:val="2"/>
        </w:numPr>
        <w:spacing w:after="90" w:line="280"/>
      </w:pPr>
      <w:r>
        <w:rPr>
          <w:rFonts w:ascii="Calibri" w:cs="Calibri" w:eastAsia="Calibri" w:hAnsi="Calibri"/>
          <w:b/>
          <w:bCs/>
          <w:color w:val="262626"/>
          <w:sz w:val="22"/>
          <w:szCs w:val="22"/>
        </w:rPr>
        <w:t xml:space="preserve">Cartera de propiedades nuevas y alianzas comerciales. </w:t>
      </w:r>
      <w:r>
        <w:rPr>
          <w:rFonts w:ascii="Calibri" w:cs="Calibri" w:eastAsia="Calibri" w:hAnsi="Calibri"/>
          <w:b w:val="false"/>
          <w:bCs w:val="false"/>
          <w:color w:val="262626"/>
          <w:sz w:val="22"/>
          <w:szCs w:val="22"/>
        </w:rPr>
        <w:t xml:space="preserve">Relación establecida con inmobiliarias, que permite acceso a proyectos y a la oferta de terrenos.</w:t>
      </w:r>
    </w:p>
    <w:p>
      <w:pPr>
        <w:spacing w:after="100"/>
      </w:pPr>
    </w:p>
    <w:tbl>
      <w:tblPr>
        <w:tblW w:type="dxa" w:w="9360"/>
        <w:tblBorders>
          <w:top w:val="none" w:color="FFFFFF" w:sz="0"/>
          <w:left w:val="single" w:color="2E5C9A" w:sz="18"/>
          <w:bottom w:val="none" w:color="FFFFFF" w:sz="0"/>
          <w:right w:val="none" w:color="FFFFFF" w:sz="0"/>
          <w:insideH w:val="none" w:color="FFFFFF" w:sz="0"/>
          <w:insideV w:val="none" w:color="FFFFFF" w:sz="0"/>
        </w:tblBorders>
      </w:tblPr>
      <w:tblGrid>
        <w:gridCol w:w="9360"/>
      </w:tblGrid>
      <w:tr>
        <w:tc>
          <w:tcPr>
            <w:tcW w:type="dxa" w:w="9360"/>
            <w:shd w:fill="EEF2F8" w:color="auto" w:val="clear"/>
            <w:tcMar>
              <w:top w:type="dxa" w:w="140"/>
              <w:left w:type="dxa" w:w="200"/>
              <w:bottom w:type="dxa" w:w="140"/>
              <w:right w:type="dxa" w:w="200"/>
            </w:tcMar>
          </w:tcPr>
          <w:p>
            <w:pPr>
              <w:spacing w:after="60" w:line="260"/>
            </w:pPr>
            <w:r>
              <w:rPr>
                <w:rFonts w:ascii="Calibri" w:cs="Calibri" w:eastAsia="Calibri" w:hAnsi="Calibri"/>
                <w:b/>
                <w:bCs/>
                <w:color w:val="1F3864"/>
                <w:sz w:val="21"/>
                <w:szCs w:val="21"/>
              </w:rPr>
              <w:t xml:space="preserve">Aclaración relevante sobre el alcance actual de la tecnología</w:t>
            </w:r>
          </w:p>
          <w:p>
            <w:pPr>
              <w:spacing w:after="0" w:line="260"/>
            </w:pPr>
            <w:r>
              <w:rPr>
                <w:rFonts w:ascii="Calibri" w:cs="Calibri" w:eastAsia="Calibri" w:hAnsi="Calibri"/>
                <w:color w:val="262626"/>
                <w:sz w:val="21"/>
                <w:szCs w:val="21"/>
              </w:rPr>
              <w:t xml:space="preserve">Tanto el bot de inteligencia artificial como el CRM se encuentran configurados hoy para el segmento de propiedades nuevas. En consecuencia, si la alianza incorpora propiedades usadas, se requiere la participación del equipo de ejecutivos de Polka, que cuenta con mayor experiencia en ese segmento. Esta condición no es un obstáculo, sino precisamente el fundamento de la complementariedad entre ambas empresas: cada parte cubre el tramo en el que la otra tiene menor desarrollo.</w:t>
            </w:r>
          </w:p>
        </w:tc>
      </w:tr>
    </w:tbl>
    <w:p>
      <w:r>
        <w:br w:type="page"/>
      </w:r>
    </w:p>
    <w:p>
      <w:pPr>
        <w:pStyle w:val="Heading1"/>
        <w:pBdr>
          <w:bottom w:val="single" w:color="1F3864" w:sz="8" w:space="6"/>
        </w:pBdr>
        <w:spacing w:after="180" w:before="340"/>
      </w:pPr>
      <w:r>
        <w:rPr>
          <w:rFonts w:ascii="Calibri" w:cs="Calibri" w:eastAsia="Calibri" w:hAnsi="Calibri"/>
          <w:b/>
          <w:bCs/>
          <w:color w:val="1F3864"/>
          <w:sz w:val="30"/>
          <w:szCs w:val="30"/>
        </w:rPr>
        <w:t xml:space="preserve">3. Propuesta 1 — Fusión / Alianza societaria (50/50)</w:t>
      </w:r>
    </w:p>
    <w:p>
      <w:pPr>
        <w:pStyle w:val="Heading2"/>
        <w:spacing w:after="120" w:before="260"/>
      </w:pPr>
      <w:r>
        <w:rPr>
          <w:rFonts w:ascii="Calibri" w:cs="Calibri" w:eastAsia="Calibri" w:hAnsi="Calibri"/>
          <w:b/>
          <w:bCs/>
          <w:color w:val="2E5C9A"/>
          <w:sz w:val="24"/>
          <w:szCs w:val="24"/>
        </w:rPr>
        <w:t xml:space="preserve">3.1 Descripción general</w:t>
      </w:r>
    </w:p>
    <w:p>
      <w:pPr>
        <w:spacing w:after="140" w:line="280"/>
      </w:pPr>
      <w:r>
        <w:rPr>
          <w:rFonts w:ascii="Calibri" w:cs="Calibri" w:eastAsia="Calibri" w:hAnsi="Calibri"/>
          <w:color w:val="262626"/>
          <w:sz w:val="22"/>
          <w:szCs w:val="22"/>
        </w:rPr>
        <w:t xml:space="preserve">Esta propuesta plantea la unión de ambas empresas en una sola estructura, con una participación de 50% para Avance Inmobiliario y 50% para Polka. La operación deja de ser una colaboración entre dos marcas y pasa a ser una sola compañía, con una dirección común, un solo portafolio y objetivos compartidos.</w:t>
      </w:r>
    </w:p>
    <w:p>
      <w:pPr>
        <w:spacing w:after="140" w:line="280"/>
      </w:pPr>
      <w:r>
        <w:rPr>
          <w:rFonts w:ascii="Calibri" w:cs="Calibri" w:eastAsia="Calibri" w:hAnsi="Calibri"/>
          <w:color w:val="262626"/>
          <w:sz w:val="22"/>
          <w:szCs w:val="22"/>
        </w:rPr>
        <w:t xml:space="preserve">El sentido de fondo es simple: crecer como una sola empresa, ganar tracción tanto en propiedades nuevas como usadas, apuntar a tickets de mayor valor y sostener ese crecimiento en el tiempo.</w:t>
      </w:r>
    </w:p>
    <w:p>
      <w:pPr>
        <w:pStyle w:val="Heading2"/>
        <w:spacing w:after="120" w:before="260"/>
      </w:pPr>
      <w:r>
        <w:rPr>
          <w:rFonts w:ascii="Calibri" w:cs="Calibri" w:eastAsia="Calibri" w:hAnsi="Calibri"/>
          <w:b/>
          <w:bCs/>
          <w:color w:val="2E5C9A"/>
          <w:sz w:val="24"/>
          <w:szCs w:val="24"/>
        </w:rPr>
        <w:t xml:space="preserve">3.2 Qué aporta cada parte</w:t>
      </w:r>
    </w:p>
    <w:tbl>
      <w:tblPr>
        <w:tblW w:type="dxa" w:w="9360"/>
        <w:tblBorders>
          <w:top w:val="single" w:color="BFCADB" w:sz="4"/>
          <w:left w:val="single" w:color="BFCADB" w:sz="4"/>
          <w:bottom w:val="single" w:color="BFCADB" w:sz="4"/>
          <w:right w:val="single" w:color="BFCADB" w:sz="4"/>
          <w:insideH w:val="single" w:color="BFCADB" w:sz="4"/>
          <w:insideV w:val="single" w:color="BFCADB" w:sz="4"/>
        </w:tblBorders>
      </w:tblPr>
      <w:tblGrid>
        <w:gridCol w:w="2200"/>
        <w:gridCol w:w="3580"/>
        <w:gridCol w:w="3580"/>
      </w:tblGrid>
      <w:tr>
        <w:trPr>
          <w:tblHeader/>
        </w:trPr>
        <w:tc>
          <w:tcPr>
            <w:tcW w:type="dxa" w:w="2200"/>
            <w:shd w:fill="1F3864" w:color="auto" w:val="clear"/>
            <w:tcMar>
              <w:top w:type="dxa" w:w="90"/>
              <w:left w:type="dxa" w:w="140"/>
              <w:bottom w:type="dxa" w:w="90"/>
              <w:right w:type="dxa" w:w="140"/>
            </w:tcMar>
          </w:tcPr>
          <w:p>
            <w:pPr>
              <w:spacing w:after="0" w:line="260"/>
            </w:pPr>
            <w:r>
              <w:rPr>
                <w:rFonts w:ascii="Calibri" w:cs="Calibri" w:eastAsia="Calibri" w:hAnsi="Calibri"/>
                <w:b/>
                <w:bCs/>
                <w:color w:val="FFFFFF"/>
                <w:sz w:val="21"/>
                <w:szCs w:val="21"/>
              </w:rPr>
              <w:t xml:space="preserve">Ámbito</w:t>
            </w:r>
          </w:p>
        </w:tc>
        <w:tc>
          <w:tcPr>
            <w:tcW w:type="dxa" w:w="3580"/>
            <w:shd w:fill="1F3864" w:color="auto" w:val="clear"/>
            <w:tcMar>
              <w:top w:type="dxa" w:w="90"/>
              <w:left w:type="dxa" w:w="140"/>
              <w:bottom w:type="dxa" w:w="90"/>
              <w:right w:type="dxa" w:w="140"/>
            </w:tcMar>
          </w:tcPr>
          <w:p>
            <w:pPr>
              <w:spacing w:after="0" w:line="260"/>
            </w:pPr>
            <w:r>
              <w:rPr>
                <w:rFonts w:ascii="Calibri" w:cs="Calibri" w:eastAsia="Calibri" w:hAnsi="Calibri"/>
                <w:b/>
                <w:bCs/>
                <w:color w:val="FFFFFF"/>
                <w:sz w:val="21"/>
                <w:szCs w:val="21"/>
              </w:rPr>
              <w:t xml:space="preserve">Avance Inmobiliario</w:t>
            </w:r>
          </w:p>
        </w:tc>
        <w:tc>
          <w:tcPr>
            <w:tcW w:type="dxa" w:w="3580"/>
            <w:shd w:fill="1F3864" w:color="auto" w:val="clear"/>
            <w:tcMar>
              <w:top w:type="dxa" w:w="90"/>
              <w:left w:type="dxa" w:w="140"/>
              <w:bottom w:type="dxa" w:w="90"/>
              <w:right w:type="dxa" w:w="140"/>
            </w:tcMar>
          </w:tcPr>
          <w:p>
            <w:pPr>
              <w:spacing w:after="0" w:line="260"/>
            </w:pPr>
            <w:r>
              <w:rPr>
                <w:rFonts w:ascii="Calibri" w:cs="Calibri" w:eastAsia="Calibri" w:hAnsi="Calibri"/>
                <w:b/>
                <w:bCs/>
                <w:color w:val="FFFFFF"/>
                <w:sz w:val="21"/>
                <w:szCs w:val="21"/>
              </w:rPr>
              <w:t xml:space="preserve">Polka</w:t>
            </w:r>
          </w:p>
        </w:tc>
      </w:tr>
      <w:tr>
        <w:trPr>
          <w:tblHeader w:val="false"/>
        </w:trPr>
        <w:tc>
          <w:tcPr>
            <w:tcW w:type="dxa" w:w="2200"/>
            <w:tcMar>
              <w:top w:type="dxa" w:w="90"/>
              <w:left w:type="dxa" w:w="140"/>
              <w:bottom w:type="dxa" w:w="90"/>
              <w:right w:type="dxa" w:w="140"/>
            </w:tcMar>
          </w:tcPr>
          <w:p>
            <w:pPr>
              <w:spacing w:after="0" w:line="260"/>
            </w:pPr>
            <w:r>
              <w:rPr>
                <w:rFonts w:ascii="Calibri" w:cs="Calibri" w:eastAsia="Calibri" w:hAnsi="Calibri"/>
                <w:b/>
                <w:bCs/>
                <w:color w:val="262626"/>
                <w:sz w:val="21"/>
                <w:szCs w:val="21"/>
              </w:rPr>
              <w:t xml:space="preserve">Portafolio</w:t>
            </w:r>
          </w:p>
        </w:tc>
        <w:tc>
          <w:tcPr>
            <w:tcW w:type="dxa" w:w="3580"/>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Cartera de propiedades nuevas y alianzas comerciales vigentes con inmobiliarias, incluyendo acceso a la oferta de terrenos.</w:t>
            </w:r>
          </w:p>
        </w:tc>
        <w:tc>
          <w:tcPr>
            <w:tcW w:type="dxa" w:w="3580"/>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Cartera equivalente en propiedades usadas, con la red de captación asociada.</w:t>
            </w:r>
          </w:p>
        </w:tc>
      </w:tr>
      <w:tr>
        <w:trPr>
          <w:tblHeader w:val="false"/>
        </w:trPr>
        <w:tc>
          <w:tcPr>
            <w:tcW w:type="dxa" w:w="2200"/>
            <w:shd w:fill="EEF2F8" w:color="auto" w:val="clear"/>
            <w:tcMar>
              <w:top w:type="dxa" w:w="90"/>
              <w:left w:type="dxa" w:w="140"/>
              <w:bottom w:type="dxa" w:w="90"/>
              <w:right w:type="dxa" w:w="140"/>
            </w:tcMar>
          </w:tcPr>
          <w:p>
            <w:pPr>
              <w:spacing w:after="0" w:line="260"/>
            </w:pPr>
            <w:r>
              <w:rPr>
                <w:rFonts w:ascii="Calibri" w:cs="Calibri" w:eastAsia="Calibri" w:hAnsi="Calibri"/>
                <w:b/>
                <w:bCs/>
                <w:color w:val="262626"/>
                <w:sz w:val="21"/>
                <w:szCs w:val="21"/>
              </w:rPr>
              <w:t xml:space="preserve">Equipo</w:t>
            </w:r>
          </w:p>
        </w:tc>
        <w:tc>
          <w:tcPr>
            <w:tcW w:type="dxa" w:w="3580"/>
            <w:shd w:fill="EEF2F8" w:color="auto" w:val="clear"/>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Equipo comercial y de gestión de marca, con la operación ya instalada.</w:t>
            </w:r>
          </w:p>
        </w:tc>
        <w:tc>
          <w:tcPr>
            <w:tcW w:type="dxa" w:w="3580"/>
            <w:shd w:fill="EEF2F8" w:color="auto" w:val="clear"/>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Equipo de ejecutivos con experiencia específica en el segmento de propiedades usadas.</w:t>
            </w:r>
          </w:p>
        </w:tc>
      </w:tr>
      <w:tr>
        <w:trPr>
          <w:tblHeader w:val="false"/>
        </w:trPr>
        <w:tc>
          <w:tcPr>
            <w:tcW w:type="dxa" w:w="2200"/>
            <w:tcMar>
              <w:top w:type="dxa" w:w="90"/>
              <w:left w:type="dxa" w:w="140"/>
              <w:bottom w:type="dxa" w:w="90"/>
              <w:right w:type="dxa" w:w="140"/>
            </w:tcMar>
          </w:tcPr>
          <w:p>
            <w:pPr>
              <w:spacing w:after="0" w:line="260"/>
            </w:pPr>
            <w:r>
              <w:rPr>
                <w:rFonts w:ascii="Calibri" w:cs="Calibri" w:eastAsia="Calibri" w:hAnsi="Calibri"/>
                <w:b/>
                <w:bCs/>
                <w:color w:val="262626"/>
                <w:sz w:val="21"/>
                <w:szCs w:val="21"/>
              </w:rPr>
              <w:t xml:space="preserve">Tecnología</w:t>
            </w:r>
          </w:p>
        </w:tc>
        <w:tc>
          <w:tcPr>
            <w:tcW w:type="dxa" w:w="3580"/>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CRM, herramientas de soporte de venta y bot de inteligencia artificial (Exitosa).</w:t>
            </w:r>
          </w:p>
        </w:tc>
        <w:tc>
          <w:tcPr>
            <w:tcW w:type="dxa" w:w="3580"/>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Conocimiento operativo del proceso de venta de usadas, necesario para extender la tecnología a ese segmento.</w:t>
            </w:r>
          </w:p>
        </w:tc>
      </w:tr>
      <w:tr>
        <w:trPr>
          <w:tblHeader w:val="false"/>
        </w:trPr>
        <w:tc>
          <w:tcPr>
            <w:tcW w:type="dxa" w:w="2200"/>
            <w:shd w:fill="EEF2F8" w:color="auto" w:val="clear"/>
            <w:tcMar>
              <w:top w:type="dxa" w:w="90"/>
              <w:left w:type="dxa" w:w="140"/>
              <w:bottom w:type="dxa" w:w="90"/>
              <w:right w:type="dxa" w:w="140"/>
            </w:tcMar>
          </w:tcPr>
          <w:p>
            <w:pPr>
              <w:spacing w:after="0" w:line="260"/>
            </w:pPr>
            <w:r>
              <w:rPr>
                <w:rFonts w:ascii="Calibri" w:cs="Calibri" w:eastAsia="Calibri" w:hAnsi="Calibri"/>
                <w:b/>
                <w:bCs/>
                <w:color w:val="262626"/>
                <w:sz w:val="21"/>
                <w:szCs w:val="21"/>
              </w:rPr>
              <w:t xml:space="preserve">Marca y difusión</w:t>
            </w:r>
          </w:p>
        </w:tc>
        <w:tc>
          <w:tcPr>
            <w:tcW w:type="dxa" w:w="3580"/>
            <w:shd w:fill="EEF2F8" w:color="auto" w:val="clear"/>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Casi ocho años de trayectoria y redes sociales activas en Instagram, LinkedIn y Facebook.</w:t>
            </w:r>
          </w:p>
        </w:tc>
        <w:tc>
          <w:tcPr>
            <w:tcW w:type="dxa" w:w="3580"/>
            <w:shd w:fill="EEF2F8" w:color="auto" w:val="clear"/>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Posicionamiento y relaciones comerciales propias, que se integran a la marca conjunta.</w:t>
            </w:r>
          </w:p>
        </w:tc>
      </w:tr>
    </w:tbl>
    <w:p>
      <w:pPr>
        <w:spacing w:after="160"/>
      </w:pPr>
    </w:p>
    <w:p>
      <w:pPr>
        <w:spacing w:after="140" w:line="280"/>
      </w:pPr>
      <w:r>
        <w:rPr>
          <w:rFonts w:ascii="Calibri" w:cs="Calibri" w:eastAsia="Calibri" w:hAnsi="Calibri"/>
          <w:color w:val="262626"/>
          <w:sz w:val="22"/>
          <w:szCs w:val="22"/>
        </w:rPr>
        <w:t xml:space="preserve">La integración es total: se incorporan a la nueva estructura los equipos, las redes, las herramientas tecnológicas y las carteras de ambas marcas.</w:t>
      </w:r>
    </w:p>
    <w:p>
      <w:pPr>
        <w:pStyle w:val="Heading2"/>
        <w:spacing w:after="120" w:before="260"/>
      </w:pPr>
      <w:r>
        <w:rPr>
          <w:rFonts w:ascii="Calibri" w:cs="Calibri" w:eastAsia="Calibri" w:hAnsi="Calibri"/>
          <w:b/>
          <w:bCs/>
          <w:color w:val="2E5C9A"/>
          <w:sz w:val="24"/>
          <w:szCs w:val="24"/>
        </w:rPr>
        <w:t xml:space="preserve">3.3 Modelo de la alianza</w:t>
      </w:r>
    </w:p>
    <w:p>
      <w:pPr>
        <w:pStyle w:val="ListParagraph"/>
        <w:numPr>
          <w:ilvl w:val="0"/>
          <w:numId w:val="2"/>
        </w:numPr>
        <w:spacing w:after="90" w:line="280"/>
      </w:pPr>
      <w:r>
        <w:rPr>
          <w:rFonts w:ascii="Calibri" w:cs="Calibri" w:eastAsia="Calibri" w:hAnsi="Calibri"/>
          <w:b/>
          <w:bCs/>
          <w:color w:val="262626"/>
          <w:sz w:val="22"/>
          <w:szCs w:val="22"/>
        </w:rPr>
        <w:t xml:space="preserve">Estructura societaria. </w:t>
      </w:r>
      <w:r>
        <w:rPr>
          <w:rFonts w:ascii="Calibri" w:cs="Calibri" w:eastAsia="Calibri" w:hAnsi="Calibri"/>
          <w:b w:val="false"/>
          <w:bCs w:val="false"/>
          <w:color w:val="262626"/>
          <w:sz w:val="22"/>
          <w:szCs w:val="22"/>
        </w:rPr>
        <w:t xml:space="preserve">Participación de 50% y 50% entre ambas partes, sin posiciones mayoritarias.</w:t>
      </w:r>
    </w:p>
    <w:p>
      <w:pPr>
        <w:pStyle w:val="ListParagraph"/>
        <w:numPr>
          <w:ilvl w:val="0"/>
          <w:numId w:val="2"/>
        </w:numPr>
        <w:spacing w:after="90" w:line="280"/>
      </w:pPr>
      <w:r>
        <w:rPr>
          <w:rFonts w:ascii="Calibri" w:cs="Calibri" w:eastAsia="Calibri" w:hAnsi="Calibri"/>
          <w:b/>
          <w:bCs/>
          <w:color w:val="262626"/>
          <w:sz w:val="22"/>
          <w:szCs w:val="22"/>
        </w:rPr>
        <w:t xml:space="preserve">Figura legal. </w:t>
      </w:r>
      <w:r>
        <w:rPr>
          <w:rFonts w:ascii="Calibri" w:cs="Calibri" w:eastAsia="Calibri" w:hAnsi="Calibri"/>
          <w:b w:val="false"/>
          <w:bCs w:val="false"/>
          <w:color w:val="262626"/>
          <w:sz w:val="22"/>
          <w:szCs w:val="22"/>
        </w:rPr>
        <w:t xml:space="preserve">La alianza puede constituirse como alianza formal entre las sociedades existentes o como una empresa nueva creada desde cero. La figura definitiva se define en conjunto entre las partes, con la asesoría legal y tributaria correspondiente.</w:t>
      </w:r>
    </w:p>
    <w:p>
      <w:pPr>
        <w:pStyle w:val="ListParagraph"/>
        <w:numPr>
          <w:ilvl w:val="0"/>
          <w:numId w:val="2"/>
        </w:numPr>
        <w:spacing w:after="90" w:line="280"/>
      </w:pPr>
      <w:r>
        <w:rPr>
          <w:rFonts w:ascii="Calibri" w:cs="Calibri" w:eastAsia="Calibri" w:hAnsi="Calibri"/>
          <w:b/>
          <w:bCs/>
          <w:color w:val="262626"/>
          <w:sz w:val="22"/>
          <w:szCs w:val="22"/>
        </w:rPr>
        <w:t xml:space="preserve">Intercambio de portafolios. </w:t>
      </w:r>
      <w:r>
        <w:rPr>
          <w:rFonts w:ascii="Calibri" w:cs="Calibri" w:eastAsia="Calibri" w:hAnsi="Calibri"/>
          <w:b w:val="false"/>
          <w:bCs w:val="false"/>
          <w:color w:val="262626"/>
          <w:sz w:val="22"/>
          <w:szCs w:val="22"/>
        </w:rPr>
        <w:t xml:space="preserve">Avance Inmobiliario incorpora su cartera de propiedades nuevas y sus alianzas comerciales con inmobiliarias; Polka incorpora lo equivalente en propiedades usadas junto con su experiencia en ese segmento. El objetivo es potenciar la venta cruzada de ambas carteras e incluir también la oferta de terrenos a inmobiliarias.</w:t>
      </w:r>
    </w:p>
    <w:p>
      <w:pPr>
        <w:pStyle w:val="ListParagraph"/>
        <w:numPr>
          <w:ilvl w:val="0"/>
          <w:numId w:val="2"/>
        </w:numPr>
        <w:spacing w:after="90" w:line="280"/>
      </w:pPr>
      <w:r>
        <w:rPr>
          <w:rFonts w:ascii="Calibri" w:cs="Calibri" w:eastAsia="Calibri" w:hAnsi="Calibri"/>
          <w:b/>
          <w:bCs/>
          <w:color w:val="262626"/>
          <w:sz w:val="22"/>
          <w:szCs w:val="22"/>
        </w:rPr>
        <w:t xml:space="preserve">Operación conjunta. </w:t>
      </w:r>
      <w:r>
        <w:rPr>
          <w:rFonts w:ascii="Calibri" w:cs="Calibri" w:eastAsia="Calibri" w:hAnsi="Calibri"/>
          <w:b w:val="false"/>
          <w:bCs w:val="false"/>
          <w:color w:val="262626"/>
          <w:sz w:val="22"/>
          <w:szCs w:val="22"/>
        </w:rPr>
        <w:t xml:space="preserve">Una sola fuerza de venta, un solo CRM y una sola estrategia de captación, con la tecnología existente extendida progresivamente al segmento de propiedades usadas con el apoyo del equipo de Polka.</w:t>
      </w:r>
    </w:p>
    <w:p>
      <w:pPr>
        <w:pStyle w:val="Heading2"/>
        <w:spacing w:after="120" w:before="260"/>
      </w:pPr>
      <w:r>
        <w:rPr>
          <w:rFonts w:ascii="Calibri" w:cs="Calibri" w:eastAsia="Calibri" w:hAnsi="Calibri"/>
          <w:b/>
          <w:bCs/>
          <w:color w:val="2E5C9A"/>
          <w:sz w:val="24"/>
          <w:szCs w:val="24"/>
        </w:rPr>
        <w:t xml:space="preserve">3.4 Condiciones económicas</w:t>
      </w:r>
    </w:p>
    <w:p>
      <w:pPr>
        <w:pStyle w:val="ListParagraph"/>
        <w:numPr>
          <w:ilvl w:val="0"/>
          <w:numId w:val="2"/>
        </w:numPr>
        <w:spacing w:after="90" w:line="280"/>
      </w:pPr>
      <w:r>
        <w:rPr>
          <w:rFonts w:ascii="Calibri" w:cs="Calibri" w:eastAsia="Calibri" w:hAnsi="Calibri"/>
          <w:b/>
          <w:bCs/>
          <w:color w:val="262626"/>
          <w:sz w:val="22"/>
          <w:szCs w:val="22"/>
        </w:rPr>
        <w:t xml:space="preserve">Costos compartidos en partes iguales. </w:t>
      </w:r>
      <w:r>
        <w:rPr>
          <w:rFonts w:ascii="Calibri" w:cs="Calibri" w:eastAsia="Calibri" w:hAnsi="Calibri"/>
          <w:b w:val="false"/>
          <w:bCs w:val="false"/>
          <w:color w:val="262626"/>
          <w:sz w:val="22"/>
          <w:szCs w:val="22"/>
        </w:rPr>
        <w:t xml:space="preserve">Todos los costos de operación se asumen 50% y 50%.</w:t>
      </w:r>
    </w:p>
    <w:p>
      <w:pPr>
        <w:pStyle w:val="ListParagraph"/>
        <w:numPr>
          <w:ilvl w:val="0"/>
          <w:numId w:val="2"/>
        </w:numPr>
        <w:spacing w:after="90" w:line="280"/>
      </w:pPr>
      <w:r>
        <w:rPr>
          <w:rFonts w:ascii="Calibri" w:cs="Calibri" w:eastAsia="Calibri" w:hAnsi="Calibri"/>
          <w:b/>
          <w:bCs/>
          <w:color w:val="262626"/>
          <w:sz w:val="22"/>
          <w:szCs w:val="22"/>
        </w:rPr>
        <w:t xml:space="preserve">Estructura de costos actual. </w:t>
      </w:r>
      <w:r>
        <w:rPr>
          <w:rFonts w:ascii="Calibri" w:cs="Calibri" w:eastAsia="Calibri" w:hAnsi="Calibri"/>
          <w:b w:val="false"/>
          <w:bCs w:val="false"/>
          <w:color w:val="262626"/>
          <w:sz w:val="22"/>
          <w:szCs w:val="22"/>
        </w:rPr>
        <w:t xml:space="preserve">Los principales costos vigentes de Avance Inmobiliario son la licencia del CRM y la mensualidad del bot de inteligencia artificial, ambos de bajo monto. Esto permite iniciar la operación conjunta con una carga financiera reducida.</w:t>
      </w:r>
    </w:p>
    <w:p>
      <w:pPr>
        <w:pStyle w:val="ListParagraph"/>
        <w:numPr>
          <w:ilvl w:val="0"/>
          <w:numId w:val="2"/>
        </w:numPr>
        <w:spacing w:after="90" w:line="280"/>
      </w:pPr>
      <w:r>
        <w:rPr>
          <w:rFonts w:ascii="Calibri" w:cs="Calibri" w:eastAsia="Calibri" w:hAnsi="Calibri"/>
          <w:b/>
          <w:bCs/>
          <w:color w:val="262626"/>
          <w:sz w:val="22"/>
          <w:szCs w:val="22"/>
        </w:rPr>
        <w:t xml:space="preserve">Resultados. </w:t>
      </w:r>
      <w:r>
        <w:rPr>
          <w:rFonts w:ascii="Calibri" w:cs="Calibri" w:eastAsia="Calibri" w:hAnsi="Calibri"/>
          <w:b w:val="false"/>
          <w:bCs w:val="false"/>
          <w:color w:val="262626"/>
          <w:sz w:val="22"/>
          <w:szCs w:val="22"/>
        </w:rPr>
        <w:t xml:space="preserve">Los resultados de la operación se distribuyen conforme a la participación acordada de 50% y 50%.</w:t>
      </w:r>
    </w:p>
    <w:p>
      <w:pPr>
        <w:pStyle w:val="ListParagraph"/>
        <w:numPr>
          <w:ilvl w:val="0"/>
          <w:numId w:val="2"/>
        </w:numPr>
        <w:spacing w:after="90" w:line="280"/>
      </w:pPr>
      <w:r>
        <w:rPr>
          <w:rFonts w:ascii="Calibri" w:cs="Calibri" w:eastAsia="Calibri" w:hAnsi="Calibri"/>
          <w:b/>
          <w:bCs/>
          <w:color w:val="262626"/>
          <w:sz w:val="22"/>
          <w:szCs w:val="22"/>
        </w:rPr>
        <w:t xml:space="preserve">Nuevas inversiones. </w:t>
      </w:r>
      <w:r>
        <w:rPr>
          <w:rFonts w:ascii="Calibri" w:cs="Calibri" w:eastAsia="Calibri" w:hAnsi="Calibri"/>
          <w:b w:val="false"/>
          <w:bCs w:val="false"/>
          <w:color w:val="262626"/>
          <w:sz w:val="22"/>
          <w:szCs w:val="22"/>
        </w:rPr>
        <w:t xml:space="preserve">Los desembolsos asociados al crecimiento físico —oficinas, habilitación y equipamiento— se financian bajo el mismo criterio de partes iguales, previa aprobación conjunta.</w:t>
      </w:r>
    </w:p>
    <w:p>
      <w:pPr>
        <w:pStyle w:val="Heading2"/>
        <w:spacing w:after="120" w:before="260"/>
      </w:pPr>
      <w:r>
        <w:rPr>
          <w:rFonts w:ascii="Calibri" w:cs="Calibri" w:eastAsia="Calibri" w:hAnsi="Calibri"/>
          <w:b/>
          <w:bCs/>
          <w:color w:val="2E5C9A"/>
          <w:sz w:val="24"/>
          <w:szCs w:val="24"/>
        </w:rPr>
        <w:t xml:space="preserve">3.5 Proyección de crecimiento físico</w:t>
      </w:r>
    </w:p>
    <w:tbl>
      <w:tblPr>
        <w:tblW w:type="dxa" w:w="9360"/>
        <w:tblBorders>
          <w:top w:val="single" w:color="BFCADB" w:sz="4"/>
          <w:left w:val="single" w:color="BFCADB" w:sz="4"/>
          <w:bottom w:val="single" w:color="BFCADB" w:sz="4"/>
          <w:right w:val="single" w:color="BFCADB" w:sz="4"/>
          <w:insideH w:val="single" w:color="BFCADB" w:sz="4"/>
          <w:insideV w:val="single" w:color="BFCADB" w:sz="4"/>
        </w:tblBorders>
      </w:tblPr>
      <w:tblGrid>
        <w:gridCol w:w="2200"/>
        <w:gridCol w:w="7160"/>
      </w:tblGrid>
      <w:tr>
        <w:trPr>
          <w:tblHeader/>
        </w:trPr>
        <w:tc>
          <w:tcPr>
            <w:tcW w:type="dxa" w:w="2200"/>
            <w:shd w:fill="1F3864" w:color="auto" w:val="clear"/>
            <w:tcMar>
              <w:top w:type="dxa" w:w="90"/>
              <w:left w:type="dxa" w:w="140"/>
              <w:bottom w:type="dxa" w:w="90"/>
              <w:right w:type="dxa" w:w="140"/>
            </w:tcMar>
          </w:tcPr>
          <w:p>
            <w:pPr>
              <w:spacing w:after="0" w:line="260"/>
            </w:pPr>
            <w:r>
              <w:rPr>
                <w:rFonts w:ascii="Calibri" w:cs="Calibri" w:eastAsia="Calibri" w:hAnsi="Calibri"/>
                <w:b/>
                <w:bCs/>
                <w:color w:val="FFFFFF"/>
                <w:sz w:val="21"/>
                <w:szCs w:val="21"/>
              </w:rPr>
              <w:t xml:space="preserve">Horizonte</w:t>
            </w:r>
          </w:p>
        </w:tc>
        <w:tc>
          <w:tcPr>
            <w:tcW w:type="dxa" w:w="7160"/>
            <w:shd w:fill="1F3864" w:color="auto" w:val="clear"/>
            <w:tcMar>
              <w:top w:type="dxa" w:w="90"/>
              <w:left w:type="dxa" w:w="140"/>
              <w:bottom w:type="dxa" w:w="90"/>
              <w:right w:type="dxa" w:w="140"/>
            </w:tcMar>
          </w:tcPr>
          <w:p>
            <w:pPr>
              <w:spacing w:after="0" w:line="260"/>
            </w:pPr>
            <w:r>
              <w:rPr>
                <w:rFonts w:ascii="Calibri" w:cs="Calibri" w:eastAsia="Calibri" w:hAnsi="Calibri"/>
                <w:b/>
                <w:bCs/>
                <w:color w:val="FFFFFF"/>
                <w:sz w:val="21"/>
                <w:szCs w:val="21"/>
              </w:rPr>
              <w:t xml:space="preserve">Definición</w:t>
            </w:r>
          </w:p>
        </w:tc>
      </w:tr>
      <w:tr>
        <w:trPr>
          <w:tblHeader w:val="false"/>
        </w:trPr>
        <w:tc>
          <w:tcPr>
            <w:tcW w:type="dxa" w:w="2200"/>
            <w:tcMar>
              <w:top w:type="dxa" w:w="90"/>
              <w:left w:type="dxa" w:w="140"/>
              <w:bottom w:type="dxa" w:w="90"/>
              <w:right w:type="dxa" w:w="140"/>
            </w:tcMar>
          </w:tcPr>
          <w:p>
            <w:pPr>
              <w:spacing w:after="0" w:line="260"/>
            </w:pPr>
            <w:r>
              <w:rPr>
                <w:rFonts w:ascii="Calibri" w:cs="Calibri" w:eastAsia="Calibri" w:hAnsi="Calibri"/>
                <w:b/>
                <w:bCs/>
                <w:color w:val="262626"/>
                <w:sz w:val="21"/>
                <w:szCs w:val="21"/>
              </w:rPr>
              <w:t xml:space="preserve">Corto plazo</w:t>
            </w:r>
          </w:p>
        </w:tc>
        <w:tc>
          <w:tcPr>
            <w:tcW w:type="dxa" w:w="7160"/>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Habilitación de una oficina en el sector oriente de Santiago, con inicio proyectado a partir de la próxima semana.</w:t>
            </w:r>
          </w:p>
        </w:tc>
      </w:tr>
      <w:tr>
        <w:trPr>
          <w:tblHeader w:val="false"/>
        </w:trPr>
        <w:tc>
          <w:tcPr>
            <w:tcW w:type="dxa" w:w="2200"/>
            <w:shd w:fill="EEF2F8" w:color="auto" w:val="clear"/>
            <w:tcMar>
              <w:top w:type="dxa" w:w="90"/>
              <w:left w:type="dxa" w:w="140"/>
              <w:bottom w:type="dxa" w:w="90"/>
              <w:right w:type="dxa" w:w="140"/>
            </w:tcMar>
          </w:tcPr>
          <w:p>
            <w:pPr>
              <w:spacing w:after="0" w:line="260"/>
            </w:pPr>
            <w:r>
              <w:rPr>
                <w:rFonts w:ascii="Calibri" w:cs="Calibri" w:eastAsia="Calibri" w:hAnsi="Calibri"/>
                <w:b/>
                <w:bCs/>
                <w:color w:val="262626"/>
                <w:sz w:val="21"/>
                <w:szCs w:val="21"/>
              </w:rPr>
              <w:t xml:space="preserve">Mediano plazo</w:t>
            </w:r>
          </w:p>
        </w:tc>
        <w:tc>
          <w:tcPr>
            <w:tcW w:type="dxa" w:w="7160"/>
            <w:shd w:fill="EEF2F8" w:color="auto" w:val="clear"/>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Traslado o apertura de una oficina con visibilidad al público, orientada a posicionar la marca conjunta y a sostener el crecimiento tanto en propiedades nuevas como usadas.</w:t>
            </w:r>
          </w:p>
        </w:tc>
      </w:tr>
    </w:tbl>
    <w:p>
      <w:pPr>
        <w:pStyle w:val="Heading2"/>
        <w:spacing w:after="120" w:before="260"/>
      </w:pPr>
      <w:r>
        <w:rPr>
          <w:rFonts w:ascii="Calibri" w:cs="Calibri" w:eastAsia="Calibri" w:hAnsi="Calibri"/>
          <w:b/>
          <w:bCs/>
          <w:color w:val="2E5C9A"/>
          <w:sz w:val="24"/>
          <w:szCs w:val="24"/>
        </w:rPr>
        <w:t xml:space="preserve">3.6 Plazos y duración</w:t>
      </w:r>
    </w:p>
    <w:p>
      <w:pPr>
        <w:pStyle w:val="ListParagraph"/>
        <w:numPr>
          <w:ilvl w:val="0"/>
          <w:numId w:val="2"/>
        </w:numPr>
        <w:spacing w:after="90" w:line="280"/>
      </w:pPr>
      <w:r>
        <w:rPr>
          <w:rFonts w:ascii="Calibri" w:cs="Calibri" w:eastAsia="Calibri" w:hAnsi="Calibri"/>
          <w:b/>
          <w:bCs/>
          <w:color w:val="262626"/>
          <w:sz w:val="22"/>
          <w:szCs w:val="22"/>
        </w:rPr>
        <w:t xml:space="preserve">Entrada en vigor. </w:t>
      </w:r>
      <w:r>
        <w:rPr>
          <w:rFonts w:ascii="Calibri" w:cs="Calibri" w:eastAsia="Calibri" w:hAnsi="Calibri"/>
          <w:b w:val="false"/>
          <w:bCs w:val="false"/>
          <w:color w:val="262626"/>
          <w:sz w:val="22"/>
          <w:szCs w:val="22"/>
        </w:rPr>
        <w:t xml:space="preserve">El acuerdo rige desde la fecha de su firma.</w:t>
      </w:r>
    </w:p>
    <w:p>
      <w:pPr>
        <w:pStyle w:val="ListParagraph"/>
        <w:numPr>
          <w:ilvl w:val="0"/>
          <w:numId w:val="2"/>
        </w:numPr>
        <w:spacing w:after="90" w:line="280"/>
      </w:pPr>
      <w:r>
        <w:rPr>
          <w:rFonts w:ascii="Calibri" w:cs="Calibri" w:eastAsia="Calibri" w:hAnsi="Calibri"/>
          <w:b/>
          <w:bCs/>
          <w:color w:val="262626"/>
          <w:sz w:val="22"/>
          <w:szCs w:val="22"/>
        </w:rPr>
        <w:t xml:space="preserve">Inicio operativo propuesto. </w:t>
      </w:r>
      <w:r>
        <w:rPr>
          <w:rFonts w:ascii="Calibri" w:cs="Calibri" w:eastAsia="Calibri" w:hAnsi="Calibri"/>
          <w:b w:val="false"/>
          <w:bCs w:val="false"/>
          <w:color w:val="262626"/>
          <w:sz w:val="22"/>
          <w:szCs w:val="22"/>
        </w:rPr>
        <w:t xml:space="preserve">Se propone que los acuerdos comiencen a correr, idealmente, a partir del próximo lunes, de modo de aprovechar el impulso comercial del período.</w:t>
      </w:r>
    </w:p>
    <w:p>
      <w:pPr>
        <w:pStyle w:val="ListParagraph"/>
        <w:numPr>
          <w:ilvl w:val="0"/>
          <w:numId w:val="2"/>
        </w:numPr>
        <w:spacing w:after="90" w:line="280"/>
      </w:pPr>
      <w:r>
        <w:rPr>
          <w:rFonts w:ascii="Calibri" w:cs="Calibri" w:eastAsia="Calibri" w:hAnsi="Calibri"/>
          <w:b/>
          <w:bCs/>
          <w:color w:val="262626"/>
          <w:sz w:val="22"/>
          <w:szCs w:val="22"/>
        </w:rPr>
        <w:t xml:space="preserve">Duración. </w:t>
      </w:r>
      <w:r>
        <w:rPr>
          <w:rFonts w:ascii="Calibri" w:cs="Calibri" w:eastAsia="Calibri" w:hAnsi="Calibri"/>
          <w:b w:val="false"/>
          <w:bCs w:val="false"/>
          <w:color w:val="262626"/>
          <w:sz w:val="22"/>
          <w:szCs w:val="22"/>
        </w:rPr>
        <w:t xml:space="preserve">Al tratarse de una integración societaria, el acuerdo se establece con vocación de permanencia. Las causales de término, los mecanismos de salida y la valorización de la participación de cada parte se definen en el instrumento legal que formalice la operación.</w:t>
      </w:r>
    </w:p>
    <w:p>
      <w:pPr>
        <w:pStyle w:val="Heading2"/>
        <w:spacing w:after="120" w:before="260"/>
      </w:pPr>
      <w:r>
        <w:rPr>
          <w:rFonts w:ascii="Calibri" w:cs="Calibri" w:eastAsia="Calibri" w:hAnsi="Calibri"/>
          <w:b/>
          <w:bCs/>
          <w:color w:val="2E5C9A"/>
          <w:sz w:val="24"/>
          <w:szCs w:val="24"/>
        </w:rPr>
        <w:t xml:space="preserve">3.7 Beneficios esperados</w:t>
      </w:r>
    </w:p>
    <w:p>
      <w:pPr>
        <w:pStyle w:val="ListParagraph"/>
        <w:numPr>
          <w:ilvl w:val="0"/>
          <w:numId w:val="2"/>
        </w:numPr>
        <w:spacing w:after="90" w:line="280"/>
      </w:pPr>
      <w:r>
        <w:rPr>
          <w:rFonts w:ascii="Calibri" w:cs="Calibri" w:eastAsia="Calibri" w:hAnsi="Calibri"/>
          <w:color w:val="262626"/>
          <w:sz w:val="22"/>
          <w:szCs w:val="22"/>
        </w:rPr>
        <w:t xml:space="preserve">Una sola empresa con un portafolio completo, capaz de atender tanto al comprador de propiedades nuevas como al de usadas sin derivar al cliente a terceros.</w:t>
      </w:r>
    </w:p>
    <w:p>
      <w:pPr>
        <w:pStyle w:val="ListParagraph"/>
        <w:numPr>
          <w:ilvl w:val="0"/>
          <w:numId w:val="2"/>
        </w:numPr>
        <w:spacing w:after="90" w:line="280"/>
      </w:pPr>
      <w:r>
        <w:rPr>
          <w:rFonts w:ascii="Calibri" w:cs="Calibri" w:eastAsia="Calibri" w:hAnsi="Calibri"/>
          <w:color w:val="262626"/>
          <w:sz w:val="22"/>
          <w:szCs w:val="22"/>
        </w:rPr>
        <w:t xml:space="preserve">Venta cruzada efectiva entre ambas carteras, incluyendo la oferta de terrenos a inmobiliarias, lo que amplía las fuentes de ingreso.</w:t>
      </w:r>
    </w:p>
    <w:p>
      <w:pPr>
        <w:pStyle w:val="ListParagraph"/>
        <w:numPr>
          <w:ilvl w:val="0"/>
          <w:numId w:val="2"/>
        </w:numPr>
        <w:spacing w:after="90" w:line="280"/>
      </w:pPr>
      <w:r>
        <w:rPr>
          <w:rFonts w:ascii="Calibri" w:cs="Calibri" w:eastAsia="Calibri" w:hAnsi="Calibri"/>
          <w:color w:val="262626"/>
          <w:sz w:val="22"/>
          <w:szCs w:val="22"/>
        </w:rPr>
        <w:t xml:space="preserve">Aprovechamiento inmediato de la tecnología ya implementada —CRM y bot de inteligencia artificial— sin duplicar inversión.</w:t>
      </w:r>
    </w:p>
    <w:p>
      <w:pPr>
        <w:pStyle w:val="ListParagraph"/>
        <w:numPr>
          <w:ilvl w:val="0"/>
          <w:numId w:val="2"/>
        </w:numPr>
        <w:spacing w:after="90" w:line="280"/>
      </w:pPr>
      <w:r>
        <w:rPr>
          <w:rFonts w:ascii="Calibri" w:cs="Calibri" w:eastAsia="Calibri" w:hAnsi="Calibri"/>
          <w:color w:val="262626"/>
          <w:sz w:val="22"/>
          <w:szCs w:val="22"/>
        </w:rPr>
        <w:t xml:space="preserve">Dilución de costos en partes iguales, sobre una estructura de gastos hoy acotada.</w:t>
      </w:r>
    </w:p>
    <w:p>
      <w:pPr>
        <w:pStyle w:val="ListParagraph"/>
        <w:numPr>
          <w:ilvl w:val="0"/>
          <w:numId w:val="2"/>
        </w:numPr>
        <w:spacing w:after="90" w:line="280"/>
      </w:pPr>
      <w:r>
        <w:rPr>
          <w:rFonts w:ascii="Calibri" w:cs="Calibri" w:eastAsia="Calibri" w:hAnsi="Calibri"/>
          <w:color w:val="262626"/>
          <w:sz w:val="22"/>
          <w:szCs w:val="22"/>
        </w:rPr>
        <w:t xml:space="preserve">Acceso a tickets de mayor valor, por efecto de un portafolio más amplio y una marca con mayor respaldo.</w:t>
      </w:r>
    </w:p>
    <w:p>
      <w:pPr>
        <w:pStyle w:val="ListParagraph"/>
        <w:numPr>
          <w:ilvl w:val="0"/>
          <w:numId w:val="2"/>
        </w:numPr>
        <w:spacing w:after="90" w:line="280"/>
      </w:pPr>
      <w:r>
        <w:rPr>
          <w:rFonts w:ascii="Calibri" w:cs="Calibri" w:eastAsia="Calibri" w:hAnsi="Calibri"/>
          <w:color w:val="262626"/>
          <w:sz w:val="22"/>
          <w:szCs w:val="22"/>
        </w:rPr>
        <w:t xml:space="preserve">Una marca conjunta con casi ocho años de trayectoria como base, reforzada por la experiencia de Polka en el segmento de usadas.</w:t>
      </w:r>
    </w:p>
    <w:p>
      <w:pPr>
        <w:pStyle w:val="ListParagraph"/>
        <w:numPr>
          <w:ilvl w:val="0"/>
          <w:numId w:val="2"/>
        </w:numPr>
        <w:spacing w:after="90" w:line="280"/>
      </w:pPr>
      <w:r>
        <w:rPr>
          <w:rFonts w:ascii="Calibri" w:cs="Calibri" w:eastAsia="Calibri" w:hAnsi="Calibri"/>
          <w:color w:val="262626"/>
          <w:sz w:val="22"/>
          <w:szCs w:val="22"/>
        </w:rPr>
        <w:t xml:space="preserve">Crecimiento físico ordenado y planificado, con presencia comercial visible en el sector oriente.</w:t>
      </w:r>
    </w:p>
    <w:p>
      <w:r>
        <w:br w:type="page"/>
      </w:r>
    </w:p>
    <w:p>
      <w:pPr>
        <w:pStyle w:val="Heading1"/>
        <w:pBdr>
          <w:bottom w:val="single" w:color="1F3864" w:sz="8" w:space="6"/>
        </w:pBdr>
        <w:spacing w:after="180" w:before="340"/>
      </w:pPr>
      <w:r>
        <w:rPr>
          <w:rFonts w:ascii="Calibri" w:cs="Calibri" w:eastAsia="Calibri" w:hAnsi="Calibri"/>
          <w:b/>
          <w:bCs/>
          <w:color w:val="1F3864"/>
          <w:sz w:val="30"/>
          <w:szCs w:val="30"/>
        </w:rPr>
        <w:t xml:space="preserve">4. Propuesta 2 — Alianza solo en ventas (comisión compartida)</w:t>
      </w:r>
    </w:p>
    <w:p>
      <w:pPr>
        <w:pStyle w:val="Heading2"/>
        <w:spacing w:after="120" w:before="260"/>
      </w:pPr>
      <w:r>
        <w:rPr>
          <w:rFonts w:ascii="Calibri" w:cs="Calibri" w:eastAsia="Calibri" w:hAnsi="Calibri"/>
          <w:b/>
          <w:bCs/>
          <w:color w:val="2E5C9A"/>
          <w:sz w:val="24"/>
          <w:szCs w:val="24"/>
        </w:rPr>
        <w:t xml:space="preserve">4.1 Descripción general</w:t>
      </w:r>
    </w:p>
    <w:p>
      <w:pPr>
        <w:spacing w:after="140" w:line="280"/>
      </w:pPr>
      <w:r>
        <w:rPr>
          <w:rFonts w:ascii="Calibri" w:cs="Calibri" w:eastAsia="Calibri" w:hAnsi="Calibri"/>
          <w:color w:val="262626"/>
          <w:sz w:val="22"/>
          <w:szCs w:val="22"/>
        </w:rPr>
        <w:t xml:space="preserve">Esta segunda alternativa plantea una colaboración de alcance exclusivamente comercial. No existe fusión societaria: cada empresa mantiene su independencia jurídica, su marca, su equipo y su estructura de costos. La alianza se articula únicamente en torno a la venta y a la distribución de las comisiones que ella genera.</w:t>
      </w:r>
    </w:p>
    <w:p>
      <w:pPr>
        <w:spacing w:after="140" w:line="280"/>
      </w:pPr>
      <w:r>
        <w:rPr>
          <w:rFonts w:ascii="Calibri" w:cs="Calibri" w:eastAsia="Calibri" w:hAnsi="Calibri"/>
          <w:color w:val="262626"/>
          <w:sz w:val="22"/>
          <w:szCs w:val="22"/>
        </w:rPr>
        <w:t xml:space="preserve">Es una fórmula de menor compromiso, pensada para comenzar a generar resultados conjuntos de forma inmediata, sin los tiempos ni las definiciones legales que requiere una integración societaria.</w:t>
      </w:r>
    </w:p>
    <w:p>
      <w:pPr>
        <w:pStyle w:val="Heading2"/>
        <w:spacing w:after="120" w:before="260"/>
      </w:pPr>
      <w:r>
        <w:rPr>
          <w:rFonts w:ascii="Calibri" w:cs="Calibri" w:eastAsia="Calibri" w:hAnsi="Calibri"/>
          <w:b/>
          <w:bCs/>
          <w:color w:val="2E5C9A"/>
          <w:sz w:val="24"/>
          <w:szCs w:val="24"/>
        </w:rPr>
        <w:t xml:space="preserve">4.2 Qué aporta cada parte</w:t>
      </w:r>
    </w:p>
    <w:tbl>
      <w:tblPr>
        <w:tblW w:type="dxa" w:w="9360"/>
        <w:tblBorders>
          <w:top w:val="single" w:color="BFCADB" w:sz="4"/>
          <w:left w:val="single" w:color="BFCADB" w:sz="4"/>
          <w:bottom w:val="single" w:color="BFCADB" w:sz="4"/>
          <w:right w:val="single" w:color="BFCADB" w:sz="4"/>
          <w:insideH w:val="single" w:color="BFCADB" w:sz="4"/>
          <w:insideV w:val="single" w:color="BFCADB" w:sz="4"/>
        </w:tblBorders>
      </w:tblPr>
      <w:tblGrid>
        <w:gridCol w:w="2200"/>
        <w:gridCol w:w="3580"/>
        <w:gridCol w:w="3580"/>
      </w:tblGrid>
      <w:tr>
        <w:trPr>
          <w:tblHeader/>
        </w:trPr>
        <w:tc>
          <w:tcPr>
            <w:tcW w:type="dxa" w:w="2200"/>
            <w:shd w:fill="1F3864" w:color="auto" w:val="clear"/>
            <w:tcMar>
              <w:top w:type="dxa" w:w="90"/>
              <w:left w:type="dxa" w:w="140"/>
              <w:bottom w:type="dxa" w:w="90"/>
              <w:right w:type="dxa" w:w="140"/>
            </w:tcMar>
          </w:tcPr>
          <w:p>
            <w:pPr>
              <w:spacing w:after="0" w:line="260"/>
            </w:pPr>
            <w:r>
              <w:rPr>
                <w:rFonts w:ascii="Calibri" w:cs="Calibri" w:eastAsia="Calibri" w:hAnsi="Calibri"/>
                <w:b/>
                <w:bCs/>
                <w:color w:val="FFFFFF"/>
                <w:sz w:val="21"/>
                <w:szCs w:val="21"/>
              </w:rPr>
              <w:t xml:space="preserve">Ámbito</w:t>
            </w:r>
          </w:p>
        </w:tc>
        <w:tc>
          <w:tcPr>
            <w:tcW w:type="dxa" w:w="3580"/>
            <w:shd w:fill="1F3864" w:color="auto" w:val="clear"/>
            <w:tcMar>
              <w:top w:type="dxa" w:w="90"/>
              <w:left w:type="dxa" w:w="140"/>
              <w:bottom w:type="dxa" w:w="90"/>
              <w:right w:type="dxa" w:w="140"/>
            </w:tcMar>
          </w:tcPr>
          <w:p>
            <w:pPr>
              <w:spacing w:after="0" w:line="260"/>
            </w:pPr>
            <w:r>
              <w:rPr>
                <w:rFonts w:ascii="Calibri" w:cs="Calibri" w:eastAsia="Calibri" w:hAnsi="Calibri"/>
                <w:b/>
                <w:bCs/>
                <w:color w:val="FFFFFF"/>
                <w:sz w:val="21"/>
                <w:szCs w:val="21"/>
              </w:rPr>
              <w:t xml:space="preserve">Avance Inmobiliario</w:t>
            </w:r>
          </w:p>
        </w:tc>
        <w:tc>
          <w:tcPr>
            <w:tcW w:type="dxa" w:w="3580"/>
            <w:shd w:fill="1F3864" w:color="auto" w:val="clear"/>
            <w:tcMar>
              <w:top w:type="dxa" w:w="90"/>
              <w:left w:type="dxa" w:w="140"/>
              <w:bottom w:type="dxa" w:w="90"/>
              <w:right w:type="dxa" w:w="140"/>
            </w:tcMar>
          </w:tcPr>
          <w:p>
            <w:pPr>
              <w:spacing w:after="0" w:line="260"/>
            </w:pPr>
            <w:r>
              <w:rPr>
                <w:rFonts w:ascii="Calibri" w:cs="Calibri" w:eastAsia="Calibri" w:hAnsi="Calibri"/>
                <w:b/>
                <w:bCs/>
                <w:color w:val="FFFFFF"/>
                <w:sz w:val="21"/>
                <w:szCs w:val="21"/>
              </w:rPr>
              <w:t xml:space="preserve">Polka</w:t>
            </w:r>
          </w:p>
        </w:tc>
      </w:tr>
      <w:tr>
        <w:trPr>
          <w:tblHeader w:val="false"/>
        </w:trPr>
        <w:tc>
          <w:tcPr>
            <w:tcW w:type="dxa" w:w="2200"/>
            <w:tcMar>
              <w:top w:type="dxa" w:w="90"/>
              <w:left w:type="dxa" w:w="140"/>
              <w:bottom w:type="dxa" w:w="90"/>
              <w:right w:type="dxa" w:w="140"/>
            </w:tcMar>
          </w:tcPr>
          <w:p>
            <w:pPr>
              <w:spacing w:after="0" w:line="260"/>
            </w:pPr>
            <w:r>
              <w:rPr>
                <w:rFonts w:ascii="Calibri" w:cs="Calibri" w:eastAsia="Calibri" w:hAnsi="Calibri"/>
                <w:b/>
                <w:bCs/>
                <w:color w:val="262626"/>
                <w:sz w:val="21"/>
                <w:szCs w:val="21"/>
              </w:rPr>
              <w:t xml:space="preserve">Portafolio</w:t>
            </w:r>
          </w:p>
        </w:tc>
        <w:tc>
          <w:tcPr>
            <w:tcW w:type="dxa" w:w="3580"/>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Cartera de propiedades nuevas y alianzas comerciales con inmobiliarias, puestas a disposición de la alianza para su comercialización.</w:t>
            </w:r>
          </w:p>
        </w:tc>
        <w:tc>
          <w:tcPr>
            <w:tcW w:type="dxa" w:w="3580"/>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Cartera de propiedades usadas y su red de captación, disponibles bajo el mismo criterio.</w:t>
            </w:r>
          </w:p>
        </w:tc>
      </w:tr>
      <w:tr>
        <w:trPr>
          <w:tblHeader w:val="false"/>
        </w:trPr>
        <w:tc>
          <w:tcPr>
            <w:tcW w:type="dxa" w:w="2200"/>
            <w:shd w:fill="EEF2F8" w:color="auto" w:val="clear"/>
            <w:tcMar>
              <w:top w:type="dxa" w:w="90"/>
              <w:left w:type="dxa" w:w="140"/>
              <w:bottom w:type="dxa" w:w="90"/>
              <w:right w:type="dxa" w:w="140"/>
            </w:tcMar>
          </w:tcPr>
          <w:p>
            <w:pPr>
              <w:spacing w:after="0" w:line="260"/>
            </w:pPr>
            <w:r>
              <w:rPr>
                <w:rFonts w:ascii="Calibri" w:cs="Calibri" w:eastAsia="Calibri" w:hAnsi="Calibri"/>
                <w:b/>
                <w:bCs/>
                <w:color w:val="262626"/>
                <w:sz w:val="21"/>
                <w:szCs w:val="21"/>
              </w:rPr>
              <w:t xml:space="preserve">Capacidad comercial</w:t>
            </w:r>
          </w:p>
        </w:tc>
        <w:tc>
          <w:tcPr>
            <w:tcW w:type="dxa" w:w="3580"/>
            <w:shd w:fill="EEF2F8" w:color="auto" w:val="clear"/>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Marca, difusión en redes sociales y herramientas de soporte de venta aplicadas a la generación de oportunidades.</w:t>
            </w:r>
          </w:p>
        </w:tc>
        <w:tc>
          <w:tcPr>
            <w:tcW w:type="dxa" w:w="3580"/>
            <w:shd w:fill="EEF2F8" w:color="auto" w:val="clear"/>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Equipo de ejecutivos con experiencia en el cierre de operaciones de propiedades usadas.</w:t>
            </w:r>
          </w:p>
        </w:tc>
      </w:tr>
      <w:tr>
        <w:trPr>
          <w:tblHeader w:val="false"/>
        </w:trPr>
        <w:tc>
          <w:tcPr>
            <w:tcW w:type="dxa" w:w="2200"/>
            <w:tcMar>
              <w:top w:type="dxa" w:w="90"/>
              <w:left w:type="dxa" w:w="140"/>
              <w:bottom w:type="dxa" w:w="90"/>
              <w:right w:type="dxa" w:w="140"/>
            </w:tcMar>
          </w:tcPr>
          <w:p>
            <w:pPr>
              <w:spacing w:after="0" w:line="260"/>
            </w:pPr>
            <w:r>
              <w:rPr>
                <w:rFonts w:ascii="Calibri" w:cs="Calibri" w:eastAsia="Calibri" w:hAnsi="Calibri"/>
                <w:b/>
                <w:bCs/>
                <w:color w:val="262626"/>
                <w:sz w:val="21"/>
                <w:szCs w:val="21"/>
              </w:rPr>
              <w:t xml:space="preserve">Gestión</w:t>
            </w:r>
          </w:p>
        </w:tc>
        <w:tc>
          <w:tcPr>
            <w:tcW w:type="dxa" w:w="3580"/>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Cada parte conserva su propia estructura, sus costos y su administración.</w:t>
            </w:r>
          </w:p>
        </w:tc>
        <w:tc>
          <w:tcPr>
            <w:tcW w:type="dxa" w:w="3580"/>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Cada parte conserva su propia estructura, sus costos y su administración.</w:t>
            </w:r>
          </w:p>
        </w:tc>
      </w:tr>
    </w:tbl>
    <w:p>
      <w:pPr>
        <w:pStyle w:val="Heading2"/>
        <w:spacing w:after="120" w:before="260"/>
      </w:pPr>
      <w:r>
        <w:rPr>
          <w:rFonts w:ascii="Calibri" w:cs="Calibri" w:eastAsia="Calibri" w:hAnsi="Calibri"/>
          <w:b/>
          <w:bCs/>
          <w:color w:val="2E5C9A"/>
          <w:sz w:val="24"/>
          <w:szCs w:val="24"/>
        </w:rPr>
        <w:t xml:space="preserve">4.3 Modelo de la alianza</w:t>
      </w:r>
    </w:p>
    <w:p>
      <w:pPr>
        <w:pStyle w:val="ListParagraph"/>
        <w:numPr>
          <w:ilvl w:val="0"/>
          <w:numId w:val="2"/>
        </w:numPr>
        <w:spacing w:after="90" w:line="280"/>
      </w:pPr>
      <w:r>
        <w:rPr>
          <w:rFonts w:ascii="Calibri" w:cs="Calibri" w:eastAsia="Calibri" w:hAnsi="Calibri"/>
          <w:b/>
          <w:bCs/>
          <w:color w:val="262626"/>
          <w:sz w:val="22"/>
          <w:szCs w:val="22"/>
        </w:rPr>
        <w:t xml:space="preserve">Independencia. </w:t>
      </w:r>
      <w:r>
        <w:rPr>
          <w:rFonts w:ascii="Calibri" w:cs="Calibri" w:eastAsia="Calibri" w:hAnsi="Calibri"/>
          <w:b w:val="false"/>
          <w:bCs w:val="false"/>
          <w:color w:val="262626"/>
          <w:sz w:val="22"/>
          <w:szCs w:val="22"/>
        </w:rPr>
        <w:t xml:space="preserve">No hay fusión ni constitución de una sociedad nueva. Cada empresa opera con su propia razón social y asume sus propios costos.</w:t>
      </w:r>
    </w:p>
    <w:p>
      <w:pPr>
        <w:pStyle w:val="ListParagraph"/>
        <w:numPr>
          <w:ilvl w:val="0"/>
          <w:numId w:val="2"/>
        </w:numPr>
        <w:spacing w:after="90" w:line="280"/>
      </w:pPr>
      <w:r>
        <w:rPr>
          <w:rFonts w:ascii="Calibri" w:cs="Calibri" w:eastAsia="Calibri" w:hAnsi="Calibri"/>
          <w:b/>
          <w:bCs/>
          <w:color w:val="262626"/>
          <w:sz w:val="22"/>
          <w:szCs w:val="22"/>
        </w:rPr>
        <w:t xml:space="preserve">Foco comercial. </w:t>
      </w:r>
      <w:r>
        <w:rPr>
          <w:rFonts w:ascii="Calibri" w:cs="Calibri" w:eastAsia="Calibri" w:hAnsi="Calibri"/>
          <w:b w:val="false"/>
          <w:bCs w:val="false"/>
          <w:color w:val="262626"/>
          <w:sz w:val="22"/>
          <w:szCs w:val="22"/>
        </w:rPr>
        <w:t xml:space="preserve">La colaboración se concentra en referir, presentar y cerrar operaciones sobre las carteras de ambas partes.</w:t>
      </w:r>
    </w:p>
    <w:p>
      <w:pPr>
        <w:pStyle w:val="ListParagraph"/>
        <w:numPr>
          <w:ilvl w:val="0"/>
          <w:numId w:val="2"/>
        </w:numPr>
        <w:spacing w:after="90" w:line="280"/>
      </w:pPr>
      <w:r>
        <w:rPr>
          <w:rFonts w:ascii="Calibri" w:cs="Calibri" w:eastAsia="Calibri" w:hAnsi="Calibri"/>
          <w:b/>
          <w:bCs/>
          <w:color w:val="262626"/>
          <w:sz w:val="22"/>
          <w:szCs w:val="22"/>
        </w:rPr>
        <w:t xml:space="preserve">Atribución de la operación. </w:t>
      </w:r>
      <w:r>
        <w:rPr>
          <w:rFonts w:ascii="Calibri" w:cs="Calibri" w:eastAsia="Calibri" w:hAnsi="Calibri"/>
          <w:b w:val="false"/>
          <w:bCs w:val="false"/>
          <w:color w:val="262626"/>
          <w:sz w:val="22"/>
          <w:szCs w:val="22"/>
        </w:rPr>
        <w:t xml:space="preserve">Cada operación se identifica con la parte que la origina y con la parte que participa en su cierre, de modo que la distribución de la comisión sea clara desde el inicio.</w:t>
      </w:r>
    </w:p>
    <w:p>
      <w:pPr>
        <w:pStyle w:val="Heading2"/>
        <w:spacing w:after="120" w:before="260"/>
      </w:pPr>
      <w:r>
        <w:rPr>
          <w:rFonts w:ascii="Calibri" w:cs="Calibri" w:eastAsia="Calibri" w:hAnsi="Calibri"/>
          <w:b/>
          <w:bCs/>
          <w:color w:val="2E5C9A"/>
          <w:sz w:val="24"/>
          <w:szCs w:val="24"/>
        </w:rPr>
        <w:t xml:space="preserve">4.4 Condiciones económicas</w:t>
      </w:r>
    </w:p>
    <w:p>
      <w:pPr>
        <w:spacing w:after="140" w:line="280"/>
      </w:pPr>
      <w:r>
        <w:rPr>
          <w:rFonts w:ascii="Calibri" w:cs="Calibri" w:eastAsia="Calibri" w:hAnsi="Calibri"/>
          <w:color w:val="262626"/>
          <w:sz w:val="22"/>
          <w:szCs w:val="22"/>
        </w:rPr>
        <w:t xml:space="preserve">El esquema económico es directo: se paga un 50% del valor de la comisión que cobra cada inmobiliaria por proyecto. Dicha comisión se sitúa en un rango de 3% a 6%, según el proyecto de que se trate.</w:t>
      </w:r>
    </w:p>
    <w:tbl>
      <w:tblPr>
        <w:tblW w:type="dxa" w:w="9360"/>
        <w:tblBorders>
          <w:top w:val="single" w:color="BFCADB" w:sz="4"/>
          <w:left w:val="single" w:color="BFCADB" w:sz="4"/>
          <w:bottom w:val="single" w:color="BFCADB" w:sz="4"/>
          <w:right w:val="single" w:color="BFCADB" w:sz="4"/>
          <w:insideH w:val="single" w:color="BFCADB" w:sz="4"/>
          <w:insideV w:val="single" w:color="BFCADB" w:sz="4"/>
        </w:tblBorders>
      </w:tblPr>
      <w:tblGrid>
        <w:gridCol w:w="3120"/>
        <w:gridCol w:w="3120"/>
        <w:gridCol w:w="3120"/>
      </w:tblGrid>
      <w:tr>
        <w:trPr>
          <w:tblHeader/>
        </w:trPr>
        <w:tc>
          <w:tcPr>
            <w:tcW w:type="dxa" w:w="3120"/>
            <w:shd w:fill="1F3864" w:color="auto" w:val="clear"/>
            <w:tcMar>
              <w:top w:type="dxa" w:w="90"/>
              <w:left w:type="dxa" w:w="140"/>
              <w:bottom w:type="dxa" w:w="90"/>
              <w:right w:type="dxa" w:w="140"/>
            </w:tcMar>
          </w:tcPr>
          <w:p>
            <w:pPr>
              <w:spacing w:after="0" w:line="260"/>
            </w:pPr>
            <w:r>
              <w:rPr>
                <w:rFonts w:ascii="Calibri" w:cs="Calibri" w:eastAsia="Calibri" w:hAnsi="Calibri"/>
                <w:b/>
                <w:bCs/>
                <w:color w:val="FFFFFF"/>
                <w:sz w:val="21"/>
                <w:szCs w:val="21"/>
              </w:rPr>
              <w:t xml:space="preserve">Concepto</w:t>
            </w:r>
          </w:p>
        </w:tc>
        <w:tc>
          <w:tcPr>
            <w:tcW w:type="dxa" w:w="3120"/>
            <w:shd w:fill="1F3864" w:color="auto" w:val="clear"/>
            <w:tcMar>
              <w:top w:type="dxa" w:w="90"/>
              <w:left w:type="dxa" w:w="140"/>
              <w:bottom w:type="dxa" w:w="90"/>
              <w:right w:type="dxa" w:w="140"/>
            </w:tcMar>
          </w:tcPr>
          <w:p>
            <w:pPr>
              <w:spacing w:after="0" w:line="260"/>
            </w:pPr>
            <w:r>
              <w:rPr>
                <w:rFonts w:ascii="Calibri" w:cs="Calibri" w:eastAsia="Calibri" w:hAnsi="Calibri"/>
                <w:b/>
                <w:bCs/>
                <w:color w:val="FFFFFF"/>
                <w:sz w:val="21"/>
                <w:szCs w:val="21"/>
              </w:rPr>
              <w:t xml:space="preserve">Condición</w:t>
            </w:r>
          </w:p>
        </w:tc>
        <w:tc>
          <w:tcPr>
            <w:tcW w:type="dxa" w:w="3120"/>
            <w:shd w:fill="1F3864" w:color="auto" w:val="clear"/>
            <w:tcMar>
              <w:top w:type="dxa" w:w="90"/>
              <w:left w:type="dxa" w:w="140"/>
              <w:bottom w:type="dxa" w:w="90"/>
              <w:right w:type="dxa" w:w="140"/>
            </w:tcMar>
          </w:tcPr>
          <w:p>
            <w:pPr>
              <w:spacing w:after="0" w:line="260"/>
            </w:pPr>
            <w:r>
              <w:rPr>
                <w:rFonts w:ascii="Calibri" w:cs="Calibri" w:eastAsia="Calibri" w:hAnsi="Calibri"/>
                <w:b/>
                <w:bCs/>
                <w:color w:val="FFFFFF"/>
                <w:sz w:val="21"/>
                <w:szCs w:val="21"/>
              </w:rPr>
              <w:t xml:space="preserve">Observación</w:t>
            </w:r>
          </w:p>
        </w:tc>
      </w:tr>
      <w:tr>
        <w:trPr>
          <w:tblHeader w:val="false"/>
        </w:trPr>
        <w:tc>
          <w:tcPr>
            <w:tcW w:type="dxa" w:w="3120"/>
            <w:tcMar>
              <w:top w:type="dxa" w:w="90"/>
              <w:left w:type="dxa" w:w="140"/>
              <w:bottom w:type="dxa" w:w="90"/>
              <w:right w:type="dxa" w:w="140"/>
            </w:tcMar>
          </w:tcPr>
          <w:p>
            <w:pPr>
              <w:spacing w:after="0" w:line="260"/>
            </w:pPr>
            <w:r>
              <w:rPr>
                <w:rFonts w:ascii="Calibri" w:cs="Calibri" w:eastAsia="Calibri" w:hAnsi="Calibri"/>
                <w:b/>
                <w:bCs/>
                <w:color w:val="262626"/>
                <w:sz w:val="21"/>
                <w:szCs w:val="21"/>
              </w:rPr>
              <w:t xml:space="preserve">Comisión de la inmobiliaria</w:t>
            </w:r>
          </w:p>
        </w:tc>
        <w:tc>
          <w:tcPr>
            <w:tcW w:type="dxa" w:w="3120"/>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Entre 3% y 6%</w:t>
            </w:r>
          </w:p>
        </w:tc>
        <w:tc>
          <w:tcPr>
            <w:tcW w:type="dxa" w:w="3120"/>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El porcentaje aplicable depende del proyecto específico.</w:t>
            </w:r>
          </w:p>
        </w:tc>
      </w:tr>
      <w:tr>
        <w:trPr>
          <w:tblHeader w:val="false"/>
        </w:trPr>
        <w:tc>
          <w:tcPr>
            <w:tcW w:type="dxa" w:w="3120"/>
            <w:shd w:fill="EEF2F8" w:color="auto" w:val="clear"/>
            <w:tcMar>
              <w:top w:type="dxa" w:w="90"/>
              <w:left w:type="dxa" w:w="140"/>
              <w:bottom w:type="dxa" w:w="90"/>
              <w:right w:type="dxa" w:w="140"/>
            </w:tcMar>
          </w:tcPr>
          <w:p>
            <w:pPr>
              <w:spacing w:after="0" w:line="260"/>
            </w:pPr>
            <w:r>
              <w:rPr>
                <w:rFonts w:ascii="Calibri" w:cs="Calibri" w:eastAsia="Calibri" w:hAnsi="Calibri"/>
                <w:b/>
                <w:bCs/>
                <w:color w:val="262626"/>
                <w:sz w:val="21"/>
                <w:szCs w:val="21"/>
              </w:rPr>
              <w:t xml:space="preserve">Participación de la alianza</w:t>
            </w:r>
          </w:p>
        </w:tc>
        <w:tc>
          <w:tcPr>
            <w:tcW w:type="dxa" w:w="3120"/>
            <w:shd w:fill="EEF2F8" w:color="auto" w:val="clear"/>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50% del valor de esa comisión</w:t>
            </w:r>
          </w:p>
        </w:tc>
        <w:tc>
          <w:tcPr>
            <w:tcW w:type="dxa" w:w="3120"/>
            <w:shd w:fill="EEF2F8" w:color="auto" w:val="clear"/>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Se calcula sobre la comisión efectivamente cobrada por la inmobiliaria en cada proyecto.</w:t>
            </w:r>
          </w:p>
        </w:tc>
      </w:tr>
      <w:tr>
        <w:trPr>
          <w:tblHeader w:val="false"/>
        </w:trPr>
        <w:tc>
          <w:tcPr>
            <w:tcW w:type="dxa" w:w="3120"/>
            <w:tcMar>
              <w:top w:type="dxa" w:w="90"/>
              <w:left w:type="dxa" w:w="140"/>
              <w:bottom w:type="dxa" w:w="90"/>
              <w:right w:type="dxa" w:w="140"/>
            </w:tcMar>
          </w:tcPr>
          <w:p>
            <w:pPr>
              <w:spacing w:after="0" w:line="260"/>
            </w:pPr>
            <w:r>
              <w:rPr>
                <w:rFonts w:ascii="Calibri" w:cs="Calibri" w:eastAsia="Calibri" w:hAnsi="Calibri"/>
                <w:b/>
                <w:bCs/>
                <w:color w:val="262626"/>
                <w:sz w:val="21"/>
                <w:szCs w:val="21"/>
              </w:rPr>
              <w:t xml:space="preserve">Costos de operación</w:t>
            </w:r>
          </w:p>
        </w:tc>
        <w:tc>
          <w:tcPr>
            <w:tcW w:type="dxa" w:w="3120"/>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Cada parte asume los propios</w:t>
            </w:r>
          </w:p>
        </w:tc>
        <w:tc>
          <w:tcPr>
            <w:tcW w:type="dxa" w:w="3120"/>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No hay costos compartidos ni estructura común de gastos.</w:t>
            </w:r>
          </w:p>
        </w:tc>
      </w:tr>
    </w:tbl>
    <w:p>
      <w:pPr>
        <w:spacing w:after="160"/>
      </w:pPr>
    </w:p>
    <w:p>
      <w:pPr>
        <w:spacing w:after="140" w:line="280"/>
      </w:pPr>
      <w:r>
        <w:rPr>
          <w:rFonts w:ascii="Calibri" w:cs="Calibri" w:eastAsia="Calibri" w:hAnsi="Calibri"/>
          <w:i/>
          <w:iCs/>
          <w:color w:val="595959"/>
          <w:sz w:val="21"/>
          <w:szCs w:val="21"/>
        </w:rPr>
        <w:t xml:space="preserve">Se recomienda dejar establecido en el acuerdo el momento del pago —por regla general, una vez percibida la comisión por parte de la inmobiliaria— y el respaldo documental que acompaña cada liquidación.</w:t>
      </w:r>
    </w:p>
    <w:p>
      <w:pPr>
        <w:pStyle w:val="Heading2"/>
        <w:spacing w:after="120" w:before="260"/>
      </w:pPr>
      <w:r>
        <w:rPr>
          <w:rFonts w:ascii="Calibri" w:cs="Calibri" w:eastAsia="Calibri" w:hAnsi="Calibri"/>
          <w:b/>
          <w:bCs/>
          <w:color w:val="2E5C9A"/>
          <w:sz w:val="24"/>
          <w:szCs w:val="24"/>
        </w:rPr>
        <w:t xml:space="preserve">4.5 Plazos y duración</w:t>
      </w:r>
    </w:p>
    <w:p>
      <w:pPr>
        <w:pStyle w:val="ListParagraph"/>
        <w:numPr>
          <w:ilvl w:val="0"/>
          <w:numId w:val="2"/>
        </w:numPr>
        <w:spacing w:after="90" w:line="280"/>
      </w:pPr>
      <w:r>
        <w:rPr>
          <w:rFonts w:ascii="Calibri" w:cs="Calibri" w:eastAsia="Calibri" w:hAnsi="Calibri"/>
          <w:b/>
          <w:bCs/>
          <w:color w:val="262626"/>
          <w:sz w:val="22"/>
          <w:szCs w:val="22"/>
        </w:rPr>
        <w:t xml:space="preserve">Entrada en vigor. </w:t>
      </w:r>
      <w:r>
        <w:rPr>
          <w:rFonts w:ascii="Calibri" w:cs="Calibri" w:eastAsia="Calibri" w:hAnsi="Calibri"/>
          <w:b w:val="false"/>
          <w:bCs w:val="false"/>
          <w:color w:val="262626"/>
          <w:sz w:val="22"/>
          <w:szCs w:val="22"/>
        </w:rPr>
        <w:t xml:space="preserve">El acuerdo rige desde el momento de la firma.</w:t>
      </w:r>
    </w:p>
    <w:p>
      <w:pPr>
        <w:pStyle w:val="ListParagraph"/>
        <w:numPr>
          <w:ilvl w:val="0"/>
          <w:numId w:val="2"/>
        </w:numPr>
        <w:spacing w:after="90" w:line="280"/>
      </w:pPr>
      <w:r>
        <w:rPr>
          <w:rFonts w:ascii="Calibri" w:cs="Calibri" w:eastAsia="Calibri" w:hAnsi="Calibri"/>
          <w:b/>
          <w:bCs/>
          <w:color w:val="262626"/>
          <w:sz w:val="22"/>
          <w:szCs w:val="22"/>
        </w:rPr>
        <w:t xml:space="preserve">Duración. </w:t>
      </w:r>
      <w:r>
        <w:rPr>
          <w:rFonts w:ascii="Calibri" w:cs="Calibri" w:eastAsia="Calibri" w:hAnsi="Calibri"/>
          <w:b w:val="false"/>
          <w:bCs w:val="false"/>
          <w:color w:val="262626"/>
          <w:sz w:val="22"/>
          <w:szCs w:val="22"/>
        </w:rPr>
        <w:t xml:space="preserve">El acuerdo se mantiene vigente mientras ambas partes lo conserven firmado, sin plazo fijo predefinido.</w:t>
      </w:r>
    </w:p>
    <w:p>
      <w:pPr>
        <w:pStyle w:val="ListParagraph"/>
        <w:numPr>
          <w:ilvl w:val="0"/>
          <w:numId w:val="2"/>
        </w:numPr>
        <w:spacing w:after="90" w:line="280"/>
      </w:pPr>
      <w:r>
        <w:rPr>
          <w:rFonts w:ascii="Calibri" w:cs="Calibri" w:eastAsia="Calibri" w:hAnsi="Calibri"/>
          <w:b/>
          <w:bCs/>
          <w:color w:val="262626"/>
          <w:sz w:val="22"/>
          <w:szCs w:val="22"/>
        </w:rPr>
        <w:t xml:space="preserve">Formalidades. </w:t>
      </w:r>
      <w:r>
        <w:rPr>
          <w:rFonts w:ascii="Calibri" w:cs="Calibri" w:eastAsia="Calibri" w:hAnsi="Calibri"/>
          <w:b w:val="false"/>
          <w:bCs w:val="false"/>
          <w:color w:val="262626"/>
          <w:sz w:val="22"/>
          <w:szCs w:val="22"/>
        </w:rPr>
        <w:t xml:space="preserve">No requiere la constitución de una nueva empresa ni modificaciones societarias, lo que permite una implementación prácticamente inmediata.</w:t>
      </w:r>
    </w:p>
    <w:p>
      <w:pPr>
        <w:pStyle w:val="Heading2"/>
        <w:spacing w:after="120" w:before="260"/>
      </w:pPr>
      <w:r>
        <w:rPr>
          <w:rFonts w:ascii="Calibri" w:cs="Calibri" w:eastAsia="Calibri" w:hAnsi="Calibri"/>
          <w:b/>
          <w:bCs/>
          <w:color w:val="2E5C9A"/>
          <w:sz w:val="24"/>
          <w:szCs w:val="24"/>
        </w:rPr>
        <w:t xml:space="preserve">4.6 Beneficios esperados</w:t>
      </w:r>
    </w:p>
    <w:p>
      <w:pPr>
        <w:pStyle w:val="ListParagraph"/>
        <w:numPr>
          <w:ilvl w:val="0"/>
          <w:numId w:val="2"/>
        </w:numPr>
        <w:spacing w:after="90" w:line="280"/>
      </w:pPr>
      <w:r>
        <w:rPr>
          <w:rFonts w:ascii="Calibri" w:cs="Calibri" w:eastAsia="Calibri" w:hAnsi="Calibri"/>
          <w:color w:val="262626"/>
          <w:sz w:val="22"/>
          <w:szCs w:val="22"/>
        </w:rPr>
        <w:t xml:space="preserve">Puesta en marcha inmediata, sin trámites societarios ni tiempos de constitución.</w:t>
      </w:r>
    </w:p>
    <w:p>
      <w:pPr>
        <w:pStyle w:val="ListParagraph"/>
        <w:numPr>
          <w:ilvl w:val="0"/>
          <w:numId w:val="2"/>
        </w:numPr>
        <w:spacing w:after="90" w:line="280"/>
      </w:pPr>
      <w:r>
        <w:rPr>
          <w:rFonts w:ascii="Calibri" w:cs="Calibri" w:eastAsia="Calibri" w:hAnsi="Calibri"/>
          <w:color w:val="262626"/>
          <w:sz w:val="22"/>
          <w:szCs w:val="22"/>
        </w:rPr>
        <w:t xml:space="preserve">Riesgo acotado: cada empresa mantiene su independencia, su marca y su estructura de costos.</w:t>
      </w:r>
    </w:p>
    <w:p>
      <w:pPr>
        <w:pStyle w:val="ListParagraph"/>
        <w:numPr>
          <w:ilvl w:val="0"/>
          <w:numId w:val="2"/>
        </w:numPr>
        <w:spacing w:after="90" w:line="280"/>
      </w:pPr>
      <w:r>
        <w:rPr>
          <w:rFonts w:ascii="Calibri" w:cs="Calibri" w:eastAsia="Calibri" w:hAnsi="Calibri"/>
          <w:color w:val="262626"/>
          <w:sz w:val="22"/>
          <w:szCs w:val="22"/>
        </w:rPr>
        <w:t xml:space="preserve">Acceso recíproco a carteras complementarias, con ingresos adicionales sin inversión previa.</w:t>
      </w:r>
    </w:p>
    <w:p>
      <w:pPr>
        <w:pStyle w:val="ListParagraph"/>
        <w:numPr>
          <w:ilvl w:val="0"/>
          <w:numId w:val="2"/>
        </w:numPr>
        <w:spacing w:after="90" w:line="280"/>
      </w:pPr>
      <w:r>
        <w:rPr>
          <w:rFonts w:ascii="Calibri" w:cs="Calibri" w:eastAsia="Calibri" w:hAnsi="Calibri"/>
          <w:color w:val="262626"/>
          <w:sz w:val="22"/>
          <w:szCs w:val="22"/>
        </w:rPr>
        <w:t xml:space="preserve">Esquema de remuneración simple y verificable, referido a la comisión efectivamente cobrada en cada proyecto.</w:t>
      </w:r>
    </w:p>
    <w:p>
      <w:pPr>
        <w:pStyle w:val="ListParagraph"/>
        <w:numPr>
          <w:ilvl w:val="0"/>
          <w:numId w:val="2"/>
        </w:numPr>
        <w:spacing w:after="90" w:line="280"/>
      </w:pPr>
      <w:r>
        <w:rPr>
          <w:rFonts w:ascii="Calibri" w:cs="Calibri" w:eastAsia="Calibri" w:hAnsi="Calibri"/>
          <w:color w:val="262626"/>
          <w:sz w:val="22"/>
          <w:szCs w:val="22"/>
        </w:rPr>
        <w:t xml:space="preserve">Flexibilidad para ajustar o dar término al acuerdo según la evolución del negocio.</w:t>
      </w:r>
    </w:p>
    <w:p>
      <w:pPr>
        <w:pStyle w:val="ListParagraph"/>
        <w:numPr>
          <w:ilvl w:val="0"/>
          <w:numId w:val="2"/>
        </w:numPr>
        <w:spacing w:after="90" w:line="280"/>
      </w:pPr>
      <w:r>
        <w:rPr>
          <w:rFonts w:ascii="Calibri" w:cs="Calibri" w:eastAsia="Calibri" w:hAnsi="Calibri"/>
          <w:color w:val="262626"/>
          <w:sz w:val="22"/>
          <w:szCs w:val="22"/>
        </w:rPr>
        <w:t xml:space="preserve">Permite validar en la práctica la complementariedad de ambos portafolios antes de evaluar una integración mayor.</w:t>
      </w:r>
    </w:p>
    <w:p>
      <w:r>
        <w:br w:type="page"/>
      </w:r>
    </w:p>
    <w:p>
      <w:pPr>
        <w:pStyle w:val="Heading1"/>
        <w:pBdr>
          <w:bottom w:val="single" w:color="1F3864" w:sz="8" w:space="6"/>
        </w:pBdr>
        <w:spacing w:after="180" w:before="340"/>
      </w:pPr>
      <w:r>
        <w:rPr>
          <w:rFonts w:ascii="Calibri" w:cs="Calibri" w:eastAsia="Calibri" w:hAnsi="Calibri"/>
          <w:b/>
          <w:bCs/>
          <w:color w:val="1F3864"/>
          <w:sz w:val="30"/>
          <w:szCs w:val="30"/>
        </w:rPr>
        <w:t xml:space="preserve">5. Cuadro comparativo</w:t>
      </w:r>
    </w:p>
    <w:p>
      <w:pPr>
        <w:spacing w:after="140" w:line="280"/>
      </w:pPr>
      <w:r>
        <w:rPr>
          <w:rFonts w:ascii="Calibri" w:cs="Calibri" w:eastAsia="Calibri" w:hAnsi="Calibri"/>
          <w:color w:val="262626"/>
          <w:sz w:val="22"/>
          <w:szCs w:val="22"/>
        </w:rPr>
        <w:t xml:space="preserve">El siguiente cuadro resume las diferencias esenciales entre ambas alternativas:</w:t>
      </w:r>
    </w:p>
    <w:tbl>
      <w:tblPr>
        <w:tblW w:type="dxa" w:w="9360"/>
        <w:tblBorders>
          <w:top w:val="single" w:color="BFCADB" w:sz="4"/>
          <w:left w:val="single" w:color="BFCADB" w:sz="4"/>
          <w:bottom w:val="single" w:color="BFCADB" w:sz="4"/>
          <w:right w:val="single" w:color="BFCADB" w:sz="4"/>
          <w:insideH w:val="single" w:color="BFCADB" w:sz="4"/>
          <w:insideV w:val="single" w:color="BFCADB" w:sz="4"/>
        </w:tblBorders>
      </w:tblPr>
      <w:tblGrid>
        <w:gridCol w:w="2400"/>
        <w:gridCol w:w="3480"/>
        <w:gridCol w:w="3480"/>
      </w:tblGrid>
      <w:tr>
        <w:trPr>
          <w:tblHeader/>
        </w:trPr>
        <w:tc>
          <w:tcPr>
            <w:tcW w:type="dxa" w:w="2400"/>
            <w:shd w:fill="1F3864" w:color="auto" w:val="clear"/>
            <w:tcMar>
              <w:top w:type="dxa" w:w="90"/>
              <w:left w:type="dxa" w:w="140"/>
              <w:bottom w:type="dxa" w:w="90"/>
              <w:right w:type="dxa" w:w="140"/>
            </w:tcMar>
          </w:tcPr>
          <w:p>
            <w:pPr>
              <w:spacing w:after="0" w:line="260"/>
            </w:pPr>
            <w:r>
              <w:rPr>
                <w:rFonts w:ascii="Calibri" w:cs="Calibri" w:eastAsia="Calibri" w:hAnsi="Calibri"/>
                <w:b/>
                <w:bCs/>
                <w:color w:val="FFFFFF"/>
                <w:sz w:val="21"/>
                <w:szCs w:val="21"/>
              </w:rPr>
              <w:t xml:space="preserve">Criterio</w:t>
            </w:r>
          </w:p>
        </w:tc>
        <w:tc>
          <w:tcPr>
            <w:tcW w:type="dxa" w:w="3480"/>
            <w:shd w:fill="1F3864" w:color="auto" w:val="clear"/>
            <w:tcMar>
              <w:top w:type="dxa" w:w="90"/>
              <w:left w:type="dxa" w:w="140"/>
              <w:bottom w:type="dxa" w:w="90"/>
              <w:right w:type="dxa" w:w="140"/>
            </w:tcMar>
          </w:tcPr>
          <w:p>
            <w:pPr>
              <w:spacing w:after="0" w:line="260"/>
            </w:pPr>
            <w:r>
              <w:rPr>
                <w:rFonts w:ascii="Calibri" w:cs="Calibri" w:eastAsia="Calibri" w:hAnsi="Calibri"/>
                <w:b/>
                <w:bCs/>
                <w:color w:val="FFFFFF"/>
                <w:sz w:val="21"/>
                <w:szCs w:val="21"/>
              </w:rPr>
              <w:t xml:space="preserve">Propuesta 1 — Fusión / Alianza societaria</w:t>
            </w:r>
          </w:p>
        </w:tc>
        <w:tc>
          <w:tcPr>
            <w:tcW w:type="dxa" w:w="3480"/>
            <w:shd w:fill="1F3864" w:color="auto" w:val="clear"/>
            <w:tcMar>
              <w:top w:type="dxa" w:w="90"/>
              <w:left w:type="dxa" w:w="140"/>
              <w:bottom w:type="dxa" w:w="90"/>
              <w:right w:type="dxa" w:w="140"/>
            </w:tcMar>
          </w:tcPr>
          <w:p>
            <w:pPr>
              <w:spacing w:after="0" w:line="260"/>
            </w:pPr>
            <w:r>
              <w:rPr>
                <w:rFonts w:ascii="Calibri" w:cs="Calibri" w:eastAsia="Calibri" w:hAnsi="Calibri"/>
                <w:b/>
                <w:bCs/>
                <w:color w:val="FFFFFF"/>
                <w:sz w:val="21"/>
                <w:szCs w:val="21"/>
              </w:rPr>
              <w:t xml:space="preserve">Propuesta 2 — Alianza en ventas</w:t>
            </w:r>
          </w:p>
        </w:tc>
      </w:tr>
      <w:tr>
        <w:trPr>
          <w:tblHeader w:val="false"/>
        </w:trPr>
        <w:tc>
          <w:tcPr>
            <w:tcW w:type="dxa" w:w="2400"/>
            <w:tcMar>
              <w:top w:type="dxa" w:w="90"/>
              <w:left w:type="dxa" w:w="140"/>
              <w:bottom w:type="dxa" w:w="90"/>
              <w:right w:type="dxa" w:w="140"/>
            </w:tcMar>
          </w:tcPr>
          <w:p>
            <w:pPr>
              <w:spacing w:after="0" w:line="260"/>
            </w:pPr>
            <w:r>
              <w:rPr>
                <w:rFonts w:ascii="Calibri" w:cs="Calibri" w:eastAsia="Calibri" w:hAnsi="Calibri"/>
                <w:b/>
                <w:bCs/>
                <w:color w:val="262626"/>
                <w:sz w:val="21"/>
                <w:szCs w:val="21"/>
              </w:rPr>
              <w:t xml:space="preserve">Estructura</w:t>
            </w:r>
          </w:p>
        </w:tc>
        <w:tc>
          <w:tcPr>
            <w:tcW w:type="dxa" w:w="3480"/>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Una sola empresa, 50% y 50%.</w:t>
            </w:r>
          </w:p>
        </w:tc>
        <w:tc>
          <w:tcPr>
            <w:tcW w:type="dxa" w:w="3480"/>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Dos empresas independientes.</w:t>
            </w:r>
          </w:p>
        </w:tc>
      </w:tr>
      <w:tr>
        <w:trPr>
          <w:tblHeader w:val="false"/>
        </w:trPr>
        <w:tc>
          <w:tcPr>
            <w:tcW w:type="dxa" w:w="2400"/>
            <w:shd w:fill="EEF2F8" w:color="auto" w:val="clear"/>
            <w:tcMar>
              <w:top w:type="dxa" w:w="90"/>
              <w:left w:type="dxa" w:w="140"/>
              <w:bottom w:type="dxa" w:w="90"/>
              <w:right w:type="dxa" w:w="140"/>
            </w:tcMar>
          </w:tcPr>
          <w:p>
            <w:pPr>
              <w:spacing w:after="0" w:line="260"/>
            </w:pPr>
            <w:r>
              <w:rPr>
                <w:rFonts w:ascii="Calibri" w:cs="Calibri" w:eastAsia="Calibri" w:hAnsi="Calibri"/>
                <w:b/>
                <w:bCs/>
                <w:color w:val="262626"/>
                <w:sz w:val="21"/>
                <w:szCs w:val="21"/>
              </w:rPr>
              <w:t xml:space="preserve">Formalización</w:t>
            </w:r>
          </w:p>
        </w:tc>
        <w:tc>
          <w:tcPr>
            <w:tcW w:type="dxa" w:w="3480"/>
            <w:shd w:fill="EEF2F8" w:color="auto" w:val="clear"/>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Alianza formal o empresa nueva desde cero.</w:t>
            </w:r>
          </w:p>
        </w:tc>
        <w:tc>
          <w:tcPr>
            <w:tcW w:type="dxa" w:w="3480"/>
            <w:shd w:fill="EEF2F8" w:color="auto" w:val="clear"/>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Acuerdo comercial firmado, sin sociedad nueva.</w:t>
            </w:r>
          </w:p>
        </w:tc>
      </w:tr>
      <w:tr>
        <w:trPr>
          <w:tblHeader w:val="false"/>
        </w:trPr>
        <w:tc>
          <w:tcPr>
            <w:tcW w:type="dxa" w:w="2400"/>
            <w:tcMar>
              <w:top w:type="dxa" w:w="90"/>
              <w:left w:type="dxa" w:w="140"/>
              <w:bottom w:type="dxa" w:w="90"/>
              <w:right w:type="dxa" w:w="140"/>
            </w:tcMar>
          </w:tcPr>
          <w:p>
            <w:pPr>
              <w:spacing w:after="0" w:line="260"/>
            </w:pPr>
            <w:r>
              <w:rPr>
                <w:rFonts w:ascii="Calibri" w:cs="Calibri" w:eastAsia="Calibri" w:hAnsi="Calibri"/>
                <w:b/>
                <w:bCs/>
                <w:color w:val="262626"/>
                <w:sz w:val="21"/>
                <w:szCs w:val="21"/>
              </w:rPr>
              <w:t xml:space="preserve">Modelo económico</w:t>
            </w:r>
          </w:p>
        </w:tc>
        <w:tc>
          <w:tcPr>
            <w:tcW w:type="dxa" w:w="3480"/>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Costos e ingresos compartidos en partes iguales.</w:t>
            </w:r>
          </w:p>
        </w:tc>
        <w:tc>
          <w:tcPr>
            <w:tcW w:type="dxa" w:w="3480"/>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50% de la comisión que cobra la inmobiliaria (3% a 6% según proyecto).</w:t>
            </w:r>
          </w:p>
        </w:tc>
      </w:tr>
      <w:tr>
        <w:trPr>
          <w:tblHeader w:val="false"/>
        </w:trPr>
        <w:tc>
          <w:tcPr>
            <w:tcW w:type="dxa" w:w="2400"/>
            <w:shd w:fill="EEF2F8" w:color="auto" w:val="clear"/>
            <w:tcMar>
              <w:top w:type="dxa" w:w="90"/>
              <w:left w:type="dxa" w:w="140"/>
              <w:bottom w:type="dxa" w:w="90"/>
              <w:right w:type="dxa" w:w="140"/>
            </w:tcMar>
          </w:tcPr>
          <w:p>
            <w:pPr>
              <w:spacing w:after="0" w:line="260"/>
            </w:pPr>
            <w:r>
              <w:rPr>
                <w:rFonts w:ascii="Calibri" w:cs="Calibri" w:eastAsia="Calibri" w:hAnsi="Calibri"/>
                <w:b/>
                <w:bCs/>
                <w:color w:val="262626"/>
                <w:sz w:val="21"/>
                <w:szCs w:val="21"/>
              </w:rPr>
              <w:t xml:space="preserve">Costos</w:t>
            </w:r>
          </w:p>
        </w:tc>
        <w:tc>
          <w:tcPr>
            <w:tcW w:type="dxa" w:w="3480"/>
            <w:shd w:fill="EEF2F8" w:color="auto" w:val="clear"/>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Compartidos 50/50; base actual acotada (CRM y bot de IA).</w:t>
            </w:r>
          </w:p>
        </w:tc>
        <w:tc>
          <w:tcPr>
            <w:tcW w:type="dxa" w:w="3480"/>
            <w:shd w:fill="EEF2F8" w:color="auto" w:val="clear"/>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Cada parte asume los propios.</w:t>
            </w:r>
          </w:p>
        </w:tc>
      </w:tr>
      <w:tr>
        <w:trPr>
          <w:tblHeader w:val="false"/>
        </w:trPr>
        <w:tc>
          <w:tcPr>
            <w:tcW w:type="dxa" w:w="2400"/>
            <w:tcMar>
              <w:top w:type="dxa" w:w="90"/>
              <w:left w:type="dxa" w:w="140"/>
              <w:bottom w:type="dxa" w:w="90"/>
              <w:right w:type="dxa" w:w="140"/>
            </w:tcMar>
          </w:tcPr>
          <w:p>
            <w:pPr>
              <w:spacing w:after="0" w:line="260"/>
            </w:pPr>
            <w:r>
              <w:rPr>
                <w:rFonts w:ascii="Calibri" w:cs="Calibri" w:eastAsia="Calibri" w:hAnsi="Calibri"/>
                <w:b/>
                <w:bCs/>
                <w:color w:val="262626"/>
                <w:sz w:val="21"/>
                <w:szCs w:val="21"/>
              </w:rPr>
              <w:t xml:space="preserve">Entrada en vigor</w:t>
            </w:r>
          </w:p>
        </w:tc>
        <w:tc>
          <w:tcPr>
            <w:tcW w:type="dxa" w:w="3480"/>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Desde la firma; inicio operativo propuesto el próximo lunes.</w:t>
            </w:r>
          </w:p>
        </w:tc>
        <w:tc>
          <w:tcPr>
            <w:tcW w:type="dxa" w:w="3480"/>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Desde la firma.</w:t>
            </w:r>
          </w:p>
        </w:tc>
      </w:tr>
      <w:tr>
        <w:trPr>
          <w:tblHeader w:val="false"/>
        </w:trPr>
        <w:tc>
          <w:tcPr>
            <w:tcW w:type="dxa" w:w="2400"/>
            <w:shd w:fill="EEF2F8" w:color="auto" w:val="clear"/>
            <w:tcMar>
              <w:top w:type="dxa" w:w="90"/>
              <w:left w:type="dxa" w:w="140"/>
              <w:bottom w:type="dxa" w:w="90"/>
              <w:right w:type="dxa" w:w="140"/>
            </w:tcMar>
          </w:tcPr>
          <w:p>
            <w:pPr>
              <w:spacing w:after="0" w:line="260"/>
            </w:pPr>
            <w:r>
              <w:rPr>
                <w:rFonts w:ascii="Calibri" w:cs="Calibri" w:eastAsia="Calibri" w:hAnsi="Calibri"/>
                <w:b/>
                <w:bCs/>
                <w:color w:val="262626"/>
                <w:sz w:val="21"/>
                <w:szCs w:val="21"/>
              </w:rPr>
              <w:t xml:space="preserve">Duración</w:t>
            </w:r>
          </w:p>
        </w:tc>
        <w:tc>
          <w:tcPr>
            <w:tcW w:type="dxa" w:w="3480"/>
            <w:shd w:fill="EEF2F8" w:color="auto" w:val="clear"/>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Con vocación de permanencia; salida definida en el instrumento legal.</w:t>
            </w:r>
          </w:p>
        </w:tc>
        <w:tc>
          <w:tcPr>
            <w:tcW w:type="dxa" w:w="3480"/>
            <w:shd w:fill="EEF2F8" w:color="auto" w:val="clear"/>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Vigente mientras ambas partes lo mantengan firmado.</w:t>
            </w:r>
          </w:p>
        </w:tc>
      </w:tr>
      <w:tr>
        <w:trPr>
          <w:tblHeader w:val="false"/>
        </w:trPr>
        <w:tc>
          <w:tcPr>
            <w:tcW w:type="dxa" w:w="2400"/>
            <w:tcMar>
              <w:top w:type="dxa" w:w="90"/>
              <w:left w:type="dxa" w:w="140"/>
              <w:bottom w:type="dxa" w:w="90"/>
              <w:right w:type="dxa" w:w="140"/>
            </w:tcMar>
          </w:tcPr>
          <w:p>
            <w:pPr>
              <w:spacing w:after="0" w:line="260"/>
            </w:pPr>
            <w:r>
              <w:rPr>
                <w:rFonts w:ascii="Calibri" w:cs="Calibri" w:eastAsia="Calibri" w:hAnsi="Calibri"/>
                <w:b/>
                <w:bCs/>
                <w:color w:val="262626"/>
                <w:sz w:val="21"/>
                <w:szCs w:val="21"/>
              </w:rPr>
              <w:t xml:space="preserve">Nivel de compromiso</w:t>
            </w:r>
          </w:p>
        </w:tc>
        <w:tc>
          <w:tcPr>
            <w:tcW w:type="dxa" w:w="3480"/>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Alto: integración de equipos, carteras y herramientas.</w:t>
            </w:r>
          </w:p>
        </w:tc>
        <w:tc>
          <w:tcPr>
            <w:tcW w:type="dxa" w:w="3480"/>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Acotado: foco puramente comercial.</w:t>
            </w:r>
          </w:p>
        </w:tc>
      </w:tr>
      <w:tr>
        <w:trPr>
          <w:tblHeader w:val="false"/>
        </w:trPr>
        <w:tc>
          <w:tcPr>
            <w:tcW w:type="dxa" w:w="2400"/>
            <w:shd w:fill="EEF2F8" w:color="auto" w:val="clear"/>
            <w:tcMar>
              <w:top w:type="dxa" w:w="90"/>
              <w:left w:type="dxa" w:w="140"/>
              <w:bottom w:type="dxa" w:w="90"/>
              <w:right w:type="dxa" w:w="140"/>
            </w:tcMar>
          </w:tcPr>
          <w:p>
            <w:pPr>
              <w:spacing w:after="0" w:line="260"/>
            </w:pPr>
            <w:r>
              <w:rPr>
                <w:rFonts w:ascii="Calibri" w:cs="Calibri" w:eastAsia="Calibri" w:hAnsi="Calibri"/>
                <w:b/>
                <w:bCs/>
                <w:color w:val="262626"/>
                <w:sz w:val="21"/>
                <w:szCs w:val="21"/>
              </w:rPr>
              <w:t xml:space="preserve">Crecimiento físico</w:t>
            </w:r>
          </w:p>
        </w:tc>
        <w:tc>
          <w:tcPr>
            <w:tcW w:type="dxa" w:w="3480"/>
            <w:shd w:fill="EEF2F8" w:color="auto" w:val="clear"/>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Oficina en el sector oriente en el corto plazo; oficina con visibilidad al público en el mediano plazo.</w:t>
            </w:r>
          </w:p>
        </w:tc>
        <w:tc>
          <w:tcPr>
            <w:tcW w:type="dxa" w:w="3480"/>
            <w:shd w:fill="EEF2F8" w:color="auto" w:val="clear"/>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No contempla infraestructura conjunta.</w:t>
            </w:r>
          </w:p>
        </w:tc>
      </w:tr>
      <w:tr>
        <w:trPr>
          <w:tblHeader w:val="false"/>
        </w:trPr>
        <w:tc>
          <w:tcPr>
            <w:tcW w:type="dxa" w:w="2400"/>
            <w:tcMar>
              <w:top w:type="dxa" w:w="90"/>
              <w:left w:type="dxa" w:w="140"/>
              <w:bottom w:type="dxa" w:w="90"/>
              <w:right w:type="dxa" w:w="140"/>
            </w:tcMar>
          </w:tcPr>
          <w:p>
            <w:pPr>
              <w:spacing w:after="0" w:line="260"/>
            </w:pPr>
            <w:r>
              <w:rPr>
                <w:rFonts w:ascii="Calibri" w:cs="Calibri" w:eastAsia="Calibri" w:hAnsi="Calibri"/>
                <w:b/>
                <w:bCs/>
                <w:color w:val="262626"/>
                <w:sz w:val="21"/>
                <w:szCs w:val="21"/>
              </w:rPr>
              <w:t xml:space="preserve">Horizonte del beneficio</w:t>
            </w:r>
          </w:p>
        </w:tc>
        <w:tc>
          <w:tcPr>
            <w:tcW w:type="dxa" w:w="3480"/>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Construcción de valor de marca y crecimiento sostenido.</w:t>
            </w:r>
          </w:p>
        </w:tc>
        <w:tc>
          <w:tcPr>
            <w:tcW w:type="dxa" w:w="3480"/>
            <w:tcMar>
              <w:top w:type="dxa" w:w="90"/>
              <w:left w:type="dxa" w:w="140"/>
              <w:bottom w:type="dxa" w:w="90"/>
              <w:right w:type="dxa" w:w="140"/>
            </w:tcMar>
          </w:tcPr>
          <w:p>
            <w:pPr>
              <w:spacing w:after="0" w:line="260"/>
            </w:pPr>
            <w:r>
              <w:rPr>
                <w:rFonts w:ascii="Calibri" w:cs="Calibri" w:eastAsia="Calibri" w:hAnsi="Calibri"/>
                <w:b w:val="false"/>
                <w:bCs w:val="false"/>
                <w:color w:val="262626"/>
                <w:sz w:val="21"/>
                <w:szCs w:val="21"/>
              </w:rPr>
              <w:t xml:space="preserve">Resultados comerciales inmediatos.</w:t>
            </w:r>
          </w:p>
        </w:tc>
      </w:tr>
    </w:tbl>
    <w:p>
      <w:pPr>
        <w:spacing w:after="200"/>
      </w:pPr>
    </w:p>
    <w:p>
      <w:pPr>
        <w:pStyle w:val="Heading1"/>
        <w:pBdr>
          <w:bottom w:val="single" w:color="1F3864" w:sz="8" w:space="6"/>
        </w:pBdr>
        <w:spacing w:after="180" w:before="340"/>
      </w:pPr>
      <w:r>
        <w:rPr>
          <w:rFonts w:ascii="Calibri" w:cs="Calibri" w:eastAsia="Calibri" w:hAnsi="Calibri"/>
          <w:b/>
          <w:bCs/>
          <w:color w:val="1F3864"/>
          <w:sz w:val="30"/>
          <w:szCs w:val="30"/>
        </w:rPr>
        <w:t xml:space="preserve">6. Próximos pasos</w:t>
      </w:r>
    </w:p>
    <w:p>
      <w:pPr>
        <w:spacing w:after="140" w:line="280"/>
      </w:pPr>
      <w:r>
        <w:rPr>
          <w:rFonts w:ascii="Calibri" w:cs="Calibri" w:eastAsia="Calibri" w:hAnsi="Calibri"/>
          <w:color w:val="262626"/>
          <w:sz w:val="22"/>
          <w:szCs w:val="22"/>
        </w:rPr>
        <w:t xml:space="preserve">Ambas propuestas están planteadas para poder iniciarse en el corto plazo. Se sugiere avanzar de la siguiente manera:</w:t>
      </w:r>
    </w:p>
    <w:p>
      <w:pPr>
        <w:pStyle w:val="ListParagraph"/>
        <w:numPr>
          <w:ilvl w:val="0"/>
          <w:numId w:val="3"/>
        </w:numPr>
        <w:spacing w:after="90" w:line="280"/>
      </w:pPr>
      <w:r>
        <w:rPr>
          <w:rFonts w:ascii="Calibri" w:cs="Calibri" w:eastAsia="Calibri" w:hAnsi="Calibri"/>
          <w:sz w:val="22"/>
          <w:szCs w:val="22"/>
        </w:rPr>
        <w:t xml:space="preserve">Revisión del presente documento por ambas partes y definición de la modalidad preferida.</w:t>
      </w:r>
    </w:p>
    <w:p>
      <w:pPr>
        <w:pStyle w:val="ListParagraph"/>
        <w:numPr>
          <w:ilvl w:val="0"/>
          <w:numId w:val="3"/>
        </w:numPr>
        <w:spacing w:after="90" w:line="280"/>
      </w:pPr>
      <w:r>
        <w:rPr>
          <w:rFonts w:ascii="Calibri" w:cs="Calibri" w:eastAsia="Calibri" w:hAnsi="Calibri"/>
          <w:sz w:val="22"/>
          <w:szCs w:val="22"/>
        </w:rPr>
        <w:t xml:space="preserve">Reunión de trabajo para ajustar los aspectos operativos y, en el caso de la Propuesta 1, definir la figura legal específica con la asesoría correspondiente.</w:t>
      </w:r>
    </w:p>
    <w:p>
      <w:pPr>
        <w:pStyle w:val="ListParagraph"/>
        <w:numPr>
          <w:ilvl w:val="0"/>
          <w:numId w:val="3"/>
        </w:numPr>
        <w:spacing w:after="90" w:line="280"/>
      </w:pPr>
      <w:r>
        <w:rPr>
          <w:rFonts w:ascii="Calibri" w:cs="Calibri" w:eastAsia="Calibri" w:hAnsi="Calibri"/>
          <w:sz w:val="22"/>
          <w:szCs w:val="22"/>
        </w:rPr>
        <w:t xml:space="preserve">Firma del acuerdo e inicio de la operación conjunta.</w:t>
      </w:r>
    </w:p>
    <w:p>
      <w:pPr>
        <w:spacing w:after="200"/>
      </w:pPr>
    </w:p>
    <w:p>
      <w:pPr>
        <w:spacing w:after="140" w:line="280"/>
      </w:pPr>
      <w:r>
        <w:rPr>
          <w:rFonts w:ascii="Calibri" w:cs="Calibri" w:eastAsia="Calibri" w:hAnsi="Calibri"/>
          <w:color w:val="262626"/>
          <w:sz w:val="22"/>
          <w:szCs w:val="22"/>
        </w:rPr>
        <w:t xml:space="preserve">Quedamos atentos a sus comentarios y disponibles para revisar en conjunto cualquier aspecto que requiera mayor detalle. La disposición de Avance Inmobiliario es avanzar con la mayor claridad posible desde el primer día, de modo que la relación entre ambas empresas se construya sobre condiciones explícitas y compartidas.</w:t>
      </w:r>
    </w:p>
    <w:p>
      <w:pPr>
        <w:spacing w:after="600"/>
      </w:pPr>
    </w:p>
    <w:p>
      <w:pPr>
        <w:spacing w:after="0"/>
      </w:pPr>
      <w:r>
        <w:rPr>
          <w:rFonts w:ascii="Calibri" w:cs="Calibri" w:eastAsia="Calibri" w:hAnsi="Calibri"/>
          <w:b/>
          <w:bCs/>
          <w:color w:val="1F3864"/>
          <w:sz w:val="22"/>
          <w:szCs w:val="22"/>
        </w:rPr>
        <w:t xml:space="preserve">Avance Inmobiliario</w:t>
      </w:r>
    </w:p>
    <w:p>
      <w:pPr>
        <w:spacing w:after="140" w:line="280"/>
      </w:pPr>
      <w:r>
        <w:rPr>
          <w:rFonts w:ascii="Calibri" w:cs="Calibri" w:eastAsia="Calibri" w:hAnsi="Calibri"/>
          <w:color w:val="595959"/>
          <w:sz w:val="20"/>
          <w:szCs w:val="20"/>
        </w:rPr>
        <w:t xml:space="preserve">Santiago de Chile, agosto de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5C9A"/>
      </w:rPr>
    </w:lvl>
    <w:lvl w:ilvl="1" w15:tentative="1">
      <w:start w:val="1"/>
      <w:numFmt w:val="bullet"/>
      <w:lvlText w:val="◦"/>
      <w:lvlJc w:val="left"/>
      <w:pPr>
        <w:ind w:left="900" w:hanging="260"/>
      </w:pPr>
      <w:rPr>
        <w:color w:val="2E5C9A"/>
      </w:rPr>
    </w:lvl>
  </w:abstractNum>
  <w:abstractNum w:abstractNumId="3" w15:restartNumberingAfterBreak="0">
    <w:multiLevelType w:val="hybridMultilevel"/>
    <w:lvl w:ilvl="0" w15:tentative="1">
      <w:start w:val="1"/>
      <w:numFmt w:val="decimal"/>
      <w:lvlText w:val="%1."/>
      <w:lvlJc w:val="left"/>
      <w:pPr>
        <w:ind w:left="460" w:hanging="260"/>
      </w:pPr>
      <w:rPr>
        <w:b/>
        <w:bCs/>
        <w:color w:val="2E5C9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Propuestas de Alianza Estratégica — Avance Inmobiliario &amp; Polka</dc:title>
  <dc:creator>Avance Inmobiliario</dc:creator>
  <dc:description>Propuesta 1: fusión societaria 50/50. Propuesta 2: alianza comercial con comisión compartida.</dc:description>
  <cp:lastModifiedBy>Un-named</cp:lastModifiedBy>
  <cp:revision>1</cp:revision>
  <dcterms:created xsi:type="dcterms:W3CDTF">2026-08-05T15:47:26.154Z</dcterms:created>
  <dcterms:modified xsi:type="dcterms:W3CDTF">2026-08-05T15:47:26.154Z</dcterms:modified>
</cp:coreProperties>
</file>

<file path=docProps/custom.xml><?xml version="1.0" encoding="utf-8"?>
<Properties xmlns="http://schemas.openxmlformats.org/officeDocument/2006/custom-properties" xmlns:vt="http://schemas.openxmlformats.org/officeDocument/2006/docPropsVTypes"/>
</file>