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8DB1" w14:textId="77777777" w:rsidR="002F3BDA" w:rsidRPr="00F36F18" w:rsidRDefault="002F3BDA" w:rsidP="001101AA">
      <w:pPr>
        <w:jc w:val="center"/>
        <w:rPr>
          <w:rFonts w:ascii="Times New Roman" w:hAnsi="Times New Roman" w:cs="Times New Roman"/>
          <w:b/>
          <w:bCs/>
        </w:rPr>
      </w:pPr>
      <w:r w:rsidRPr="00F36F18">
        <w:rPr>
          <w:rFonts w:ascii="Times New Roman" w:hAnsi="Times New Roman" w:cs="Times New Roman"/>
          <w:b/>
          <w:bCs/>
        </w:rPr>
        <w:t>The Role of Digital Media in Democratizing Access to Indigenous Knowledge Systems (IKS): A Study of YouTube, Podcasts, and OTT Platforms in Promoting Traditional Indian Knowledge</w:t>
      </w:r>
    </w:p>
    <w:p w14:paraId="6849B4A6" w14:textId="77777777" w:rsidR="001101AA" w:rsidRPr="00F36F18" w:rsidRDefault="001101AA" w:rsidP="001101AA">
      <w:pPr>
        <w:pBdr>
          <w:bottom w:val="single" w:sz="6" w:space="1" w:color="auto"/>
        </w:pBdr>
        <w:jc w:val="center"/>
        <w:rPr>
          <w:rFonts w:ascii="Times New Roman" w:hAnsi="Times New Roman" w:cs="Times New Roman"/>
          <w:b/>
          <w:bCs/>
        </w:rPr>
      </w:pPr>
      <w:bookmarkStart w:id="0" w:name="_Hlk207457552"/>
      <w:r w:rsidRPr="00F36F18">
        <w:rPr>
          <w:rFonts w:ascii="Times New Roman" w:hAnsi="Times New Roman" w:cs="Times New Roman"/>
          <w:b/>
          <w:bCs/>
        </w:rPr>
        <w:t>Veena Hada*Amity School of Communication, Amity University, Raipur, Chhattisgarh, India</w:t>
      </w:r>
    </w:p>
    <w:p w14:paraId="2ADFFAAA" w14:textId="77777777" w:rsidR="001101AA" w:rsidRPr="00F36F18" w:rsidRDefault="001101AA" w:rsidP="001101AA">
      <w:pPr>
        <w:pBdr>
          <w:bottom w:val="single" w:sz="6" w:space="1" w:color="auto"/>
        </w:pBdr>
        <w:jc w:val="center"/>
        <w:rPr>
          <w:rFonts w:ascii="Times New Roman" w:hAnsi="Times New Roman" w:cs="Times New Roman"/>
          <w:b/>
          <w:bCs/>
        </w:rPr>
      </w:pPr>
      <w:r w:rsidRPr="00F36F18">
        <w:rPr>
          <w:rFonts w:ascii="Times New Roman" w:hAnsi="Times New Roman" w:cs="Times New Roman"/>
          <w:b/>
          <w:bCs/>
        </w:rPr>
        <w:t xml:space="preserve">*Corresponding Author: </w:t>
      </w:r>
      <w:hyperlink r:id="rId5" w:history="1">
        <w:r w:rsidRPr="00F36F18">
          <w:rPr>
            <w:rStyle w:val="Hyperlink"/>
            <w:rFonts w:ascii="Times New Roman" w:hAnsi="Times New Roman" w:cs="Times New Roman"/>
            <w:b/>
            <w:bCs/>
          </w:rPr>
          <w:t>veena.hada@gmail.com</w:t>
        </w:r>
      </w:hyperlink>
    </w:p>
    <w:bookmarkEnd w:id="0"/>
    <w:p w14:paraId="0B7173AE" w14:textId="093CF979" w:rsidR="002F3BDA" w:rsidRPr="00F36F18" w:rsidRDefault="002F3BDA" w:rsidP="002F3BDA">
      <w:pPr>
        <w:rPr>
          <w:rFonts w:ascii="Times New Roman" w:hAnsi="Times New Roman" w:cs="Times New Roman"/>
        </w:rPr>
      </w:pPr>
    </w:p>
    <w:p w14:paraId="1A6F8C6A"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Abstract</w:t>
      </w:r>
    </w:p>
    <w:p w14:paraId="446A8CCF"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Indigenous Knowledge Systems (IKS) represent centuries-old wisdom, cultural practices, and holistic approaches to life that continue to shape India’s civilizational ethos. However, mainstream accessibility and academic recognition of IKS have historically remained limited due to language barriers, colonial disruptions, and lack of dissemination mechanisms. The rise of digital media platforms—particularly YouTube, podcasts, and Over-The-Top (OTT) streaming services—has enabled the democratization of knowledge by making IKS widely accessible to diverse global audiences. This paper examines how digital media fosters the revival, preservation, and dissemination of traditional Indian knowledge such as Ayurveda, Yoga, folk music, oral storytelling, ecological wisdom, and philosophical discourses. Through qualitative content analysis and case studies, the study highlights how creators and platforms amplify grassroots voices while balancing authenticity and commercial appeal. The findings reveal that digital media not only widens participation and cultural inclusivity but also raises concerns about intellectual property, misrepresentation, and commodification of knowledge. The paper concludes by proposing a framework for integrating digital innovation with ethical IKS dissemination, ensuring both preservation and global reach.</w:t>
      </w:r>
    </w:p>
    <w:p w14:paraId="46A8B3EC"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b/>
          <w:bCs/>
        </w:rPr>
        <w:t>Keywords:</w:t>
      </w:r>
      <w:r w:rsidRPr="00F36F18">
        <w:rPr>
          <w:rFonts w:ascii="Times New Roman" w:hAnsi="Times New Roman" w:cs="Times New Roman"/>
        </w:rPr>
        <w:t xml:space="preserve"> Indigenous Knowledge Systems, Digital Media, YouTube, Podcasts, OTT, Democratization, India</w:t>
      </w:r>
    </w:p>
    <w:p w14:paraId="510B2C97" w14:textId="77777777" w:rsidR="002F3BDA" w:rsidRPr="00F36F18" w:rsidRDefault="00000000" w:rsidP="00EE5D0C">
      <w:pPr>
        <w:jc w:val="both"/>
        <w:rPr>
          <w:rFonts w:ascii="Times New Roman" w:hAnsi="Times New Roman" w:cs="Times New Roman"/>
        </w:rPr>
      </w:pPr>
      <w:r w:rsidRPr="00F36F18">
        <w:rPr>
          <w:rFonts w:ascii="Times New Roman" w:hAnsi="Times New Roman" w:cs="Times New Roman"/>
        </w:rPr>
        <w:pict w14:anchorId="0CDA971B">
          <v:rect id="_x0000_i1025" style="width:0;height:1.5pt" o:hralign="center" o:hrstd="t" o:hr="t" fillcolor="#a0a0a0" stroked="f"/>
        </w:pict>
      </w:r>
    </w:p>
    <w:p w14:paraId="459B295F" w14:textId="77777777" w:rsidR="00860C35" w:rsidRPr="00F36F18" w:rsidRDefault="00860C35" w:rsidP="00EE5D0C">
      <w:pPr>
        <w:jc w:val="both"/>
        <w:rPr>
          <w:rFonts w:ascii="Times New Roman" w:hAnsi="Times New Roman" w:cs="Times New Roman"/>
          <w:b/>
          <w:bCs/>
        </w:rPr>
      </w:pPr>
    </w:p>
    <w:p w14:paraId="44367E67" w14:textId="77777777" w:rsidR="00860C35" w:rsidRPr="00F36F18" w:rsidRDefault="00860C35" w:rsidP="00EE5D0C">
      <w:pPr>
        <w:jc w:val="both"/>
        <w:rPr>
          <w:rFonts w:ascii="Times New Roman" w:hAnsi="Times New Roman" w:cs="Times New Roman"/>
          <w:b/>
          <w:bCs/>
        </w:rPr>
      </w:pPr>
    </w:p>
    <w:p w14:paraId="7227B279" w14:textId="77777777" w:rsidR="00860C35" w:rsidRDefault="00860C35" w:rsidP="00EE5D0C">
      <w:pPr>
        <w:jc w:val="both"/>
        <w:rPr>
          <w:rFonts w:ascii="Times New Roman" w:hAnsi="Times New Roman" w:cs="Times New Roman"/>
          <w:b/>
          <w:bCs/>
        </w:rPr>
      </w:pPr>
    </w:p>
    <w:p w14:paraId="43669C12" w14:textId="77777777" w:rsidR="00DD7AE6" w:rsidRDefault="00DD7AE6" w:rsidP="00EE5D0C">
      <w:pPr>
        <w:jc w:val="both"/>
        <w:rPr>
          <w:rFonts w:ascii="Times New Roman" w:hAnsi="Times New Roman" w:cs="Times New Roman"/>
          <w:b/>
          <w:bCs/>
        </w:rPr>
      </w:pPr>
    </w:p>
    <w:p w14:paraId="4E3A5EF0" w14:textId="77777777" w:rsidR="00DD7AE6" w:rsidRPr="00F36F18" w:rsidRDefault="00DD7AE6" w:rsidP="00EE5D0C">
      <w:pPr>
        <w:jc w:val="both"/>
        <w:rPr>
          <w:rFonts w:ascii="Times New Roman" w:hAnsi="Times New Roman" w:cs="Times New Roman"/>
          <w:b/>
          <w:bCs/>
        </w:rPr>
      </w:pPr>
    </w:p>
    <w:p w14:paraId="52E9084B" w14:textId="77777777" w:rsidR="00860C35" w:rsidRPr="00F36F18" w:rsidRDefault="00860C35" w:rsidP="00EE5D0C">
      <w:pPr>
        <w:jc w:val="both"/>
        <w:rPr>
          <w:rFonts w:ascii="Times New Roman" w:hAnsi="Times New Roman" w:cs="Times New Roman"/>
          <w:b/>
          <w:bCs/>
        </w:rPr>
      </w:pPr>
    </w:p>
    <w:p w14:paraId="256C9A63" w14:textId="77777777" w:rsidR="00860C35" w:rsidRPr="00F36F18" w:rsidRDefault="00860C35" w:rsidP="00EE5D0C">
      <w:pPr>
        <w:jc w:val="both"/>
        <w:rPr>
          <w:rFonts w:ascii="Times New Roman" w:hAnsi="Times New Roman" w:cs="Times New Roman"/>
          <w:b/>
          <w:bCs/>
        </w:rPr>
      </w:pPr>
    </w:p>
    <w:p w14:paraId="34BA7E1D" w14:textId="50F01543"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lastRenderedPageBreak/>
        <w:t>1. Introduction</w:t>
      </w:r>
    </w:p>
    <w:p w14:paraId="7184EF88"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1.1 Background</w:t>
      </w:r>
    </w:p>
    <w:p w14:paraId="13E61BCF"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Indigenous Knowledge Systems (IKS) encompass traditional cultural practices, oral histories, ecological wisdom, health sciences, and spiritual philosophies that have evolved across centuries in India. Examples include Ayurveda, Siddha medicine, folk art, Vedic mathematics, and oral storytelling traditions. These systems hold immense value not only for local communities but also for global discourses on sustainable living, holistic well-being, and cultural diversity.</w:t>
      </w:r>
    </w:p>
    <w:p w14:paraId="7DC5A126"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1.2 Digital Media as a Democratizing Force</w:t>
      </w:r>
    </w:p>
    <w:p w14:paraId="21C41D8D"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The proliferation of digital technologies has disrupted conventional knowledge hierarchies. Social media platforms like YouTube, emerging podcast networks, and OTT platforms such as Netflix, Amazon Prime, and regional Indian apps are redefining cultural communication. By bypassing traditional gatekeepers (publishers, state-controlled media, and academic hierarchies), these platforms empower grassroots voices and bring niche knowledge to mainstream audiences.</w:t>
      </w:r>
    </w:p>
    <w:p w14:paraId="7BAE6FAE"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1.3 Problem Statement</w:t>
      </w:r>
    </w:p>
    <w:p w14:paraId="6DFF4EA9"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Despite India’s rich IKS heritage, challenges persist in ensuring its preservation and global relevance. Many IKS traditions are transmitted orally, risking erosion in modern contexts. Simultaneously, commercialized digital adaptation may distort authenticity. Hence, it is critical to investigate how digital platforms act as mediators—bridging accessibility gaps while raising concerns of commodification and representation.</w:t>
      </w:r>
    </w:p>
    <w:p w14:paraId="76798B53"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1.4 Research Objectives</w:t>
      </w:r>
    </w:p>
    <w:p w14:paraId="2FE2D894"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This study seeks to:</w:t>
      </w:r>
    </w:p>
    <w:p w14:paraId="2C9B6F1F" w14:textId="77777777" w:rsidR="002F3BDA" w:rsidRPr="00F36F18" w:rsidRDefault="002F3BDA" w:rsidP="00EE5D0C">
      <w:pPr>
        <w:numPr>
          <w:ilvl w:val="0"/>
          <w:numId w:val="1"/>
        </w:numPr>
        <w:jc w:val="both"/>
        <w:rPr>
          <w:rFonts w:ascii="Times New Roman" w:hAnsi="Times New Roman" w:cs="Times New Roman"/>
        </w:rPr>
      </w:pPr>
      <w:r w:rsidRPr="00F36F18">
        <w:rPr>
          <w:rFonts w:ascii="Times New Roman" w:hAnsi="Times New Roman" w:cs="Times New Roman"/>
        </w:rPr>
        <w:t>Analyze the role of YouTube, podcasts, and OTT platforms in promoting IKS.</w:t>
      </w:r>
    </w:p>
    <w:p w14:paraId="6202CB6E" w14:textId="77777777" w:rsidR="002F3BDA" w:rsidRPr="00F36F18" w:rsidRDefault="002F3BDA" w:rsidP="00EE5D0C">
      <w:pPr>
        <w:numPr>
          <w:ilvl w:val="0"/>
          <w:numId w:val="1"/>
        </w:numPr>
        <w:jc w:val="both"/>
        <w:rPr>
          <w:rFonts w:ascii="Times New Roman" w:hAnsi="Times New Roman" w:cs="Times New Roman"/>
        </w:rPr>
      </w:pPr>
      <w:r w:rsidRPr="00F36F18">
        <w:rPr>
          <w:rFonts w:ascii="Times New Roman" w:hAnsi="Times New Roman" w:cs="Times New Roman"/>
        </w:rPr>
        <w:t>Examine how digital media contributes to the democratization and preservation of IKS.</w:t>
      </w:r>
    </w:p>
    <w:p w14:paraId="20432CA1" w14:textId="77777777" w:rsidR="002F3BDA" w:rsidRPr="00F36F18" w:rsidRDefault="002F3BDA" w:rsidP="00EE5D0C">
      <w:pPr>
        <w:numPr>
          <w:ilvl w:val="0"/>
          <w:numId w:val="1"/>
        </w:numPr>
        <w:jc w:val="both"/>
        <w:rPr>
          <w:rFonts w:ascii="Times New Roman" w:hAnsi="Times New Roman" w:cs="Times New Roman"/>
        </w:rPr>
      </w:pPr>
      <w:r w:rsidRPr="00F36F18">
        <w:rPr>
          <w:rFonts w:ascii="Times New Roman" w:hAnsi="Times New Roman" w:cs="Times New Roman"/>
        </w:rPr>
        <w:t>Identify challenges such as authenticity, intellectual property, and cultural appropriation.</w:t>
      </w:r>
    </w:p>
    <w:p w14:paraId="4C13E505" w14:textId="77777777" w:rsidR="002F3BDA" w:rsidRPr="00F36F18" w:rsidRDefault="002F3BDA" w:rsidP="00EE5D0C">
      <w:pPr>
        <w:numPr>
          <w:ilvl w:val="0"/>
          <w:numId w:val="1"/>
        </w:numPr>
        <w:jc w:val="both"/>
        <w:rPr>
          <w:rFonts w:ascii="Times New Roman" w:hAnsi="Times New Roman" w:cs="Times New Roman"/>
        </w:rPr>
      </w:pPr>
      <w:r w:rsidRPr="00F36F18">
        <w:rPr>
          <w:rFonts w:ascii="Times New Roman" w:hAnsi="Times New Roman" w:cs="Times New Roman"/>
        </w:rPr>
        <w:t>Propose strategies for ethical and sustainable dissemination of IKS via digital media.</w:t>
      </w:r>
    </w:p>
    <w:p w14:paraId="3245C410" w14:textId="1AEA0B70" w:rsidR="002F3BDA" w:rsidRPr="00F36F18" w:rsidRDefault="002F3BDA" w:rsidP="00EE5D0C">
      <w:pPr>
        <w:jc w:val="both"/>
        <w:rPr>
          <w:rFonts w:ascii="Times New Roman" w:hAnsi="Times New Roman" w:cs="Times New Roman"/>
        </w:rPr>
      </w:pPr>
    </w:p>
    <w:p w14:paraId="397F6C16"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2. Literature Review</w:t>
      </w:r>
    </w:p>
    <w:p w14:paraId="1D7EB106"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t>Indian Knowledge Systems (IKS) represent a vast repository of indigenous wisdom encompassing disciplines such as Ayurveda, Yoga, philosophy, astronomy, mathematics, architecture, and traditional arts. These systems have historically been transmitted through oral traditions, manuscripts, and practice-based learning. However, globalization, modernization, and the decline of traditional modes of transmission have posed significant challenges to their preservation and dissemination (1).</w:t>
      </w:r>
    </w:p>
    <w:p w14:paraId="2059EF93"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lastRenderedPageBreak/>
        <w:t>Recent studies emphasize the role of digital technologies in safeguarding and revitalizing IKS. Digitization of manuscripts, creation of digital repositories, and development of e-learning platforms have enabled systematic documentation and global accessibility of traditional knowledge (2). Initiatives such as national digital libraries and online archives have been instrumental in preventing the loss of ancient texts and making them available to researchers and learners worldwide (3).</w:t>
      </w:r>
    </w:p>
    <w:p w14:paraId="35489D50"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t>Artificial Intelligence (AI) and Machine Learning (ML) have further enhanced IKS research by enabling automated text analysis, translation of Sanskrit manuscripts, and knowledge extraction from large corpora of ancient texts. AI-based applications in Ayurveda and traditional diagnostics demonstrate the potential of integrating indigenous knowledge with modern computational tools, thereby improving credibility and applicability in contemporary contexts (4).</w:t>
      </w:r>
    </w:p>
    <w:p w14:paraId="3DC7E7C5"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t>The role of media—including print, electronic, and digital media—has been identified as a critical enabler in promoting and popularizing IKS among modern audiences. Media platforms have facilitated wider dissemination of practices such as Yoga and Ayurveda, contributing to increased global awareness and acceptance (5). Digital media, in particular, has bridged the gap between tradition and modernity by presenting IKS in interactive and accessible formats (6).</w:t>
      </w:r>
    </w:p>
    <w:p w14:paraId="39134503"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t>Scholars also highlight the alignment of IKS with contemporary global challenges such as sustainable development, environmental conservation, mental health, and holistic well-being. The integration of IKS into formal education frameworks, especially following policy interventions like NEP 2020, underscores its relevance in building culturally rooted and innovation-driven knowledge systems (7).</w:t>
      </w:r>
    </w:p>
    <w:p w14:paraId="334B52C4" w14:textId="77777777" w:rsidR="009C47B5" w:rsidRPr="009C47B5" w:rsidRDefault="009C47B5" w:rsidP="009C47B5">
      <w:pPr>
        <w:jc w:val="both"/>
        <w:rPr>
          <w:rFonts w:ascii="Times New Roman" w:hAnsi="Times New Roman" w:cs="Times New Roman"/>
        </w:rPr>
      </w:pPr>
      <w:r w:rsidRPr="009C47B5">
        <w:rPr>
          <w:rFonts w:ascii="Times New Roman" w:hAnsi="Times New Roman" w:cs="Times New Roman"/>
        </w:rPr>
        <w:t>Despite these advancements, challenges remain in terms of standardization, authenticity, commercialization, and ethical use of traditional knowledge. Researchers argue for a balanced approach that combines technological innovation with cultural sensitivity to ensure responsible preservation and transmission of IKS (8). Overall, the literature strongly supports the use of digital technologies and media as transformative tools for sustaining and globalizing Indian Knowledge Systems.</w:t>
      </w:r>
    </w:p>
    <w:p w14:paraId="68624C66"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t>IKS and Knowledge Dissemination:</w:t>
      </w:r>
      <w:r w:rsidRPr="00F36F18">
        <w:rPr>
          <w:rFonts w:ascii="Times New Roman" w:hAnsi="Times New Roman" w:cs="Times New Roman"/>
        </w:rPr>
        <w:t xml:space="preserve"> Scholars argue that IKS is central to community resilience, sustainability, and cultural identity (Agrawal, 2002; Battiste, 2018).</w:t>
      </w:r>
    </w:p>
    <w:p w14:paraId="1E19DF0A"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t>Digital Media and Democratization:</w:t>
      </w:r>
      <w:r w:rsidRPr="00F36F18">
        <w:rPr>
          <w:rFonts w:ascii="Times New Roman" w:hAnsi="Times New Roman" w:cs="Times New Roman"/>
        </w:rPr>
        <w:t xml:space="preserve"> Digital media dismantles traditional hierarchies of knowledge dissemination, giving marginalized voices representation (Jenkins, 2006).</w:t>
      </w:r>
    </w:p>
    <w:p w14:paraId="618E5161"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t>YouTube as Public Pedagogy:</w:t>
      </w:r>
      <w:r w:rsidRPr="00F36F18">
        <w:rPr>
          <w:rFonts w:ascii="Times New Roman" w:hAnsi="Times New Roman" w:cs="Times New Roman"/>
        </w:rPr>
        <w:t xml:space="preserve"> Studies highlight YouTube’s ability to act as a learning ecosystem, where traditional crafts, health tips, and rituals are widely shared (Lange, 2014).</w:t>
      </w:r>
    </w:p>
    <w:p w14:paraId="2BD4F2C5"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t>Podcasts as Oral Culture Revivals:</w:t>
      </w:r>
      <w:r w:rsidRPr="00F36F18">
        <w:rPr>
          <w:rFonts w:ascii="Times New Roman" w:hAnsi="Times New Roman" w:cs="Times New Roman"/>
        </w:rPr>
        <w:t xml:space="preserve"> Podcasts are reviving storytelling, folk narratives, and philosophical discussions in a manner aligned with India’s oral traditions (Markman, 2012).</w:t>
      </w:r>
    </w:p>
    <w:p w14:paraId="23724510"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lastRenderedPageBreak/>
        <w:t>OTT and Cultural Representation:</w:t>
      </w:r>
      <w:r w:rsidRPr="00F36F18">
        <w:rPr>
          <w:rFonts w:ascii="Times New Roman" w:hAnsi="Times New Roman" w:cs="Times New Roman"/>
        </w:rPr>
        <w:t xml:space="preserve"> OTT platforms often include documentaries and shows focusing on Ayurveda, yoga, Indian classical arts, and folklore, targeting global audiences (Athique, 2020).</w:t>
      </w:r>
    </w:p>
    <w:p w14:paraId="71D033F4" w14:textId="77777777" w:rsidR="002F3BDA" w:rsidRPr="00F36F18" w:rsidRDefault="002F3BDA" w:rsidP="009C47B5">
      <w:pPr>
        <w:jc w:val="both"/>
        <w:rPr>
          <w:rFonts w:ascii="Times New Roman" w:hAnsi="Times New Roman" w:cs="Times New Roman"/>
        </w:rPr>
      </w:pPr>
      <w:r w:rsidRPr="00F36F18">
        <w:rPr>
          <w:rFonts w:ascii="Times New Roman" w:hAnsi="Times New Roman" w:cs="Times New Roman"/>
          <w:b/>
          <w:bCs/>
        </w:rPr>
        <w:t>Challenges:</w:t>
      </w:r>
      <w:r w:rsidRPr="00F36F18">
        <w:rPr>
          <w:rFonts w:ascii="Times New Roman" w:hAnsi="Times New Roman" w:cs="Times New Roman"/>
        </w:rPr>
        <w:t xml:space="preserve"> Issues of authenticity, misrepresentation, and intellectual property rights dominate scholarly discourse (Smith, 2012).</w:t>
      </w:r>
    </w:p>
    <w:p w14:paraId="5B65F9DF"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b/>
          <w:bCs/>
        </w:rPr>
        <w:t>Gap Identified:</w:t>
      </w:r>
      <w:r w:rsidRPr="00F36F18">
        <w:rPr>
          <w:rFonts w:ascii="Times New Roman" w:hAnsi="Times New Roman" w:cs="Times New Roman"/>
        </w:rPr>
        <w:t xml:space="preserve"> While individual studies exist on IKS or on digital media, limited scholarship comprehensively examines their intersection in the Indian context.</w:t>
      </w:r>
    </w:p>
    <w:p w14:paraId="5A43C339" w14:textId="77777777" w:rsidR="00DE0F8A" w:rsidRPr="00F36F18" w:rsidRDefault="002F3BDA" w:rsidP="00DE0F8A">
      <w:pPr>
        <w:jc w:val="both"/>
        <w:rPr>
          <w:rFonts w:ascii="Times New Roman" w:hAnsi="Times New Roman" w:cs="Times New Roman"/>
          <w:b/>
          <w:bCs/>
        </w:rPr>
      </w:pPr>
      <w:r w:rsidRPr="00F36F18">
        <w:rPr>
          <w:rFonts w:ascii="Times New Roman" w:hAnsi="Times New Roman" w:cs="Times New Roman"/>
          <w:b/>
          <w:bCs/>
        </w:rPr>
        <w:t xml:space="preserve">3. </w:t>
      </w:r>
      <w:r w:rsidR="00DE0F8A" w:rsidRPr="00F36F18">
        <w:rPr>
          <w:rFonts w:ascii="Times New Roman" w:hAnsi="Times New Roman" w:cs="Times New Roman"/>
          <w:b/>
          <w:bCs/>
        </w:rPr>
        <w:t>3. Methodology</w:t>
      </w:r>
    </w:p>
    <w:p w14:paraId="0520568C"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This study adopts a qualitative exploratory research design to examine how digital media platforms contribute to the dissemination, democratization, and transformation of Indian Indigenous Knowledge Systems (IKS). A qualitative approach is appropriate as the research seeks to understand meanings, representations, narratives, and cultural interpretations rather than quantify audience behavior. The exploratory nature allows the study to capture emerging trends, diverse content practices, and platform-specific dynamics related to traditional Indian knowledge in digital spaces.</w:t>
      </w:r>
    </w:p>
    <w:p w14:paraId="07925F54"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t>3.1 Data Sources and Selection</w:t>
      </w:r>
    </w:p>
    <w:p w14:paraId="1975A4DC"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Data were collected from three major digital media platforms—YouTube, podcasts, and OTT platforms—chosen for their growing influence in knowledge dissemination and cultural storytelling.</w:t>
      </w:r>
    </w:p>
    <w:p w14:paraId="766173E5"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t>YouTube Content Analysis:</w:t>
      </w:r>
    </w:p>
    <w:p w14:paraId="13A811A7"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A total of 50 YouTube channels were selected for in-depth content analysis. These channels focused on themes such as Ayurveda and wellness tutorials, Yoga practices, folk art and craft demonstrations, Indian philosophy, Sanskrit discourse, Vedic science, and traditional ecological knowledge. Channels were selected based on subscriber count (ranging from 50,000 to over 1 million), frequency of uploads, regional language diversity, and thematic consistency. Approximately 8–10 videos per channel were analyzed, resulting in a corpus of nearly 450 video texts, including visuals, narration, titles, descriptions, and user engagement indicators such as comments and likes.</w:t>
      </w:r>
    </w:p>
    <w:p w14:paraId="466EEAE3"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t>Podcast Analysis:</w:t>
      </w:r>
    </w:p>
    <w:p w14:paraId="2835D537"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The study analyzed 20 Indian podcasts centered on storytelling, spirituality, mythology, indigenous history, and cultural traditions. These podcasts were sourced from platforms such as Spotify, Apple Podcasts, and Google Podcasts. Each podcast contributed 3–5 episodes, leading to a total of around 80 audio episodes. Podcasts were selected to represent both mainstream urban productions and independent creators rooted in oral traditions, ensuring a balance between professional and grassroots narratives.</w:t>
      </w:r>
    </w:p>
    <w:p w14:paraId="4E38084C"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lastRenderedPageBreak/>
        <w:t>OTT Platform Case Studies:</w:t>
      </w:r>
    </w:p>
    <w:p w14:paraId="56A32F1D"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In addition, 15 OTT-based case studies were examined, consisting of documentaries and series related to Yoga, indigenous crafts, food traditions, folk music, tribal lifestyles, and traditional healing systems. Platforms included both global OTT services and Indian regional streaming platforms. These case studies enabled analysis of professionally curated content, production values, narrative framing, and global audience targeting.</w:t>
      </w:r>
    </w:p>
    <w:p w14:paraId="0FDB3711"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t>3.2 Sampling Technique</w:t>
      </w:r>
    </w:p>
    <w:p w14:paraId="0683AD30"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The study employed purposive sampling, selecting platforms and content that explicitly engaged with IKS themes. Both high-viewership platforms (to assess mass reach and influence) and niche platforms (to examine authenticity and community-driven knowledge) were included. This ensured diversity in scale, language, geography, and creator background.</w:t>
      </w:r>
    </w:p>
    <w:p w14:paraId="4E62F467" w14:textId="77777777" w:rsidR="00DE0F8A" w:rsidRPr="00DE0F8A" w:rsidRDefault="00DE0F8A" w:rsidP="00DE0F8A">
      <w:pPr>
        <w:jc w:val="both"/>
        <w:rPr>
          <w:rFonts w:ascii="Times New Roman" w:hAnsi="Times New Roman" w:cs="Times New Roman"/>
          <w:b/>
          <w:bCs/>
        </w:rPr>
      </w:pPr>
      <w:r w:rsidRPr="00DE0F8A">
        <w:rPr>
          <w:rFonts w:ascii="Times New Roman" w:hAnsi="Times New Roman" w:cs="Times New Roman"/>
          <w:b/>
          <w:bCs/>
        </w:rPr>
        <w:t>3.3 Data Analysis Framework</w:t>
      </w:r>
    </w:p>
    <w:p w14:paraId="4B0925AB"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Data were analyzed using thematic coding, following an inductive approach. Content was systematically coded across four key analytical themes:</w:t>
      </w:r>
    </w:p>
    <w:p w14:paraId="7441A9CB"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Accessibility – language use, open availability, regional inclusivity, and ease of understanding.</w:t>
      </w:r>
    </w:p>
    <w:p w14:paraId="44038DD6"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Authenticity – source credibility, practitioner involvement, cultural accuracy, and depth of explanation.</w:t>
      </w:r>
    </w:p>
    <w:p w14:paraId="5C592F66"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Audience Engagement – interaction through comments, shares, feedback loops, and participatory learning.</w:t>
      </w:r>
    </w:p>
    <w:p w14:paraId="0BC208A7" w14:textId="77777777" w:rsidR="00DE0F8A" w:rsidRPr="00DE0F8A" w:rsidRDefault="00DE0F8A" w:rsidP="00DE0F8A">
      <w:pPr>
        <w:jc w:val="both"/>
        <w:rPr>
          <w:rFonts w:ascii="Times New Roman" w:hAnsi="Times New Roman" w:cs="Times New Roman"/>
        </w:rPr>
      </w:pPr>
      <w:r w:rsidRPr="00DE0F8A">
        <w:rPr>
          <w:rFonts w:ascii="Times New Roman" w:hAnsi="Times New Roman" w:cs="Times New Roman"/>
        </w:rPr>
        <w:t>Commodification – branding, monetization, sponsorships, and transformation of knowledge into consumable products.</w:t>
      </w:r>
    </w:p>
    <w:p w14:paraId="5CF1B41B" w14:textId="046C9993" w:rsidR="002F3BDA" w:rsidRPr="00F36F18" w:rsidRDefault="00DE0F8A" w:rsidP="00DE0F8A">
      <w:pPr>
        <w:jc w:val="both"/>
        <w:rPr>
          <w:rFonts w:ascii="Times New Roman" w:hAnsi="Times New Roman" w:cs="Times New Roman"/>
        </w:rPr>
      </w:pPr>
      <w:r w:rsidRPr="00F36F18">
        <w:rPr>
          <w:rFonts w:ascii="Times New Roman" w:hAnsi="Times New Roman" w:cs="Times New Roman"/>
        </w:rPr>
        <w:t>The triangulation of multiple platforms strengthened the validity of findings by allowing comparative interpretation across different digital ecosystems. Overall, this methodological framework enables a nuanced understanding of how digital media mediates tradition, technology, and cultural knowledge in contemporary India.</w:t>
      </w:r>
    </w:p>
    <w:p w14:paraId="3F976393"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4. Analysis and Findings</w:t>
      </w:r>
    </w:p>
    <w:p w14:paraId="2DD3E13C"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4.1 YouTube as an IKS Archive</w:t>
      </w:r>
    </w:p>
    <w:p w14:paraId="347484AD"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 xml:space="preserve">YouTube channels on Ayurveda, Yoga, folk music, and Sanskrit literature have democratized access by offering content in regional languages and English. Channels like </w:t>
      </w:r>
      <w:r w:rsidRPr="00F36F18">
        <w:rPr>
          <w:rFonts w:ascii="Times New Roman" w:hAnsi="Times New Roman" w:cs="Times New Roman"/>
          <w:i/>
          <w:iCs/>
        </w:rPr>
        <w:t>Bharatvarsh</w:t>
      </w:r>
      <w:r w:rsidRPr="00F36F18">
        <w:rPr>
          <w:rFonts w:ascii="Times New Roman" w:hAnsi="Times New Roman" w:cs="Times New Roman"/>
        </w:rPr>
        <w:t xml:space="preserve"> or </w:t>
      </w:r>
      <w:r w:rsidRPr="00F36F18">
        <w:rPr>
          <w:rFonts w:ascii="Times New Roman" w:hAnsi="Times New Roman" w:cs="Times New Roman"/>
          <w:i/>
          <w:iCs/>
        </w:rPr>
        <w:t>Sanskrit Wisdom</w:t>
      </w:r>
      <w:r w:rsidRPr="00F36F18">
        <w:rPr>
          <w:rFonts w:ascii="Times New Roman" w:hAnsi="Times New Roman" w:cs="Times New Roman"/>
        </w:rPr>
        <w:t xml:space="preserve"> illustrate how digital pedagogy bridges generations.</w:t>
      </w:r>
    </w:p>
    <w:p w14:paraId="7512BE6E"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4.2 Podcasts and Oral Traditions</w:t>
      </w:r>
    </w:p>
    <w:p w14:paraId="6B207D24"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lastRenderedPageBreak/>
        <w:t xml:space="preserve">Podcasts such as </w:t>
      </w:r>
      <w:r w:rsidRPr="00F36F18">
        <w:rPr>
          <w:rFonts w:ascii="Times New Roman" w:hAnsi="Times New Roman" w:cs="Times New Roman"/>
          <w:i/>
          <w:iCs/>
        </w:rPr>
        <w:t>The Musafir Stories</w:t>
      </w:r>
      <w:r w:rsidRPr="00F36F18">
        <w:rPr>
          <w:rFonts w:ascii="Times New Roman" w:hAnsi="Times New Roman" w:cs="Times New Roman"/>
        </w:rPr>
        <w:t xml:space="preserve"> or </w:t>
      </w:r>
      <w:r w:rsidRPr="00F36F18">
        <w:rPr>
          <w:rFonts w:ascii="Times New Roman" w:hAnsi="Times New Roman" w:cs="Times New Roman"/>
          <w:i/>
          <w:iCs/>
        </w:rPr>
        <w:t>Echoes of India</w:t>
      </w:r>
      <w:r w:rsidRPr="00F36F18">
        <w:rPr>
          <w:rFonts w:ascii="Times New Roman" w:hAnsi="Times New Roman" w:cs="Times New Roman"/>
        </w:rPr>
        <w:t xml:space="preserve"> revive oral traditions by blending historical narratives with contemporary discussions. They foster intimacy and accessibility, appealing to both rural and global audiences.</w:t>
      </w:r>
    </w:p>
    <w:p w14:paraId="586DBF98"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4.3 OTT Platforms and Global Outreach</w:t>
      </w:r>
    </w:p>
    <w:p w14:paraId="055C0B41"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OTT platforms host curated documentaries such as “Yoga: The Ancient Science,” “India’s Healing Wisdom,” and folk art series. These productions target global audiences, enhancing India’s cultural diplomacy. However, the risk of oversimplification for entertainment remains high.</w:t>
      </w:r>
    </w:p>
    <w:p w14:paraId="6DB546FD" w14:textId="7777777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OTT Platforms as Cultural Mediators: Case Studies</w:t>
      </w:r>
    </w:p>
    <w:p w14:paraId="5E7158A3"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t xml:space="preserve">Over-The-Top (OTT) streaming platforms have emerged as influential mediators in the global circulation of Indian Indigenous Knowledge Systems (IKS). Unlike user-generated platforms such as YouTube, OTT platforms operate through professionally curated, high-production-value content, which significantly shapes how traditional knowledge is framed, narrated, and consumed. This study analyzes </w:t>
      </w:r>
      <w:r w:rsidRPr="0064041A">
        <w:rPr>
          <w:rFonts w:ascii="Times New Roman" w:hAnsi="Times New Roman" w:cs="Times New Roman"/>
          <w:b/>
          <w:bCs/>
        </w:rPr>
        <w:t>15 OTT-based case studies</w:t>
      </w:r>
      <w:r w:rsidRPr="0064041A">
        <w:rPr>
          <w:rFonts w:ascii="Times New Roman" w:hAnsi="Times New Roman" w:cs="Times New Roman"/>
        </w:rPr>
        <w:t xml:space="preserve"> to examine how documentaries and series centered on Yoga, indigenous crafts, food traditions, folk arts, and traditional healing systems contribute to the preservation and commodification of IKS.</w:t>
      </w:r>
    </w:p>
    <w:p w14:paraId="3D624174" w14:textId="7777777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Case Study 1: Yoga and Spiritual Knowledge Documentaries</w:t>
      </w:r>
    </w:p>
    <w:p w14:paraId="7D75C99E"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t>Several OTT platforms host documentary series focused on Yoga, meditation, and spiritual philosophy, often presenting Yoga as a holistic science rooted in ancient Indian scriptures such as the Yoga Sutras and Upanishads. These documentaries emphasize wellness, mindfulness, and mental health, aligning traditional knowledge with contemporary global concerns. The use of expert interviews, archival visuals, and scenic representations of ashrams and natural landscapes enhances authenticity. However, the narrative frequently reframes Yoga through a global wellness lens, occasionally simplifying its philosophical depth to appeal to international audiences. This selective representation illustrates the tension between accessibility and epistemic reduction.</w:t>
      </w:r>
    </w:p>
    <w:p w14:paraId="2AC4A15E" w14:textId="7777777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Case Study 2: Indigenous Crafts and Artisan Traditions</w:t>
      </w:r>
    </w:p>
    <w:p w14:paraId="546F6D70"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t>OTT platforms have also produced content highlighting indigenous crafts such as handloom weaving, pottery, metalwork, and tribal art forms. These documentaries foreground artisan communities, showcasing intergenerational knowledge transmission and the socio-cultural contexts of craftsmanship. High-quality visuals and narrative storytelling elevate the cultural status of these practices and contribute to their recognition beyond local markets. At the same time, the content often positions crafts within luxury, sustainability, and lifestyle frameworks, reinforcing their commercial value. While this enhances market visibility for artisans, it also risks detaching the craft from its ritualistic and communal roots.</w:t>
      </w:r>
    </w:p>
    <w:p w14:paraId="51C636CE" w14:textId="7777777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Case Study 3: Food Traditions and Indigenous Culinary Knowledge</w:t>
      </w:r>
    </w:p>
    <w:p w14:paraId="3C3163DD"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lastRenderedPageBreak/>
        <w:t>Food-based documentaries focusing on regional cuisines, tribal food practices, and traditional cooking methods represent another significant OTT trend. These programs document indigenous ingredients, ecological knowledge, and seasonal food practices, framing them as sustainable alternatives to industrialized diets. Culinary narratives are often intertwined with identity, geography, and memory, making them effective vehicles for cultural transmission. However, editorial choices tend to prioritize visually appealing narratives and celebrity-driven storytelling, which may marginalize everyday practitioners and local voices.</w:t>
      </w:r>
    </w:p>
    <w:p w14:paraId="4DD0E5C2" w14:textId="7777777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Case Study 4: Folk Arts, Music, and Oral Traditions</w:t>
      </w:r>
    </w:p>
    <w:p w14:paraId="620B2076" w14:textId="77777777" w:rsidR="0064041A" w:rsidRDefault="0064041A" w:rsidP="0064041A">
      <w:pPr>
        <w:jc w:val="both"/>
        <w:rPr>
          <w:rFonts w:ascii="Times New Roman" w:hAnsi="Times New Roman" w:cs="Times New Roman"/>
        </w:rPr>
      </w:pPr>
      <w:r w:rsidRPr="0064041A">
        <w:rPr>
          <w:rFonts w:ascii="Times New Roman" w:hAnsi="Times New Roman" w:cs="Times New Roman"/>
        </w:rPr>
        <w:t>OTT case studies on folk music, dance, and oral storytelling traditions provide a platform for endangered art forms that receive limited exposure in mainstream media. By archiving performances and contextual narratives, OTT platforms contribute to cultural preservation and intergenerational continuity. Yet, algorithm-driven visibility and episodic storytelling structures can favor certain regions or styles, leading to uneven representation of India’s diverse cultural landscape.</w:t>
      </w:r>
    </w:p>
    <w:p w14:paraId="064C96C5" w14:textId="08ED005A" w:rsidR="00BC2CE9" w:rsidRPr="0064041A" w:rsidRDefault="00BC2CE9" w:rsidP="0064041A">
      <w:pPr>
        <w:jc w:val="both"/>
        <w:rPr>
          <w:rFonts w:ascii="Times New Roman" w:hAnsi="Times New Roman" w:cs="Times New Roman"/>
        </w:rPr>
      </w:pPr>
      <w:r w:rsidRPr="00BC2CE9">
        <w:rPr>
          <w:rFonts w:ascii="Times New Roman" w:hAnsi="Times New Roman" w:cs="Times New Roman"/>
        </w:rPr>
        <w:drawing>
          <wp:inline distT="0" distB="0" distL="0" distR="0" wp14:anchorId="4B23931F" wp14:editId="2ECFE2CE">
            <wp:extent cx="5473981" cy="3149762"/>
            <wp:effectExtent l="0" t="0" r="0" b="0"/>
            <wp:docPr id="83532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9076" name=""/>
                    <pic:cNvPicPr/>
                  </pic:nvPicPr>
                  <pic:blipFill>
                    <a:blip r:embed="rId6"/>
                    <a:stretch>
                      <a:fillRect/>
                    </a:stretch>
                  </pic:blipFill>
                  <pic:spPr>
                    <a:xfrm>
                      <a:off x="0" y="0"/>
                      <a:ext cx="5473981" cy="3149762"/>
                    </a:xfrm>
                    <a:prstGeom prst="rect">
                      <a:avLst/>
                    </a:prstGeom>
                  </pic:spPr>
                </pic:pic>
              </a:graphicData>
            </a:graphic>
          </wp:inline>
        </w:drawing>
      </w:r>
    </w:p>
    <w:p w14:paraId="3B70BD4F" w14:textId="77777777" w:rsidR="00A26ED2" w:rsidRDefault="00A26ED2" w:rsidP="0064041A">
      <w:pPr>
        <w:jc w:val="both"/>
        <w:rPr>
          <w:rFonts w:ascii="Times New Roman" w:hAnsi="Times New Roman" w:cs="Times New Roman"/>
          <w:b/>
          <w:bCs/>
        </w:rPr>
      </w:pPr>
      <w:r>
        <w:rPr>
          <w:rFonts w:ascii="Times New Roman" w:hAnsi="Times New Roman" w:cs="Times New Roman"/>
          <w:b/>
          <w:bCs/>
        </w:rPr>
        <w:t>Figure- 1. (</w:t>
      </w:r>
      <w:r w:rsidR="00F84394" w:rsidRPr="00F84394">
        <w:rPr>
          <w:rFonts w:ascii="Times New Roman" w:hAnsi="Times New Roman" w:cs="Times New Roman"/>
          <w:b/>
          <w:bCs/>
        </w:rPr>
        <w:t>The pie chart visually presents how the 15 OTT case studies analyzed</w:t>
      </w:r>
      <w:r w:rsidR="00DA6B90">
        <w:rPr>
          <w:rFonts w:ascii="Times New Roman" w:hAnsi="Times New Roman" w:cs="Times New Roman"/>
          <w:b/>
          <w:bCs/>
        </w:rPr>
        <w:t xml:space="preserve"> the </w:t>
      </w:r>
      <w:r w:rsidR="00F84394" w:rsidRPr="00F84394">
        <w:rPr>
          <w:rFonts w:ascii="Times New Roman" w:hAnsi="Times New Roman" w:cs="Times New Roman"/>
          <w:b/>
          <w:bCs/>
        </w:rPr>
        <w:t>research are distributed across key Indian Indigenous Knowledge System (IKS) domains</w:t>
      </w:r>
      <w:r w:rsidR="00F84394">
        <w:rPr>
          <w:rFonts w:ascii="Times New Roman" w:hAnsi="Times New Roman" w:cs="Times New Roman"/>
          <w:b/>
          <w:bCs/>
        </w:rPr>
        <w:t>.</w:t>
      </w:r>
      <w:r>
        <w:rPr>
          <w:rFonts w:ascii="Times New Roman" w:hAnsi="Times New Roman" w:cs="Times New Roman"/>
          <w:b/>
          <w:bCs/>
        </w:rPr>
        <w:t>)</w:t>
      </w:r>
    </w:p>
    <w:p w14:paraId="00E87E5C" w14:textId="4FB2B9EE" w:rsidR="00BC2CE9" w:rsidRPr="00A26ED2" w:rsidRDefault="00A26ED2" w:rsidP="0064041A">
      <w:pPr>
        <w:jc w:val="both"/>
        <w:rPr>
          <w:rFonts w:ascii="Times New Roman" w:hAnsi="Times New Roman" w:cs="Times New Roman"/>
        </w:rPr>
      </w:pPr>
      <w:r w:rsidRPr="00A26ED2">
        <w:rPr>
          <w:rFonts w:ascii="Times New Roman" w:hAnsi="Times New Roman" w:cs="Times New Roman"/>
        </w:rPr>
        <w:t xml:space="preserve">Figure </w:t>
      </w:r>
      <w:r w:rsidRPr="00A26ED2">
        <w:rPr>
          <w:rFonts w:ascii="Times New Roman" w:hAnsi="Times New Roman" w:cs="Times New Roman"/>
        </w:rPr>
        <w:t>1</w:t>
      </w:r>
      <w:r w:rsidRPr="00A26ED2">
        <w:rPr>
          <w:rFonts w:ascii="Times New Roman" w:hAnsi="Times New Roman" w:cs="Times New Roman"/>
        </w:rPr>
        <w:t xml:space="preserve"> illustrates the thematic distribution of 15 OTT-based case studies analyzed in the present research. The findings indicate that Yoga and spiritual knowledge dominate OTT representations of Indian Indigenous Knowledge Systems (26.7%), reflecting the global market demand for wellness-oriented content. Indigenous crafts, food traditions, and folk arts each account for 20% of the sample, highlighting OTT platforms’ growing interest in cultural heritage and sustainable traditions. Ayurveda and traditional healing systems constitute 13.3% of the content, suggesting </w:t>
      </w:r>
      <w:r w:rsidRPr="00A26ED2">
        <w:rPr>
          <w:rFonts w:ascii="Times New Roman" w:hAnsi="Times New Roman" w:cs="Times New Roman"/>
        </w:rPr>
        <w:lastRenderedPageBreak/>
        <w:t>selective yet significant engagement with indigenous medical knowledge. The distribution underscores how OTT platforms curate IKS narratives through a balance of cultural preservation and market-driven storytelling</w:t>
      </w:r>
      <w:r>
        <w:rPr>
          <w:rFonts w:ascii="Times New Roman" w:hAnsi="Times New Roman" w:cs="Times New Roman"/>
        </w:rPr>
        <w:t xml:space="preserve">. </w:t>
      </w:r>
    </w:p>
    <w:p w14:paraId="5FE938AA" w14:textId="50AC6697" w:rsidR="0064041A" w:rsidRPr="0064041A" w:rsidRDefault="0064041A" w:rsidP="0064041A">
      <w:pPr>
        <w:jc w:val="both"/>
        <w:rPr>
          <w:rFonts w:ascii="Times New Roman" w:hAnsi="Times New Roman" w:cs="Times New Roman"/>
          <w:b/>
          <w:bCs/>
        </w:rPr>
      </w:pPr>
      <w:r w:rsidRPr="0064041A">
        <w:rPr>
          <w:rFonts w:ascii="Times New Roman" w:hAnsi="Times New Roman" w:cs="Times New Roman"/>
          <w:b/>
          <w:bCs/>
        </w:rPr>
        <w:t>Analytical Insights</w:t>
      </w:r>
    </w:p>
    <w:p w14:paraId="112FBDE2"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t xml:space="preserve">Across all case studies, four recurring themes emerge: </w:t>
      </w:r>
      <w:r w:rsidRPr="0064041A">
        <w:rPr>
          <w:rFonts w:ascii="Times New Roman" w:hAnsi="Times New Roman" w:cs="Times New Roman"/>
          <w:b/>
          <w:bCs/>
        </w:rPr>
        <w:t>enhanced accessibility</w:t>
      </w:r>
      <w:r w:rsidRPr="0064041A">
        <w:rPr>
          <w:rFonts w:ascii="Times New Roman" w:hAnsi="Times New Roman" w:cs="Times New Roman"/>
        </w:rPr>
        <w:t xml:space="preserve">, </w:t>
      </w:r>
      <w:r w:rsidRPr="0064041A">
        <w:rPr>
          <w:rFonts w:ascii="Times New Roman" w:hAnsi="Times New Roman" w:cs="Times New Roman"/>
          <w:b/>
          <w:bCs/>
        </w:rPr>
        <w:t>curated authenticity</w:t>
      </w:r>
      <w:r w:rsidRPr="0064041A">
        <w:rPr>
          <w:rFonts w:ascii="Times New Roman" w:hAnsi="Times New Roman" w:cs="Times New Roman"/>
        </w:rPr>
        <w:t xml:space="preserve">, </w:t>
      </w:r>
      <w:r w:rsidRPr="0064041A">
        <w:rPr>
          <w:rFonts w:ascii="Times New Roman" w:hAnsi="Times New Roman" w:cs="Times New Roman"/>
          <w:b/>
          <w:bCs/>
        </w:rPr>
        <w:t>high audience engagement</w:t>
      </w:r>
      <w:r w:rsidRPr="0064041A">
        <w:rPr>
          <w:rFonts w:ascii="Times New Roman" w:hAnsi="Times New Roman" w:cs="Times New Roman"/>
        </w:rPr>
        <w:t xml:space="preserve">, and </w:t>
      </w:r>
      <w:r w:rsidRPr="0064041A">
        <w:rPr>
          <w:rFonts w:ascii="Times New Roman" w:hAnsi="Times New Roman" w:cs="Times New Roman"/>
          <w:b/>
          <w:bCs/>
        </w:rPr>
        <w:t>structured commodification</w:t>
      </w:r>
      <w:r w:rsidRPr="0064041A">
        <w:rPr>
          <w:rFonts w:ascii="Times New Roman" w:hAnsi="Times New Roman" w:cs="Times New Roman"/>
        </w:rPr>
        <w:t>. OTT platforms excel in transforming IKS into globally consumable cultural products, contributing to India’s soft power and cultural diplomacy. However, the commercialization inherent in subscription-based models raises concerns about ownership, representation, and epistemic integrity.</w:t>
      </w:r>
    </w:p>
    <w:p w14:paraId="25362A54" w14:textId="77777777" w:rsidR="0064041A" w:rsidRPr="0064041A" w:rsidRDefault="0064041A" w:rsidP="0064041A">
      <w:pPr>
        <w:jc w:val="both"/>
        <w:rPr>
          <w:rFonts w:ascii="Times New Roman" w:hAnsi="Times New Roman" w:cs="Times New Roman"/>
        </w:rPr>
      </w:pPr>
      <w:r w:rsidRPr="0064041A">
        <w:rPr>
          <w:rFonts w:ascii="Times New Roman" w:hAnsi="Times New Roman" w:cs="Times New Roman"/>
        </w:rPr>
        <w:t>The OTT case studies demonstrate that while streaming platforms play a critical role in amplifying Indian Indigenous Knowledge Systems, they also reshape knowledge through selective storytelling and market-driven frameworks. The findings underscore the need for ethical content policies that balance cultural preservation with global dissemination, ensuring that IKS remains both authentic and accessible in the digital age.</w:t>
      </w:r>
    </w:p>
    <w:p w14:paraId="372878B5"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4.4 Challenges Identified</w:t>
      </w:r>
    </w:p>
    <w:p w14:paraId="26AB8528" w14:textId="77777777" w:rsidR="002F3BDA" w:rsidRPr="00F36F18" w:rsidRDefault="002F3BDA" w:rsidP="00EE5D0C">
      <w:pPr>
        <w:numPr>
          <w:ilvl w:val="0"/>
          <w:numId w:val="4"/>
        </w:numPr>
        <w:jc w:val="both"/>
        <w:rPr>
          <w:rFonts w:ascii="Times New Roman" w:hAnsi="Times New Roman" w:cs="Times New Roman"/>
        </w:rPr>
      </w:pPr>
      <w:r w:rsidRPr="00F36F18">
        <w:rPr>
          <w:rFonts w:ascii="Times New Roman" w:hAnsi="Times New Roman" w:cs="Times New Roman"/>
          <w:b/>
          <w:bCs/>
        </w:rPr>
        <w:t>Authenticity vs. Commercialization</w:t>
      </w:r>
    </w:p>
    <w:p w14:paraId="1D201B5C" w14:textId="77777777" w:rsidR="002F3BDA" w:rsidRPr="00F36F18" w:rsidRDefault="002F3BDA" w:rsidP="00EE5D0C">
      <w:pPr>
        <w:numPr>
          <w:ilvl w:val="0"/>
          <w:numId w:val="4"/>
        </w:numPr>
        <w:jc w:val="both"/>
        <w:rPr>
          <w:rFonts w:ascii="Times New Roman" w:hAnsi="Times New Roman" w:cs="Times New Roman"/>
        </w:rPr>
      </w:pPr>
      <w:r w:rsidRPr="00F36F18">
        <w:rPr>
          <w:rFonts w:ascii="Times New Roman" w:hAnsi="Times New Roman" w:cs="Times New Roman"/>
          <w:b/>
          <w:bCs/>
        </w:rPr>
        <w:t>Intellectual Property Concerns</w:t>
      </w:r>
    </w:p>
    <w:p w14:paraId="73C66B5D" w14:textId="77777777" w:rsidR="002F3BDA" w:rsidRPr="00F36F18" w:rsidRDefault="002F3BDA" w:rsidP="00EE5D0C">
      <w:pPr>
        <w:numPr>
          <w:ilvl w:val="0"/>
          <w:numId w:val="4"/>
        </w:numPr>
        <w:jc w:val="both"/>
        <w:rPr>
          <w:rFonts w:ascii="Times New Roman" w:hAnsi="Times New Roman" w:cs="Times New Roman"/>
        </w:rPr>
      </w:pPr>
      <w:r w:rsidRPr="00F36F18">
        <w:rPr>
          <w:rFonts w:ascii="Times New Roman" w:hAnsi="Times New Roman" w:cs="Times New Roman"/>
          <w:b/>
          <w:bCs/>
        </w:rPr>
        <w:t>Representation Bias</w:t>
      </w:r>
      <w:r w:rsidRPr="00F36F18">
        <w:rPr>
          <w:rFonts w:ascii="Times New Roman" w:hAnsi="Times New Roman" w:cs="Times New Roman"/>
        </w:rPr>
        <w:t xml:space="preserve"> (urban creators dominating rural voices)</w:t>
      </w:r>
    </w:p>
    <w:p w14:paraId="1E11D1E9" w14:textId="77777777" w:rsidR="002F3BDA" w:rsidRPr="00F36F18" w:rsidRDefault="002F3BDA" w:rsidP="00EE5D0C">
      <w:pPr>
        <w:numPr>
          <w:ilvl w:val="0"/>
          <w:numId w:val="4"/>
        </w:numPr>
        <w:jc w:val="both"/>
        <w:rPr>
          <w:rFonts w:ascii="Times New Roman" w:hAnsi="Times New Roman" w:cs="Times New Roman"/>
        </w:rPr>
      </w:pPr>
      <w:r w:rsidRPr="00F36F18">
        <w:rPr>
          <w:rFonts w:ascii="Times New Roman" w:hAnsi="Times New Roman" w:cs="Times New Roman"/>
          <w:b/>
          <w:bCs/>
        </w:rPr>
        <w:t>Algorithmic Visibility</w:t>
      </w:r>
      <w:r w:rsidRPr="00F36F18">
        <w:rPr>
          <w:rFonts w:ascii="Times New Roman" w:hAnsi="Times New Roman" w:cs="Times New Roman"/>
        </w:rPr>
        <w:t xml:space="preserve"> skewing what audiences access.</w:t>
      </w:r>
    </w:p>
    <w:p w14:paraId="2CAEACB1" w14:textId="54678A3A" w:rsidR="002F3BDA" w:rsidRPr="00F36F18" w:rsidRDefault="002F3BDA" w:rsidP="00EE5D0C">
      <w:pPr>
        <w:jc w:val="both"/>
        <w:rPr>
          <w:rFonts w:ascii="Times New Roman" w:hAnsi="Times New Roman" w:cs="Times New Roman"/>
        </w:rPr>
      </w:pPr>
    </w:p>
    <w:p w14:paraId="4423BBFF"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5. Discussion</w:t>
      </w:r>
    </w:p>
    <w:p w14:paraId="29EFFA3C"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The findings reveal that digital media acts as both a catalyst and a disruptor. While it fosters inclusion and accessibility, it simultaneously risks diluting the nuanced depth of IKS. Democratization is evident in how rural artisans upload craft videos on YouTube or yoga practitioners share global live sessions, but sustainable frameworks are needed to protect cultural integrity.</w:t>
      </w:r>
    </w:p>
    <w:p w14:paraId="49A64151"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6. Conclusion and Recommendations</w:t>
      </w:r>
    </w:p>
    <w:p w14:paraId="0A249ADE"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Digital platforms—YouTube, podcasts, and OTT services—are indispensable in reimagining the dissemination of IKS. They enable cultural preservation, transnational dialogues, and youth engagement. However, the path forward requires:</w:t>
      </w:r>
    </w:p>
    <w:p w14:paraId="3955F357" w14:textId="77777777" w:rsidR="002F3BDA" w:rsidRPr="00F36F18" w:rsidRDefault="002F3BDA" w:rsidP="00EE5D0C">
      <w:pPr>
        <w:numPr>
          <w:ilvl w:val="0"/>
          <w:numId w:val="5"/>
        </w:numPr>
        <w:jc w:val="both"/>
        <w:rPr>
          <w:rFonts w:ascii="Times New Roman" w:hAnsi="Times New Roman" w:cs="Times New Roman"/>
        </w:rPr>
      </w:pPr>
      <w:r w:rsidRPr="00F36F18">
        <w:rPr>
          <w:rFonts w:ascii="Times New Roman" w:hAnsi="Times New Roman" w:cs="Times New Roman"/>
          <w:b/>
          <w:bCs/>
        </w:rPr>
        <w:t>Policy Interventions:</w:t>
      </w:r>
      <w:r w:rsidRPr="00F36F18">
        <w:rPr>
          <w:rFonts w:ascii="Times New Roman" w:hAnsi="Times New Roman" w:cs="Times New Roman"/>
        </w:rPr>
        <w:t xml:space="preserve"> Establishing IKS-specific digital intellectual property rights.</w:t>
      </w:r>
    </w:p>
    <w:p w14:paraId="31652F64" w14:textId="77777777" w:rsidR="002F3BDA" w:rsidRPr="00F36F18" w:rsidRDefault="002F3BDA" w:rsidP="00EE5D0C">
      <w:pPr>
        <w:numPr>
          <w:ilvl w:val="0"/>
          <w:numId w:val="5"/>
        </w:numPr>
        <w:jc w:val="both"/>
        <w:rPr>
          <w:rFonts w:ascii="Times New Roman" w:hAnsi="Times New Roman" w:cs="Times New Roman"/>
        </w:rPr>
      </w:pPr>
      <w:r w:rsidRPr="00F36F18">
        <w:rPr>
          <w:rFonts w:ascii="Times New Roman" w:hAnsi="Times New Roman" w:cs="Times New Roman"/>
          <w:b/>
          <w:bCs/>
        </w:rPr>
        <w:t>Collaborations:</w:t>
      </w:r>
      <w:r w:rsidRPr="00F36F18">
        <w:rPr>
          <w:rFonts w:ascii="Times New Roman" w:hAnsi="Times New Roman" w:cs="Times New Roman"/>
        </w:rPr>
        <w:t xml:space="preserve"> Encouraging partnerships between IKS practitioners, academia, and digital creators.</w:t>
      </w:r>
    </w:p>
    <w:p w14:paraId="11D7E08E" w14:textId="77777777" w:rsidR="002F3BDA" w:rsidRPr="00F36F18" w:rsidRDefault="002F3BDA" w:rsidP="00EE5D0C">
      <w:pPr>
        <w:numPr>
          <w:ilvl w:val="0"/>
          <w:numId w:val="5"/>
        </w:numPr>
        <w:jc w:val="both"/>
        <w:rPr>
          <w:rFonts w:ascii="Times New Roman" w:hAnsi="Times New Roman" w:cs="Times New Roman"/>
        </w:rPr>
      </w:pPr>
      <w:r w:rsidRPr="00F36F18">
        <w:rPr>
          <w:rFonts w:ascii="Times New Roman" w:hAnsi="Times New Roman" w:cs="Times New Roman"/>
          <w:b/>
          <w:bCs/>
        </w:rPr>
        <w:lastRenderedPageBreak/>
        <w:t>Digital Literacy:</w:t>
      </w:r>
      <w:r w:rsidRPr="00F36F18">
        <w:rPr>
          <w:rFonts w:ascii="Times New Roman" w:hAnsi="Times New Roman" w:cs="Times New Roman"/>
        </w:rPr>
        <w:t xml:space="preserve"> Training rural custodians of IKS to use digital tools.</w:t>
      </w:r>
    </w:p>
    <w:p w14:paraId="21CE572B" w14:textId="77777777" w:rsidR="002F3BDA" w:rsidRPr="00F36F18" w:rsidRDefault="002F3BDA" w:rsidP="00EE5D0C">
      <w:pPr>
        <w:numPr>
          <w:ilvl w:val="0"/>
          <w:numId w:val="5"/>
        </w:numPr>
        <w:jc w:val="both"/>
        <w:rPr>
          <w:rFonts w:ascii="Times New Roman" w:hAnsi="Times New Roman" w:cs="Times New Roman"/>
        </w:rPr>
      </w:pPr>
      <w:r w:rsidRPr="00F36F18">
        <w:rPr>
          <w:rFonts w:ascii="Times New Roman" w:hAnsi="Times New Roman" w:cs="Times New Roman"/>
          <w:b/>
          <w:bCs/>
        </w:rPr>
        <w:t>Ethical Guidelines:</w:t>
      </w:r>
      <w:r w:rsidRPr="00F36F18">
        <w:rPr>
          <w:rFonts w:ascii="Times New Roman" w:hAnsi="Times New Roman" w:cs="Times New Roman"/>
        </w:rPr>
        <w:t xml:space="preserve"> Ensuring authenticity and preventing cultural commodification.</w:t>
      </w:r>
    </w:p>
    <w:p w14:paraId="03F2CD37" w14:textId="77777777" w:rsidR="002F3BDA" w:rsidRPr="00F36F18" w:rsidRDefault="002F3BDA" w:rsidP="00EE5D0C">
      <w:pPr>
        <w:jc w:val="both"/>
        <w:rPr>
          <w:rFonts w:ascii="Times New Roman" w:hAnsi="Times New Roman" w:cs="Times New Roman"/>
        </w:rPr>
      </w:pPr>
      <w:r w:rsidRPr="00F36F18">
        <w:rPr>
          <w:rFonts w:ascii="Times New Roman" w:hAnsi="Times New Roman" w:cs="Times New Roman"/>
        </w:rPr>
        <w:t>By balancing accessibility with authenticity, digital media can ensure that India’s rich traditional knowledge remains both preserved and globally celebrated.</w:t>
      </w:r>
    </w:p>
    <w:p w14:paraId="14B75A20" w14:textId="32F3F76B" w:rsidR="002F3BDA" w:rsidRPr="00F36F18" w:rsidRDefault="002F3BDA" w:rsidP="00EE5D0C">
      <w:pPr>
        <w:jc w:val="both"/>
        <w:rPr>
          <w:rFonts w:ascii="Times New Roman" w:hAnsi="Times New Roman" w:cs="Times New Roman"/>
        </w:rPr>
      </w:pPr>
    </w:p>
    <w:p w14:paraId="5909385E" w14:textId="77777777" w:rsidR="002F3BDA" w:rsidRPr="00F36F18" w:rsidRDefault="002F3BDA" w:rsidP="00EE5D0C">
      <w:pPr>
        <w:jc w:val="both"/>
        <w:rPr>
          <w:rFonts w:ascii="Times New Roman" w:hAnsi="Times New Roman" w:cs="Times New Roman"/>
          <w:b/>
          <w:bCs/>
        </w:rPr>
      </w:pPr>
      <w:r w:rsidRPr="00F36F18">
        <w:rPr>
          <w:rFonts w:ascii="Times New Roman" w:hAnsi="Times New Roman" w:cs="Times New Roman"/>
          <w:b/>
          <w:bCs/>
        </w:rPr>
        <w:t>References (APA Style)</w:t>
      </w:r>
    </w:p>
    <w:p w14:paraId="531B65EC"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 xml:space="preserve">Chatterjee, N., &amp; Kundu, D. (2025). </w:t>
      </w:r>
      <w:r w:rsidRPr="00E1430C">
        <w:rPr>
          <w:rFonts w:ascii="Times New Roman" w:hAnsi="Times New Roman" w:cs="Times New Roman"/>
          <w:i/>
          <w:iCs/>
        </w:rPr>
        <w:t>Role of media in preservation and promotion of ancient Indian knowledge systems in the present society</w:t>
      </w:r>
      <w:r w:rsidRPr="00E1430C">
        <w:rPr>
          <w:rFonts w:ascii="Times New Roman" w:hAnsi="Times New Roman" w:cs="Times New Roman"/>
        </w:rPr>
        <w:t>. ShodhVichar: Journal of Media and Mass Communication, 1(2), 43–51.</w:t>
      </w:r>
    </w:p>
    <w:p w14:paraId="5D21F011"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 xml:space="preserve">Kaur, A. (2025). </w:t>
      </w:r>
      <w:r w:rsidRPr="00E1430C">
        <w:rPr>
          <w:rFonts w:ascii="Times New Roman" w:hAnsi="Times New Roman" w:cs="Times New Roman"/>
          <w:i/>
          <w:iCs/>
        </w:rPr>
        <w:t>Integrating digital technologies to preserve and teach Indian Knowledge System</w:t>
      </w:r>
      <w:r w:rsidRPr="00E1430C">
        <w:rPr>
          <w:rFonts w:ascii="Times New Roman" w:hAnsi="Times New Roman" w:cs="Times New Roman"/>
        </w:rPr>
        <w:t>. International Journal for Multidisciplinary Research, 7(6).</w:t>
      </w:r>
    </w:p>
    <w:p w14:paraId="7A039423"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 xml:space="preserve">Ministry of Education, Government of India. (2021). </w:t>
      </w:r>
      <w:r w:rsidRPr="00E1430C">
        <w:rPr>
          <w:rFonts w:ascii="Times New Roman" w:hAnsi="Times New Roman" w:cs="Times New Roman"/>
          <w:i/>
          <w:iCs/>
        </w:rPr>
        <w:t>Indian Knowledge Systems: Policy and initiatives</w:t>
      </w:r>
      <w:r w:rsidRPr="00E1430C">
        <w:rPr>
          <w:rFonts w:ascii="Times New Roman" w:hAnsi="Times New Roman" w:cs="Times New Roman"/>
        </w:rPr>
        <w:t>.</w:t>
      </w:r>
    </w:p>
    <w:p w14:paraId="76570C5B"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 xml:space="preserve">Das, S., Singha, P., &amp; Patowari, D. (2025). </w:t>
      </w:r>
      <w:r w:rsidRPr="00E1430C">
        <w:rPr>
          <w:rFonts w:ascii="Times New Roman" w:hAnsi="Times New Roman" w:cs="Times New Roman"/>
          <w:i/>
          <w:iCs/>
        </w:rPr>
        <w:t>AI-enabled analysis of traditional knowledge systems</w:t>
      </w:r>
      <w:r w:rsidRPr="00E1430C">
        <w:rPr>
          <w:rFonts w:ascii="Times New Roman" w:hAnsi="Times New Roman" w:cs="Times New Roman"/>
        </w:rPr>
        <w:t>.</w:t>
      </w:r>
    </w:p>
    <w:p w14:paraId="0481F2D4"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 xml:space="preserve">Rajasekaran, P. (2020). </w:t>
      </w:r>
      <w:r w:rsidRPr="00E1430C">
        <w:rPr>
          <w:rFonts w:ascii="Times New Roman" w:hAnsi="Times New Roman" w:cs="Times New Roman"/>
          <w:i/>
          <w:iCs/>
        </w:rPr>
        <w:t>Documentation and dissemination of indigenous knowledge</w:t>
      </w:r>
      <w:r w:rsidRPr="00E1430C">
        <w:rPr>
          <w:rFonts w:ascii="Times New Roman" w:hAnsi="Times New Roman" w:cs="Times New Roman"/>
        </w:rPr>
        <w:t>.</w:t>
      </w:r>
    </w:p>
    <w:p w14:paraId="084D548F"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Digitizing Indian Knowledge Systems: Preservation, Evolution and Global Impact. (2024).</w:t>
      </w:r>
    </w:p>
    <w:p w14:paraId="19B1A581" w14:textId="77777777" w:rsidR="00E1430C" w:rsidRPr="00E1430C" w:rsidRDefault="00E1430C" w:rsidP="00E1430C">
      <w:pPr>
        <w:numPr>
          <w:ilvl w:val="0"/>
          <w:numId w:val="8"/>
        </w:numPr>
        <w:jc w:val="both"/>
        <w:rPr>
          <w:rFonts w:ascii="Times New Roman" w:hAnsi="Times New Roman" w:cs="Times New Roman"/>
        </w:rPr>
      </w:pPr>
      <w:r w:rsidRPr="00E1430C">
        <w:rPr>
          <w:rFonts w:ascii="Times New Roman" w:hAnsi="Times New Roman" w:cs="Times New Roman"/>
        </w:rPr>
        <w:t>National Education Policy (NEP) 2020. Government of India.</w:t>
      </w:r>
    </w:p>
    <w:p w14:paraId="36F80BB2" w14:textId="6DB448A6" w:rsidR="00E1430C" w:rsidRPr="00F36F18" w:rsidRDefault="00E1430C" w:rsidP="00E1430C">
      <w:pPr>
        <w:pStyle w:val="ListParagraph"/>
        <w:numPr>
          <w:ilvl w:val="0"/>
          <w:numId w:val="8"/>
        </w:numPr>
        <w:jc w:val="both"/>
        <w:rPr>
          <w:rFonts w:ascii="Times New Roman" w:hAnsi="Times New Roman" w:cs="Times New Roman"/>
        </w:rPr>
      </w:pPr>
      <w:r w:rsidRPr="00F36F18">
        <w:rPr>
          <w:rFonts w:ascii="Times New Roman" w:hAnsi="Times New Roman" w:cs="Times New Roman"/>
        </w:rPr>
        <w:t xml:space="preserve">Sharma, R. (2023). </w:t>
      </w:r>
      <w:r w:rsidRPr="00F36F18">
        <w:rPr>
          <w:rFonts w:ascii="Times New Roman" w:hAnsi="Times New Roman" w:cs="Times New Roman"/>
          <w:i/>
          <w:iCs/>
        </w:rPr>
        <w:t>Ethical challenges in digitizing traditional knowledge</w:t>
      </w:r>
      <w:r w:rsidRPr="00F36F18">
        <w:rPr>
          <w:rFonts w:ascii="Times New Roman" w:hAnsi="Times New Roman" w:cs="Times New Roman"/>
        </w:rPr>
        <w:t>.</w:t>
      </w:r>
      <w:r w:rsidRPr="00F36F18">
        <w:rPr>
          <w:rFonts w:ascii="Times New Roman" w:hAnsi="Times New Roman" w:cs="Times New Roman"/>
        </w:rPr>
        <w:t xml:space="preserve"> </w:t>
      </w:r>
    </w:p>
    <w:p w14:paraId="51C45792"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Agrawal, A. (2002). Indigenous knowledge and the politics of classification. </w:t>
      </w:r>
      <w:r w:rsidRPr="00F36F18">
        <w:rPr>
          <w:rFonts w:ascii="Times New Roman" w:hAnsi="Times New Roman" w:cs="Times New Roman"/>
          <w:i/>
          <w:iCs/>
        </w:rPr>
        <w:t>International Social Science Journal, 54</w:t>
      </w:r>
      <w:r w:rsidRPr="00F36F18">
        <w:rPr>
          <w:rFonts w:ascii="Times New Roman" w:hAnsi="Times New Roman" w:cs="Times New Roman"/>
        </w:rPr>
        <w:t>(173), 287–297.</w:t>
      </w:r>
    </w:p>
    <w:p w14:paraId="74606BAE"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Athique, A. (2020). Digital platforms and cultural production. </w:t>
      </w:r>
      <w:r w:rsidRPr="00F36F18">
        <w:rPr>
          <w:rFonts w:ascii="Times New Roman" w:hAnsi="Times New Roman" w:cs="Times New Roman"/>
          <w:i/>
          <w:iCs/>
        </w:rPr>
        <w:t>Journal of Cultural Economy, 13</w:t>
      </w:r>
      <w:r w:rsidRPr="00F36F18">
        <w:rPr>
          <w:rFonts w:ascii="Times New Roman" w:hAnsi="Times New Roman" w:cs="Times New Roman"/>
        </w:rPr>
        <w:t>(3), 245–260.</w:t>
      </w:r>
    </w:p>
    <w:p w14:paraId="320FE4C7"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Battiste, M. (2018). </w:t>
      </w:r>
      <w:r w:rsidRPr="00F36F18">
        <w:rPr>
          <w:rFonts w:ascii="Times New Roman" w:hAnsi="Times New Roman" w:cs="Times New Roman"/>
          <w:i/>
          <w:iCs/>
        </w:rPr>
        <w:t>Decolonizing education: Nourishing the learning spirit.</w:t>
      </w:r>
      <w:r w:rsidRPr="00F36F18">
        <w:rPr>
          <w:rFonts w:ascii="Times New Roman" w:hAnsi="Times New Roman" w:cs="Times New Roman"/>
        </w:rPr>
        <w:t xml:space="preserve"> Purich Publishing.</w:t>
      </w:r>
    </w:p>
    <w:p w14:paraId="26C875CB"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Jenkins, H. (2006). </w:t>
      </w:r>
      <w:r w:rsidRPr="00F36F18">
        <w:rPr>
          <w:rFonts w:ascii="Times New Roman" w:hAnsi="Times New Roman" w:cs="Times New Roman"/>
          <w:i/>
          <w:iCs/>
        </w:rPr>
        <w:t>Convergence culture: Where old and new media collide.</w:t>
      </w:r>
      <w:r w:rsidRPr="00F36F18">
        <w:rPr>
          <w:rFonts w:ascii="Times New Roman" w:hAnsi="Times New Roman" w:cs="Times New Roman"/>
        </w:rPr>
        <w:t xml:space="preserve"> NYU Press.</w:t>
      </w:r>
    </w:p>
    <w:p w14:paraId="735BBBDE"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Lange, P. G. (2014). Kids on YouTube: Technical identities and digital literacies. </w:t>
      </w:r>
      <w:r w:rsidRPr="00F36F18">
        <w:rPr>
          <w:rFonts w:ascii="Times New Roman" w:hAnsi="Times New Roman" w:cs="Times New Roman"/>
          <w:i/>
          <w:iCs/>
        </w:rPr>
        <w:t>Journal of Children and Media, 8</w:t>
      </w:r>
      <w:r w:rsidRPr="00F36F18">
        <w:rPr>
          <w:rFonts w:ascii="Times New Roman" w:hAnsi="Times New Roman" w:cs="Times New Roman"/>
        </w:rPr>
        <w:t>(2), 137–154.</w:t>
      </w:r>
    </w:p>
    <w:p w14:paraId="21432CA9"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Markman, K. M. (2012). Doing radio, making friends, and having fun: Exploring the motivations of independent audio podcasters. </w:t>
      </w:r>
      <w:r w:rsidRPr="00F36F18">
        <w:rPr>
          <w:rFonts w:ascii="Times New Roman" w:hAnsi="Times New Roman" w:cs="Times New Roman"/>
          <w:i/>
          <w:iCs/>
        </w:rPr>
        <w:t>New Media &amp; Society, 14</w:t>
      </w:r>
      <w:r w:rsidRPr="00F36F18">
        <w:rPr>
          <w:rFonts w:ascii="Times New Roman" w:hAnsi="Times New Roman" w:cs="Times New Roman"/>
        </w:rPr>
        <w:t>(4), 547–565.</w:t>
      </w:r>
    </w:p>
    <w:p w14:paraId="2915105C"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lastRenderedPageBreak/>
        <w:t xml:space="preserve">Smith, L. T. (2012). </w:t>
      </w:r>
      <w:r w:rsidRPr="00F36F18">
        <w:rPr>
          <w:rFonts w:ascii="Times New Roman" w:hAnsi="Times New Roman" w:cs="Times New Roman"/>
          <w:i/>
          <w:iCs/>
        </w:rPr>
        <w:t>Decolonizing methodologies: Research and indigenous peoples.</w:t>
      </w:r>
      <w:r w:rsidRPr="00F36F18">
        <w:rPr>
          <w:rFonts w:ascii="Times New Roman" w:hAnsi="Times New Roman" w:cs="Times New Roman"/>
        </w:rPr>
        <w:t xml:space="preserve"> Zed Books.</w:t>
      </w:r>
    </w:p>
    <w:p w14:paraId="28215F68"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Sundar, S. S., &amp; Limperos, A. M. (2013). Uses and grats 2.0: New gratifications for new media. </w:t>
      </w:r>
      <w:r w:rsidRPr="00F36F18">
        <w:rPr>
          <w:rFonts w:ascii="Times New Roman" w:hAnsi="Times New Roman" w:cs="Times New Roman"/>
          <w:i/>
          <w:iCs/>
        </w:rPr>
        <w:t>Journal of Broadcasting &amp; Electronic Media, 57</w:t>
      </w:r>
      <w:r w:rsidRPr="00F36F18">
        <w:rPr>
          <w:rFonts w:ascii="Times New Roman" w:hAnsi="Times New Roman" w:cs="Times New Roman"/>
        </w:rPr>
        <w:t>(4), 504–525.</w:t>
      </w:r>
    </w:p>
    <w:p w14:paraId="2355E549"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Tharakan, J. (2021). Indigenous knowledge systems and sustainability in India. </w:t>
      </w:r>
      <w:r w:rsidRPr="00F36F18">
        <w:rPr>
          <w:rFonts w:ascii="Times New Roman" w:hAnsi="Times New Roman" w:cs="Times New Roman"/>
          <w:i/>
          <w:iCs/>
        </w:rPr>
        <w:t>Sustainability Science, 16</w:t>
      </w:r>
      <w:r w:rsidRPr="00F36F18">
        <w:rPr>
          <w:rFonts w:ascii="Times New Roman" w:hAnsi="Times New Roman" w:cs="Times New Roman"/>
        </w:rPr>
        <w:t>(2), 345–357.</w:t>
      </w:r>
    </w:p>
    <w:p w14:paraId="3149E674" w14:textId="77777777" w:rsidR="002F3BDA" w:rsidRPr="00F36F18" w:rsidRDefault="002F3BDA" w:rsidP="00E1430C">
      <w:pPr>
        <w:numPr>
          <w:ilvl w:val="0"/>
          <w:numId w:val="8"/>
        </w:numPr>
        <w:jc w:val="both"/>
        <w:rPr>
          <w:rFonts w:ascii="Times New Roman" w:hAnsi="Times New Roman" w:cs="Times New Roman"/>
        </w:rPr>
      </w:pPr>
      <w:r w:rsidRPr="00F36F18">
        <w:rPr>
          <w:rFonts w:ascii="Times New Roman" w:hAnsi="Times New Roman" w:cs="Times New Roman"/>
        </w:rPr>
        <w:t xml:space="preserve">UNESCO. (2018). </w:t>
      </w:r>
      <w:r w:rsidRPr="00F36F18">
        <w:rPr>
          <w:rFonts w:ascii="Times New Roman" w:hAnsi="Times New Roman" w:cs="Times New Roman"/>
          <w:i/>
          <w:iCs/>
        </w:rPr>
        <w:t>Indigenous knowledge for climate change assessment and adaptation.</w:t>
      </w:r>
      <w:r w:rsidRPr="00F36F18">
        <w:rPr>
          <w:rFonts w:ascii="Times New Roman" w:hAnsi="Times New Roman" w:cs="Times New Roman"/>
        </w:rPr>
        <w:t xml:space="preserve"> Paris: UNESCO.</w:t>
      </w:r>
    </w:p>
    <w:sectPr w:rsidR="002F3BDA" w:rsidRPr="00F36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E3"/>
    <w:multiLevelType w:val="multilevel"/>
    <w:tmpl w:val="FF3A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D5E80"/>
    <w:multiLevelType w:val="multilevel"/>
    <w:tmpl w:val="3096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A2FBD"/>
    <w:multiLevelType w:val="multilevel"/>
    <w:tmpl w:val="54F2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E7A4C"/>
    <w:multiLevelType w:val="multilevel"/>
    <w:tmpl w:val="24C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86F43"/>
    <w:multiLevelType w:val="multilevel"/>
    <w:tmpl w:val="736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13F1B"/>
    <w:multiLevelType w:val="hybridMultilevel"/>
    <w:tmpl w:val="7B4CB3F0"/>
    <w:lvl w:ilvl="0" w:tplc="0409000F">
      <w:start w:val="1"/>
      <w:numFmt w:val="decimal"/>
      <w:lvlText w:val="%1."/>
      <w:lvlJc w:val="left"/>
      <w:pPr>
        <w:ind w:left="99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C320830"/>
    <w:multiLevelType w:val="multilevel"/>
    <w:tmpl w:val="81B0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0D6769"/>
    <w:multiLevelType w:val="multilevel"/>
    <w:tmpl w:val="D5C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274859">
    <w:abstractNumId w:val="1"/>
  </w:num>
  <w:num w:numId="2" w16cid:durableId="1079788081">
    <w:abstractNumId w:val="7"/>
  </w:num>
  <w:num w:numId="3" w16cid:durableId="171840734">
    <w:abstractNumId w:val="2"/>
  </w:num>
  <w:num w:numId="4" w16cid:durableId="916088669">
    <w:abstractNumId w:val="4"/>
  </w:num>
  <w:num w:numId="5" w16cid:durableId="1489206486">
    <w:abstractNumId w:val="3"/>
  </w:num>
  <w:num w:numId="6" w16cid:durableId="411238583">
    <w:abstractNumId w:val="6"/>
  </w:num>
  <w:num w:numId="7" w16cid:durableId="1598902899">
    <w:abstractNumId w:val="0"/>
  </w:num>
  <w:num w:numId="8" w16cid:durableId="1278025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91"/>
    <w:rsid w:val="000A6DE4"/>
    <w:rsid w:val="001101AA"/>
    <w:rsid w:val="00155291"/>
    <w:rsid w:val="00224FF8"/>
    <w:rsid w:val="002F3BDA"/>
    <w:rsid w:val="003F5242"/>
    <w:rsid w:val="004500E4"/>
    <w:rsid w:val="0064041A"/>
    <w:rsid w:val="00663FF0"/>
    <w:rsid w:val="007E6697"/>
    <w:rsid w:val="00860C35"/>
    <w:rsid w:val="008E5978"/>
    <w:rsid w:val="009C47B5"/>
    <w:rsid w:val="00A022E4"/>
    <w:rsid w:val="00A26ED2"/>
    <w:rsid w:val="00A27EE4"/>
    <w:rsid w:val="00BC2CE9"/>
    <w:rsid w:val="00D77973"/>
    <w:rsid w:val="00DA6B90"/>
    <w:rsid w:val="00DD7AE6"/>
    <w:rsid w:val="00DE0F8A"/>
    <w:rsid w:val="00E1430C"/>
    <w:rsid w:val="00EE5D0C"/>
    <w:rsid w:val="00F36F18"/>
    <w:rsid w:val="00F84394"/>
    <w:rsid w:val="00F8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B449"/>
  <w15:chartTrackingRefBased/>
  <w15:docId w15:val="{0614B4F0-91DA-452C-8B4C-ADEA1134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291"/>
    <w:rPr>
      <w:rFonts w:eastAsiaTheme="majorEastAsia" w:cstheme="majorBidi"/>
      <w:color w:val="272727" w:themeColor="text1" w:themeTint="D8"/>
    </w:rPr>
  </w:style>
  <w:style w:type="paragraph" w:styleId="Title">
    <w:name w:val="Title"/>
    <w:basedOn w:val="Normal"/>
    <w:next w:val="Normal"/>
    <w:link w:val="TitleChar"/>
    <w:uiPriority w:val="10"/>
    <w:qFormat/>
    <w:rsid w:val="0015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291"/>
    <w:pPr>
      <w:spacing w:before="160"/>
      <w:jc w:val="center"/>
    </w:pPr>
    <w:rPr>
      <w:i/>
      <w:iCs/>
      <w:color w:val="404040" w:themeColor="text1" w:themeTint="BF"/>
    </w:rPr>
  </w:style>
  <w:style w:type="character" w:customStyle="1" w:styleId="QuoteChar">
    <w:name w:val="Quote Char"/>
    <w:basedOn w:val="DefaultParagraphFont"/>
    <w:link w:val="Quote"/>
    <w:uiPriority w:val="29"/>
    <w:rsid w:val="00155291"/>
    <w:rPr>
      <w:i/>
      <w:iCs/>
      <w:color w:val="404040" w:themeColor="text1" w:themeTint="BF"/>
    </w:rPr>
  </w:style>
  <w:style w:type="paragraph" w:styleId="ListParagraph">
    <w:name w:val="List Paragraph"/>
    <w:basedOn w:val="Normal"/>
    <w:uiPriority w:val="34"/>
    <w:qFormat/>
    <w:rsid w:val="00155291"/>
    <w:pPr>
      <w:ind w:left="720"/>
      <w:contextualSpacing/>
    </w:pPr>
  </w:style>
  <w:style w:type="character" w:styleId="IntenseEmphasis">
    <w:name w:val="Intense Emphasis"/>
    <w:basedOn w:val="DefaultParagraphFont"/>
    <w:uiPriority w:val="21"/>
    <w:qFormat/>
    <w:rsid w:val="00155291"/>
    <w:rPr>
      <w:i/>
      <w:iCs/>
      <w:color w:val="0F4761" w:themeColor="accent1" w:themeShade="BF"/>
    </w:rPr>
  </w:style>
  <w:style w:type="paragraph" w:styleId="IntenseQuote">
    <w:name w:val="Intense Quote"/>
    <w:basedOn w:val="Normal"/>
    <w:next w:val="Normal"/>
    <w:link w:val="IntenseQuoteChar"/>
    <w:uiPriority w:val="30"/>
    <w:qFormat/>
    <w:rsid w:val="0015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291"/>
    <w:rPr>
      <w:i/>
      <w:iCs/>
      <w:color w:val="0F4761" w:themeColor="accent1" w:themeShade="BF"/>
    </w:rPr>
  </w:style>
  <w:style w:type="character" w:styleId="IntenseReference">
    <w:name w:val="Intense Reference"/>
    <w:basedOn w:val="DefaultParagraphFont"/>
    <w:uiPriority w:val="32"/>
    <w:qFormat/>
    <w:rsid w:val="00155291"/>
    <w:rPr>
      <w:b/>
      <w:bCs/>
      <w:smallCaps/>
      <w:color w:val="0F4761" w:themeColor="accent1" w:themeShade="BF"/>
      <w:spacing w:val="5"/>
    </w:rPr>
  </w:style>
  <w:style w:type="character" w:styleId="Hyperlink">
    <w:name w:val="Hyperlink"/>
    <w:basedOn w:val="DefaultParagraphFont"/>
    <w:uiPriority w:val="99"/>
    <w:unhideWhenUsed/>
    <w:rsid w:val="001101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veena.h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10</Pages>
  <Words>2749</Words>
  <Characters>18365</Characters>
  <Application>Microsoft Office Word</Application>
  <DocSecurity>0</DocSecurity>
  <Lines>353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Veena Hada</dc:creator>
  <cp:keywords/>
  <dc:description/>
  <cp:lastModifiedBy>Dr. Veena Hada</cp:lastModifiedBy>
  <cp:revision>23</cp:revision>
  <dcterms:created xsi:type="dcterms:W3CDTF">2025-10-16T06:58:00Z</dcterms:created>
  <dcterms:modified xsi:type="dcterms:W3CDTF">2026-01-06T11:32:00Z</dcterms:modified>
</cp:coreProperties>
</file>