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EduNexus</w:t>
      </w:r>
    </w:p>
    <w:p>
      <w:r>
        <w:rPr>
          <w:b/>
          <w:color w:val="147D82"/>
          <w:sz w:val="34"/>
        </w:rPr>
        <w:t>Especificación técnica y funcional</w:t>
      </w:r>
    </w:p>
    <w:p>
      <w:r>
        <w:t>Documento oficial del proyecto. Describe la aplicación a partir del código y la documentación vigente del repositorio: qué módulos ofrece, cómo se conectan, qué datos utilizan y dónde se aplican las reglas de acceso.</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17324D"/>
            <w:tcMar>
              <w:top w:w="90" w:type="dxa"/>
              <w:start w:w="110" w:type="dxa"/>
              <w:bottom w:w="90" w:type="dxa"/>
              <w:end w:w="110" w:type="dxa"/>
            </w:tcMar>
          </w:tcPr>
          <w:p>
            <w:pPr>
              <w:spacing w:after="20"/>
            </w:pPr>
            <w:r/>
            <w:r>
              <w:rPr>
                <w:b/>
                <w:color w:val="FFFFFF"/>
                <w:sz w:val="18"/>
              </w:rPr>
              <w:t>Control documental</w:t>
            </w:r>
          </w:p>
        </w:tc>
        <w:tc>
          <w:tcPr>
            <w:tcW w:type="dxa" w:w="6624"/>
            <w:vAlign w:val="center"/>
            <w:shd w:fill="17324D"/>
            <w:tcMar>
              <w:top w:w="90" w:type="dxa"/>
              <w:start w:w="110" w:type="dxa"/>
              <w:bottom w:w="90" w:type="dxa"/>
              <w:end w:w="110" w:type="dxa"/>
            </w:tcMar>
          </w:tcPr>
          <w:p>
            <w:pPr>
              <w:spacing w:after="20"/>
            </w:pPr>
            <w:r/>
            <w:r>
              <w:rPr>
                <w:b/>
                <w:color w:val="FFFFFF"/>
                <w:sz w:val="18"/>
              </w:rPr>
              <w:t>Valor</w:t>
            </w:r>
          </w:p>
        </w:tc>
      </w:tr>
      <w:tr>
        <w:trPr>
          <w:cantSplit/>
        </w:trPr>
        <w:tc>
          <w:tcPr>
            <w:tcW w:type="dxa" w:w="2880"/>
            <w:vAlign w:val="center"/>
            <w:tcMar>
              <w:top w:w="90" w:type="dxa"/>
              <w:start w:w="110" w:type="dxa"/>
              <w:bottom w:w="90" w:type="dxa"/>
              <w:end w:w="110" w:type="dxa"/>
            </w:tcMar>
          </w:tcPr>
          <w:p>
            <w:pPr>
              <w:spacing w:after="20"/>
            </w:pPr>
            <w:r/>
            <w:r>
              <w:rPr>
                <w:b w:val="0"/>
                <w:sz w:val="18"/>
              </w:rPr>
              <w:t>Versión</w:t>
            </w:r>
          </w:p>
        </w:tc>
        <w:tc>
          <w:tcPr>
            <w:tcW w:type="dxa" w:w="6624"/>
            <w:vAlign w:val="center"/>
            <w:tcMar>
              <w:top w:w="90" w:type="dxa"/>
              <w:start w:w="110" w:type="dxa"/>
              <w:bottom w:w="90" w:type="dxa"/>
              <w:end w:w="110" w:type="dxa"/>
            </w:tcMar>
          </w:tcPr>
          <w:p>
            <w:pPr>
              <w:spacing w:after="20"/>
            </w:pPr>
            <w:r/>
            <w:r>
              <w:rPr>
                <w:b w:val="0"/>
                <w:sz w:val="18"/>
              </w:rPr>
              <w:t>1.0</w:t>
            </w:r>
          </w:p>
        </w:tc>
      </w:tr>
      <w:tr>
        <w:trPr>
          <w:cantSplit/>
        </w:trPr>
        <w:tc>
          <w:tcPr>
            <w:tcW w:type="dxa" w:w="2880"/>
            <w:vAlign w:val="center"/>
            <w:shd w:fill="F0F4F7"/>
            <w:tcMar>
              <w:top w:w="90" w:type="dxa"/>
              <w:start w:w="110" w:type="dxa"/>
              <w:bottom w:w="90" w:type="dxa"/>
              <w:end w:w="110" w:type="dxa"/>
            </w:tcMar>
          </w:tcPr>
          <w:p>
            <w:pPr>
              <w:spacing w:after="20"/>
            </w:pPr>
            <w:r/>
            <w:r>
              <w:rPr>
                <w:b w:val="0"/>
                <w:sz w:val="18"/>
              </w:rPr>
              <w:t>Fecha de actualización</w:t>
            </w:r>
          </w:p>
        </w:tc>
        <w:tc>
          <w:tcPr>
            <w:tcW w:type="dxa" w:w="6624"/>
            <w:vAlign w:val="center"/>
            <w:shd w:fill="F0F4F7"/>
            <w:tcMar>
              <w:top w:w="90" w:type="dxa"/>
              <w:start w:w="110" w:type="dxa"/>
              <w:bottom w:w="90" w:type="dxa"/>
              <w:end w:w="110" w:type="dxa"/>
            </w:tcMar>
          </w:tcPr>
          <w:p>
            <w:pPr>
              <w:spacing w:after="20"/>
            </w:pPr>
            <w:r/>
            <w:r>
              <w:rPr>
                <w:b w:val="0"/>
                <w:sz w:val="18"/>
              </w:rPr>
              <w:t>21 de octubre de 2026</w:t>
            </w:r>
          </w:p>
        </w:tc>
      </w:tr>
      <w:tr>
        <w:trPr>
          <w:cantSplit/>
        </w:trPr>
        <w:tc>
          <w:tcPr>
            <w:tcW w:type="dxa" w:w="2880"/>
            <w:vAlign w:val="center"/>
            <w:tcMar>
              <w:top w:w="90" w:type="dxa"/>
              <w:start w:w="110" w:type="dxa"/>
              <w:bottom w:w="90" w:type="dxa"/>
              <w:end w:w="110" w:type="dxa"/>
            </w:tcMar>
          </w:tcPr>
          <w:p>
            <w:pPr>
              <w:spacing w:after="20"/>
            </w:pPr>
            <w:r/>
            <w:r>
              <w:rPr>
                <w:b w:val="0"/>
                <w:sz w:val="18"/>
              </w:rPr>
              <w:t>Estado</w:t>
            </w:r>
          </w:p>
        </w:tc>
        <w:tc>
          <w:tcPr>
            <w:tcW w:type="dxa" w:w="6624"/>
            <w:vAlign w:val="center"/>
            <w:tcMar>
              <w:top w:w="90" w:type="dxa"/>
              <w:start w:w="110" w:type="dxa"/>
              <w:bottom w:w="90" w:type="dxa"/>
              <w:end w:w="110" w:type="dxa"/>
            </w:tcMar>
          </w:tcPr>
          <w:p>
            <w:pPr>
              <w:spacing w:after="20"/>
            </w:pPr>
            <w:r/>
            <w:r>
              <w:rPr>
                <w:b w:val="0"/>
                <w:sz w:val="18"/>
              </w:rPr>
              <w:t>Especificación viva; confirmar configuración y despliegue antes de operación</w:t>
            </w:r>
          </w:p>
        </w:tc>
      </w:tr>
      <w:tr>
        <w:trPr>
          <w:cantSplit/>
        </w:trPr>
        <w:tc>
          <w:tcPr>
            <w:tcW w:type="dxa" w:w="2880"/>
            <w:vAlign w:val="center"/>
            <w:shd w:fill="F0F4F7"/>
            <w:tcMar>
              <w:top w:w="90" w:type="dxa"/>
              <w:start w:w="110" w:type="dxa"/>
              <w:bottom w:w="90" w:type="dxa"/>
              <w:end w:w="110" w:type="dxa"/>
            </w:tcMar>
          </w:tcPr>
          <w:p>
            <w:pPr>
              <w:spacing w:after="20"/>
            </w:pPr>
            <w:r/>
            <w:r>
              <w:rPr>
                <w:b w:val="0"/>
                <w:sz w:val="18"/>
              </w:rPr>
              <w:t>Fuente de verdad técnica</w:t>
            </w:r>
          </w:p>
        </w:tc>
        <w:tc>
          <w:tcPr>
            <w:tcW w:type="dxa" w:w="6624"/>
            <w:vAlign w:val="center"/>
            <w:shd w:fill="F0F4F7"/>
            <w:tcMar>
              <w:top w:w="90" w:type="dxa"/>
              <w:start w:w="110" w:type="dxa"/>
              <w:bottom w:w="90" w:type="dxa"/>
              <w:end w:w="110" w:type="dxa"/>
            </w:tcMar>
          </w:tcPr>
          <w:p>
            <w:pPr>
              <w:spacing w:after="20"/>
            </w:pPr>
            <w:r/>
            <w:r>
              <w:rPr>
                <w:b w:val="0"/>
                <w:sz w:val="18"/>
              </w:rPr>
              <w:t>Código del repositorio, esquema compartido y migraciones versionadas</w:t>
            </w:r>
          </w:p>
        </w:tc>
      </w:tr>
    </w:tbl>
    <w:p>
      <w:pPr>
        <w:spacing w:after="20"/>
      </w:pPr>
    </w:p>
    <w:p>
      <w:pPr>
        <w:pStyle w:val="Heading1"/>
      </w:pPr>
      <w:r>
        <w:t>1. Propósito y alcance</w:t>
      </w:r>
    </w:p>
    <w:p>
      <w:r>
        <w:t>EduNexus es una plataforma web para organizar procesos académicos, comunicación de la comunidad educativa y gestión institucional. Esta especificación explica la arquitectura del sistema, sus principales capacidades, los perfiles de usuario, el flujo de datos y las integraciones externas observables en el repositorio.</w:t>
      </w:r>
    </w:p>
    <w:p>
      <w:r>
        <w:t>El documento describe implementación y configuración prevista; no certifica que un proveedor externo esté activo ni que el despliegue remoto tenga las mismas variables que el entorno local. Las reglas de autorización del servidor son la fuente efectiva de permisos.</w:t>
      </w:r>
    </w:p>
    <w:p>
      <w:pPr>
        <w:pStyle w:val="Heading1"/>
      </w:pPr>
      <w:r>
        <w:t>2. Usuarios y funciones por perfil</w:t>
      </w:r>
    </w:p>
    <w:p>
      <w:r>
        <w:t>Los perfiles registrados se muestran en una navegación lateral adaptada a sus tareas. La visibilidad del menú mejora la orientación, pero cada endpoint debe volver a comprobar el rol, la institución y la relación académica del usuario.</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800"/>
            <w:vAlign w:val="center"/>
            <w:shd w:fill="17324D"/>
            <w:tcMar>
              <w:top w:w="90" w:type="dxa"/>
              <w:start w:w="110" w:type="dxa"/>
              <w:bottom w:w="90" w:type="dxa"/>
              <w:end w:w="110" w:type="dxa"/>
            </w:tcMar>
          </w:tcPr>
          <w:p>
            <w:pPr>
              <w:spacing w:after="20"/>
            </w:pPr>
            <w:r/>
            <w:r>
              <w:rPr>
                <w:b/>
                <w:color w:val="FFFFFF"/>
                <w:sz w:val="18"/>
              </w:rPr>
              <w:t>Perfil</w:t>
            </w:r>
          </w:p>
        </w:tc>
        <w:tc>
          <w:tcPr>
            <w:tcW w:type="dxa" w:w="3456"/>
            <w:vAlign w:val="center"/>
            <w:shd w:fill="17324D"/>
            <w:tcMar>
              <w:top w:w="90" w:type="dxa"/>
              <w:start w:w="110" w:type="dxa"/>
              <w:bottom w:w="90" w:type="dxa"/>
              <w:end w:w="110" w:type="dxa"/>
            </w:tcMar>
          </w:tcPr>
          <w:p>
            <w:pPr>
              <w:spacing w:after="20"/>
            </w:pPr>
            <w:r/>
            <w:r>
              <w:rPr>
                <w:b/>
                <w:color w:val="FFFFFF"/>
                <w:sz w:val="18"/>
              </w:rPr>
              <w:t>Funciones principales</w:t>
            </w:r>
          </w:p>
        </w:tc>
        <w:tc>
          <w:tcPr>
            <w:tcW w:type="dxa" w:w="4320"/>
            <w:vAlign w:val="center"/>
            <w:shd w:fill="17324D"/>
            <w:tcMar>
              <w:top w:w="90" w:type="dxa"/>
              <w:start w:w="110" w:type="dxa"/>
              <w:bottom w:w="90" w:type="dxa"/>
              <w:end w:w="110" w:type="dxa"/>
            </w:tcMar>
          </w:tcPr>
          <w:p>
            <w:pPr>
              <w:spacing w:after="20"/>
            </w:pPr>
            <w:r/>
            <w:r>
              <w:rPr>
                <w:b/>
                <w:color w:val="FFFFFF"/>
                <w:sz w:val="18"/>
              </w:rPr>
              <w:t>Navegación relevante</w:t>
            </w:r>
          </w:p>
        </w:tc>
      </w:tr>
      <w:tr>
        <w:trPr>
          <w:cantSplit/>
        </w:trPr>
        <w:tc>
          <w:tcPr>
            <w:tcW w:type="dxa" w:w="1800"/>
            <w:vAlign w:val="center"/>
            <w:tcMar>
              <w:top w:w="90" w:type="dxa"/>
              <w:start w:w="110" w:type="dxa"/>
              <w:bottom w:w="90" w:type="dxa"/>
              <w:end w:w="110" w:type="dxa"/>
            </w:tcMar>
          </w:tcPr>
          <w:p>
            <w:pPr>
              <w:spacing w:after="20"/>
            </w:pPr>
            <w:r/>
            <w:r>
              <w:rPr>
                <w:b w:val="0"/>
                <w:sz w:val="18"/>
              </w:rPr>
              <w:t>Estudiante</w:t>
            </w:r>
          </w:p>
        </w:tc>
        <w:tc>
          <w:tcPr>
            <w:tcW w:type="dxa" w:w="3456"/>
            <w:vAlign w:val="center"/>
            <w:tcMar>
              <w:top w:w="90" w:type="dxa"/>
              <w:start w:w="110" w:type="dxa"/>
              <w:bottom w:w="90" w:type="dxa"/>
              <w:end w:w="110" w:type="dxa"/>
            </w:tcMar>
          </w:tcPr>
          <w:p>
            <w:pPr>
              <w:spacing w:after="20"/>
            </w:pPr>
            <w:r/>
            <w:r>
              <w:rPr>
                <w:b w:val="0"/>
                <w:sz w:val="18"/>
              </w:rPr>
              <w:t>Consultar aulas y actividades, entregar trabajos, participar en grupos y consultar sus calificaciones.</w:t>
            </w:r>
          </w:p>
        </w:tc>
        <w:tc>
          <w:tcPr>
            <w:tcW w:type="dxa" w:w="4320"/>
            <w:vAlign w:val="center"/>
            <w:tcMar>
              <w:top w:w="90" w:type="dxa"/>
              <w:start w:w="110" w:type="dxa"/>
              <w:bottom w:w="90" w:type="dxa"/>
              <w:end w:w="110" w:type="dxa"/>
            </w:tcMar>
          </w:tcPr>
          <w:p>
            <w:pPr>
              <w:spacing w:after="20"/>
            </w:pPr>
            <w:r/>
            <w:r>
              <w:rPr>
                <w:b w:val="0"/>
                <w:sz w:val="18"/>
              </w:rPr>
              <w:t>Inicio, Aula Virtual, Horarios, Grupos, Mensajes, Biblioteca, Calificaciones, Meet, Asesorías, Calendario, Perfil y Notificaciones.</w:t>
            </w:r>
          </w:p>
        </w:tc>
      </w:tr>
      <w:tr>
        <w:trPr>
          <w:cantSplit/>
        </w:trPr>
        <w:tc>
          <w:tcPr>
            <w:tcW w:type="dxa" w:w="1800"/>
            <w:vAlign w:val="center"/>
            <w:shd w:fill="F0F4F7"/>
            <w:tcMar>
              <w:top w:w="90" w:type="dxa"/>
              <w:start w:w="110" w:type="dxa"/>
              <w:bottom w:w="90" w:type="dxa"/>
              <w:end w:w="110" w:type="dxa"/>
            </w:tcMar>
          </w:tcPr>
          <w:p>
            <w:pPr>
              <w:spacing w:after="20"/>
            </w:pPr>
            <w:r/>
            <w:r>
              <w:rPr>
                <w:b w:val="0"/>
                <w:sz w:val="18"/>
              </w:rPr>
              <w:t>Docente</w:t>
            </w:r>
          </w:p>
        </w:tc>
        <w:tc>
          <w:tcPr>
            <w:tcW w:type="dxa" w:w="3456"/>
            <w:vAlign w:val="center"/>
            <w:shd w:fill="F0F4F7"/>
            <w:tcMar>
              <w:top w:w="90" w:type="dxa"/>
              <w:start w:w="110" w:type="dxa"/>
              <w:bottom w:w="90" w:type="dxa"/>
              <w:end w:w="110" w:type="dxa"/>
            </w:tcMar>
          </w:tcPr>
          <w:p>
            <w:pPr>
              <w:spacing w:after="20"/>
            </w:pPr>
            <w:r/>
            <w:r>
              <w:rPr>
                <w:b w:val="0"/>
                <w:sz w:val="18"/>
              </w:rPr>
              <w:t>Gestionar sus aulas, publicar contenido, revisar entregas y comunicarse con estudiantes.</w:t>
            </w:r>
          </w:p>
        </w:tc>
        <w:tc>
          <w:tcPr>
            <w:tcW w:type="dxa" w:w="4320"/>
            <w:vAlign w:val="center"/>
            <w:shd w:fill="F0F4F7"/>
            <w:tcMar>
              <w:top w:w="90" w:type="dxa"/>
              <w:start w:w="110" w:type="dxa"/>
              <w:bottom w:w="90" w:type="dxa"/>
              <w:end w:w="110" w:type="dxa"/>
            </w:tcMar>
          </w:tcPr>
          <w:p>
            <w:pPr>
              <w:spacing w:after="20"/>
            </w:pPr>
            <w:r/>
            <w:r>
              <w:rPr>
                <w:b w:val="0"/>
                <w:sz w:val="18"/>
              </w:rPr>
              <w:t>Inicio, Mis Aulas, Revisar entregas, Horarios, Grupos, Mensajes, Biblioteca, Meet, Asesorías y Calendario.</w:t>
            </w:r>
          </w:p>
        </w:tc>
      </w:tr>
      <w:tr>
        <w:trPr>
          <w:cantSplit/>
        </w:trPr>
        <w:tc>
          <w:tcPr>
            <w:tcW w:type="dxa" w:w="1800"/>
            <w:vAlign w:val="center"/>
            <w:tcMar>
              <w:top w:w="90" w:type="dxa"/>
              <w:start w:w="110" w:type="dxa"/>
              <w:bottom w:w="90" w:type="dxa"/>
              <w:end w:w="110" w:type="dxa"/>
            </w:tcMar>
          </w:tcPr>
          <w:p>
            <w:pPr>
              <w:spacing w:after="20"/>
            </w:pPr>
            <w:r/>
            <w:r>
              <w:rPr>
                <w:b w:val="0"/>
                <w:sz w:val="18"/>
              </w:rPr>
              <w:t>Padre o acudiente</w:t>
            </w:r>
          </w:p>
        </w:tc>
        <w:tc>
          <w:tcPr>
            <w:tcW w:type="dxa" w:w="3456"/>
            <w:vAlign w:val="center"/>
            <w:tcMar>
              <w:top w:w="90" w:type="dxa"/>
              <w:start w:w="110" w:type="dxa"/>
              <w:bottom w:w="90" w:type="dxa"/>
              <w:end w:w="110" w:type="dxa"/>
            </w:tcMar>
          </w:tcPr>
          <w:p>
            <w:pPr>
              <w:spacing w:after="20"/>
            </w:pPr>
            <w:r/>
            <w:r>
              <w:rPr>
                <w:b w:val="0"/>
                <w:sz w:val="18"/>
              </w:rPr>
              <w:t>Solicitar vínculo con un estudiante y consultar información autorizada tras su aprobación.</w:t>
            </w:r>
          </w:p>
        </w:tc>
        <w:tc>
          <w:tcPr>
            <w:tcW w:type="dxa" w:w="4320"/>
            <w:vAlign w:val="center"/>
            <w:tcMar>
              <w:top w:w="90" w:type="dxa"/>
              <w:start w:w="110" w:type="dxa"/>
              <w:bottom w:w="90" w:type="dxa"/>
              <w:end w:w="110" w:type="dxa"/>
            </w:tcMar>
          </w:tcPr>
          <w:p>
            <w:pPr>
              <w:spacing w:after="20"/>
            </w:pPr>
            <w:r/>
            <w:r>
              <w:rPr>
                <w:b w:val="0"/>
                <w:sz w:val="18"/>
              </w:rPr>
              <w:t>Portal y solicitudes de vínculo familiar, junto con accesos generales permitidos.</w:t>
            </w:r>
          </w:p>
        </w:tc>
      </w:tr>
      <w:tr>
        <w:trPr>
          <w:cantSplit/>
        </w:trPr>
        <w:tc>
          <w:tcPr>
            <w:tcW w:type="dxa" w:w="1800"/>
            <w:vAlign w:val="center"/>
            <w:shd w:fill="F0F4F7"/>
            <w:tcMar>
              <w:top w:w="90" w:type="dxa"/>
              <w:start w:w="110" w:type="dxa"/>
              <w:bottom w:w="90" w:type="dxa"/>
              <w:end w:w="110" w:type="dxa"/>
            </w:tcMar>
          </w:tcPr>
          <w:p>
            <w:pPr>
              <w:spacing w:after="20"/>
            </w:pPr>
            <w:r/>
            <w:r>
              <w:rPr>
                <w:b w:val="0"/>
                <w:sz w:val="18"/>
              </w:rPr>
              <w:t>Personal institucional</w:t>
            </w:r>
          </w:p>
        </w:tc>
        <w:tc>
          <w:tcPr>
            <w:tcW w:type="dxa" w:w="3456"/>
            <w:vAlign w:val="center"/>
            <w:shd w:fill="F0F4F7"/>
            <w:tcMar>
              <w:top w:w="90" w:type="dxa"/>
              <w:start w:w="110" w:type="dxa"/>
              <w:bottom w:w="90" w:type="dxa"/>
              <w:end w:w="110" w:type="dxa"/>
            </w:tcMar>
          </w:tcPr>
          <w:p>
            <w:pPr>
              <w:spacing w:after="20"/>
            </w:pPr>
            <w:r/>
            <w:r>
              <w:rPr>
                <w:b w:val="0"/>
                <w:sz w:val="18"/>
              </w:rPr>
              <w:t>Apoyar tareas administrativas según el rol y los permisos asignados.</w:t>
            </w:r>
          </w:p>
        </w:tc>
        <w:tc>
          <w:tcPr>
            <w:tcW w:type="dxa" w:w="4320"/>
            <w:vAlign w:val="center"/>
            <w:shd w:fill="F0F4F7"/>
            <w:tcMar>
              <w:top w:w="90" w:type="dxa"/>
              <w:start w:w="110" w:type="dxa"/>
              <w:bottom w:w="90" w:type="dxa"/>
              <w:end w:w="110" w:type="dxa"/>
            </w:tcMar>
          </w:tcPr>
          <w:p>
            <w:pPr>
              <w:spacing w:after="20"/>
            </w:pPr>
            <w:r/>
            <w:r>
              <w:rPr>
                <w:b w:val="0"/>
                <w:sz w:val="18"/>
              </w:rPr>
              <w:t>Accesos de gestión institucional pertinentes al perfil.</w:t>
            </w:r>
          </w:p>
        </w:tc>
      </w:tr>
      <w:tr>
        <w:trPr>
          <w:cantSplit/>
        </w:trPr>
        <w:tc>
          <w:tcPr>
            <w:tcW w:type="dxa" w:w="1800"/>
            <w:vAlign w:val="center"/>
            <w:tcMar>
              <w:top w:w="90" w:type="dxa"/>
              <w:start w:w="110" w:type="dxa"/>
              <w:bottom w:w="90" w:type="dxa"/>
              <w:end w:w="110" w:type="dxa"/>
            </w:tcMar>
          </w:tcPr>
          <w:p>
            <w:pPr>
              <w:spacing w:after="20"/>
            </w:pPr>
            <w:r/>
            <w:r>
              <w:rPr>
                <w:b w:val="0"/>
                <w:sz w:val="18"/>
              </w:rPr>
              <w:t>Administrador institucional</w:t>
            </w:r>
          </w:p>
        </w:tc>
        <w:tc>
          <w:tcPr>
            <w:tcW w:type="dxa" w:w="3456"/>
            <w:vAlign w:val="center"/>
            <w:tcMar>
              <w:top w:w="90" w:type="dxa"/>
              <w:start w:w="110" w:type="dxa"/>
              <w:bottom w:w="90" w:type="dxa"/>
              <w:end w:w="110" w:type="dxa"/>
            </w:tcMar>
          </w:tcPr>
          <w:p>
            <w:pPr>
              <w:spacing w:after="20"/>
            </w:pPr>
            <w:r/>
            <w:r>
              <w:rPr>
                <w:b w:val="0"/>
                <w:sz w:val="18"/>
              </w:rPr>
              <w:t>Gestionar usuarios y parámetros dentro de su institución.</w:t>
            </w:r>
          </w:p>
        </w:tc>
        <w:tc>
          <w:tcPr>
            <w:tcW w:type="dxa" w:w="4320"/>
            <w:vAlign w:val="center"/>
            <w:tcMar>
              <w:top w:w="90" w:type="dxa"/>
              <w:start w:w="110" w:type="dxa"/>
              <w:bottom w:w="90" w:type="dxa"/>
              <w:end w:w="110" w:type="dxa"/>
            </w:tcMar>
          </w:tcPr>
          <w:p>
            <w:pPr>
              <w:spacing w:after="20"/>
            </w:pPr>
            <w:r/>
            <w:r>
              <w:rPr>
                <w:b w:val="0"/>
                <w:sz w:val="18"/>
              </w:rPr>
              <w:t>Administración académica e institucional.</w:t>
            </w:r>
          </w:p>
        </w:tc>
      </w:tr>
      <w:tr>
        <w:trPr>
          <w:cantSplit/>
        </w:trPr>
        <w:tc>
          <w:tcPr>
            <w:tcW w:type="dxa" w:w="1800"/>
            <w:vAlign w:val="center"/>
            <w:shd w:fill="F0F4F7"/>
            <w:tcMar>
              <w:top w:w="90" w:type="dxa"/>
              <w:start w:w="110" w:type="dxa"/>
              <w:bottom w:w="90" w:type="dxa"/>
              <w:end w:w="110" w:type="dxa"/>
            </w:tcMar>
          </w:tcPr>
          <w:p>
            <w:pPr>
              <w:spacing w:after="20"/>
            </w:pPr>
            <w:r/>
            <w:r>
              <w:rPr>
                <w:b w:val="0"/>
                <w:sz w:val="18"/>
              </w:rPr>
              <w:t>Superadministrador</w:t>
            </w:r>
          </w:p>
        </w:tc>
        <w:tc>
          <w:tcPr>
            <w:tcW w:type="dxa" w:w="3456"/>
            <w:vAlign w:val="center"/>
            <w:shd w:fill="F0F4F7"/>
            <w:tcMar>
              <w:top w:w="90" w:type="dxa"/>
              <w:start w:w="110" w:type="dxa"/>
              <w:bottom w:w="90" w:type="dxa"/>
              <w:end w:w="110" w:type="dxa"/>
            </w:tcMar>
          </w:tcPr>
          <w:p>
            <w:pPr>
              <w:spacing w:after="20"/>
            </w:pPr>
            <w:r/>
            <w:r>
              <w:rPr>
                <w:b w:val="0"/>
                <w:sz w:val="18"/>
              </w:rPr>
              <w:t>Gestionar instituciones y configuración global de la plataforma.</w:t>
            </w:r>
          </w:p>
        </w:tc>
        <w:tc>
          <w:tcPr>
            <w:tcW w:type="dxa" w:w="4320"/>
            <w:vAlign w:val="center"/>
            <w:shd w:fill="F0F4F7"/>
            <w:tcMar>
              <w:top w:w="90" w:type="dxa"/>
              <w:start w:w="110" w:type="dxa"/>
              <w:bottom w:w="90" w:type="dxa"/>
              <w:end w:w="110" w:type="dxa"/>
            </w:tcMar>
          </w:tcPr>
          <w:p>
            <w:pPr>
              <w:spacing w:after="20"/>
            </w:pPr>
            <w:r/>
            <w:r>
              <w:rPr>
                <w:b w:val="0"/>
                <w:sz w:val="18"/>
              </w:rPr>
              <w:t>Administración global.</w:t>
            </w:r>
          </w:p>
        </w:tc>
      </w:tr>
    </w:tbl>
    <w:p>
      <w:pPr>
        <w:spacing w:after="20"/>
      </w:pPr>
    </w:p>
    <w:p>
      <w:r>
        <w:t>El acceso “Mi Grupo” se presenta al docente cuando tiene un grupo asignado. En Calificaciones, los docentes trabajan con entregas por revisar; los estudiantes consultan sus calificaciones. Las opciones visibles se implementan en client/src/components/layout/AppSidebar.tsx y client/src/pages/Grades.tsx.</w:t>
      </w:r>
    </w:p>
    <w:p>
      <w:pPr>
        <w:pStyle w:val="Heading1"/>
      </w:pPr>
      <w:r>
        <w:t>3. Arquitectura y conexiones</w:t>
      </w:r>
    </w:p>
    <w:p>
      <w:r>
        <w:t>El cliente React se comunica con la API Express por HTTP bajo /api. El servidor accede a PostgreSQL mediante Drizzle y pg. Los archivos pasan por validación del servidor y se almacenan en Supabase Storage. Para llamadas y eventos en tiempo real se usan WebSockets, WebRTC y LiveKit cuando están configurados.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016"/>
            <w:vAlign w:val="center"/>
            <w:shd w:fill="17324D"/>
            <w:tcMar>
              <w:top w:w="90" w:type="dxa"/>
              <w:start w:w="110" w:type="dxa"/>
              <w:bottom w:w="90" w:type="dxa"/>
              <w:end w:w="110" w:type="dxa"/>
            </w:tcMar>
          </w:tcPr>
          <w:p>
            <w:pPr>
              <w:spacing w:after="20"/>
            </w:pPr>
            <w:r/>
            <w:r>
              <w:rPr>
                <w:b/>
                <w:color w:val="FFFFFF"/>
                <w:sz w:val="18"/>
              </w:rPr>
              <w:t>Componente</w:t>
            </w:r>
          </w:p>
        </w:tc>
        <w:tc>
          <w:tcPr>
            <w:tcW w:type="dxa" w:w="3456"/>
            <w:vAlign w:val="center"/>
            <w:shd w:fill="17324D"/>
            <w:tcMar>
              <w:top w:w="90" w:type="dxa"/>
              <w:start w:w="110" w:type="dxa"/>
              <w:bottom w:w="90" w:type="dxa"/>
              <w:end w:w="110" w:type="dxa"/>
            </w:tcMar>
          </w:tcPr>
          <w:p>
            <w:pPr>
              <w:spacing w:after="20"/>
            </w:pPr>
            <w:r/>
            <w:r>
              <w:rPr>
                <w:b/>
                <w:color w:val="FFFFFF"/>
                <w:sz w:val="18"/>
              </w:rPr>
              <w:t>Responsabilidad</w:t>
            </w:r>
          </w:p>
        </w:tc>
        <w:tc>
          <w:tcPr>
            <w:tcW w:type="dxa" w:w="4032"/>
            <w:vAlign w:val="center"/>
            <w:shd w:fill="17324D"/>
            <w:tcMar>
              <w:top w:w="90" w:type="dxa"/>
              <w:start w:w="110" w:type="dxa"/>
              <w:bottom w:w="90" w:type="dxa"/>
              <w:end w:w="110" w:type="dxa"/>
            </w:tcMar>
          </w:tcPr>
          <w:p>
            <w:pPr>
              <w:spacing w:after="20"/>
            </w:pPr>
            <w:r/>
            <w:r>
              <w:rPr>
                <w:b/>
                <w:color w:val="FFFFFF"/>
                <w:sz w:val="18"/>
              </w:rPr>
              <w:t>Conexión</w:t>
            </w:r>
          </w:p>
        </w:tc>
      </w:tr>
      <w:tr>
        <w:trPr>
          <w:cantSplit/>
        </w:trPr>
        <w:tc>
          <w:tcPr>
            <w:tcW w:type="dxa" w:w="2016"/>
            <w:vAlign w:val="center"/>
            <w:tcMar>
              <w:top w:w="90" w:type="dxa"/>
              <w:start w:w="110" w:type="dxa"/>
              <w:bottom w:w="90" w:type="dxa"/>
              <w:end w:w="110" w:type="dxa"/>
            </w:tcMar>
          </w:tcPr>
          <w:p>
            <w:pPr>
              <w:spacing w:after="20"/>
            </w:pPr>
            <w:r/>
            <w:r>
              <w:rPr>
                <w:b w:val="0"/>
                <w:sz w:val="18"/>
              </w:rPr>
              <w:t>Cliente web</w:t>
            </w:r>
          </w:p>
        </w:tc>
        <w:tc>
          <w:tcPr>
            <w:tcW w:type="dxa" w:w="3456"/>
            <w:vAlign w:val="center"/>
            <w:tcMar>
              <w:top w:w="90" w:type="dxa"/>
              <w:start w:w="110" w:type="dxa"/>
              <w:bottom w:w="90" w:type="dxa"/>
              <w:end w:w="110" w:type="dxa"/>
            </w:tcMar>
          </w:tcPr>
          <w:p>
            <w:pPr>
              <w:spacing w:after="20"/>
            </w:pPr>
            <w:r/>
            <w:r>
              <w:rPr>
                <w:b w:val="0"/>
                <w:sz w:val="18"/>
              </w:rPr>
              <w:t>Interfaz, navegación por rol, formularios y consultas de datos.</w:t>
            </w:r>
          </w:p>
        </w:tc>
        <w:tc>
          <w:tcPr>
            <w:tcW w:type="dxa" w:w="4032"/>
            <w:vAlign w:val="center"/>
            <w:tcMar>
              <w:top w:w="90" w:type="dxa"/>
              <w:start w:w="110" w:type="dxa"/>
              <w:bottom w:w="90" w:type="dxa"/>
              <w:end w:w="110" w:type="dxa"/>
            </w:tcMar>
          </w:tcPr>
          <w:p>
            <w:pPr>
              <w:spacing w:after="20"/>
            </w:pPr>
            <w:r/>
            <w:r>
              <w:rPr>
                <w:b w:val="0"/>
                <w:sz w:val="18"/>
              </w:rPr>
              <w:t>React, TypeScript, Vite y TanStack Query; solicita /api y /ws/calls.</w:t>
            </w:r>
          </w:p>
        </w:tc>
      </w:tr>
      <w:tr>
        <w:trPr>
          <w:cantSplit/>
        </w:trPr>
        <w:tc>
          <w:tcPr>
            <w:tcW w:type="dxa" w:w="2016"/>
            <w:vAlign w:val="center"/>
            <w:shd w:fill="F0F4F7"/>
            <w:tcMar>
              <w:top w:w="90" w:type="dxa"/>
              <w:start w:w="110" w:type="dxa"/>
              <w:bottom w:w="90" w:type="dxa"/>
              <w:end w:w="110" w:type="dxa"/>
            </w:tcMar>
          </w:tcPr>
          <w:p>
            <w:pPr>
              <w:spacing w:after="20"/>
            </w:pPr>
            <w:r/>
            <w:r>
              <w:rPr>
                <w:b w:val="0"/>
                <w:sz w:val="18"/>
              </w:rPr>
              <w:t>Servidor</w:t>
            </w:r>
          </w:p>
        </w:tc>
        <w:tc>
          <w:tcPr>
            <w:tcW w:type="dxa" w:w="3456"/>
            <w:vAlign w:val="center"/>
            <w:shd w:fill="F0F4F7"/>
            <w:tcMar>
              <w:top w:w="90" w:type="dxa"/>
              <w:start w:w="110" w:type="dxa"/>
              <w:bottom w:w="90" w:type="dxa"/>
              <w:end w:w="110" w:type="dxa"/>
            </w:tcMar>
          </w:tcPr>
          <w:p>
            <w:pPr>
              <w:spacing w:after="20"/>
            </w:pPr>
            <w:r/>
            <w:r>
              <w:rPr>
                <w:b w:val="0"/>
                <w:sz w:val="18"/>
              </w:rPr>
              <w:t>Autenticación, autorización, reglas de negocio, API e integraciones.</w:t>
            </w:r>
          </w:p>
        </w:tc>
        <w:tc>
          <w:tcPr>
            <w:tcW w:type="dxa" w:w="4032"/>
            <w:vAlign w:val="center"/>
            <w:shd w:fill="F0F4F7"/>
            <w:tcMar>
              <w:top w:w="90" w:type="dxa"/>
              <w:start w:w="110" w:type="dxa"/>
              <w:bottom w:w="90" w:type="dxa"/>
              <w:end w:w="110" w:type="dxa"/>
            </w:tcMar>
          </w:tcPr>
          <w:p>
            <w:pPr>
              <w:spacing w:after="20"/>
            </w:pPr>
            <w:r/>
            <w:r>
              <w:rPr>
                <w:b w:val="0"/>
                <w:sz w:val="18"/>
              </w:rPr>
              <w:t>Node.js, Express, sesiones y proveedores externos.</w:t>
            </w:r>
          </w:p>
        </w:tc>
      </w:tr>
      <w:tr>
        <w:trPr>
          <w:cantSplit/>
        </w:trPr>
        <w:tc>
          <w:tcPr>
            <w:tcW w:type="dxa" w:w="2016"/>
            <w:vAlign w:val="center"/>
            <w:tcMar>
              <w:top w:w="90" w:type="dxa"/>
              <w:start w:w="110" w:type="dxa"/>
              <w:bottom w:w="90" w:type="dxa"/>
              <w:end w:w="110" w:type="dxa"/>
            </w:tcMar>
          </w:tcPr>
          <w:p>
            <w:pPr>
              <w:spacing w:after="20"/>
            </w:pPr>
            <w:r/>
            <w:r>
              <w:rPr>
                <w:b w:val="0"/>
                <w:sz w:val="18"/>
              </w:rPr>
              <w:t>Base de datos</w:t>
            </w:r>
          </w:p>
        </w:tc>
        <w:tc>
          <w:tcPr>
            <w:tcW w:type="dxa" w:w="3456"/>
            <w:vAlign w:val="center"/>
            <w:tcMar>
              <w:top w:w="90" w:type="dxa"/>
              <w:start w:w="110" w:type="dxa"/>
              <w:bottom w:w="90" w:type="dxa"/>
              <w:end w:w="110" w:type="dxa"/>
            </w:tcMar>
          </w:tcPr>
          <w:p>
            <w:pPr>
              <w:spacing w:after="20"/>
            </w:pPr>
            <w:r/>
            <w:r>
              <w:rPr>
                <w:b w:val="0"/>
                <w:sz w:val="18"/>
              </w:rPr>
              <w:t>Persistencia de usuarios, institución, cursos, comunidad y actividad.</w:t>
            </w:r>
          </w:p>
        </w:tc>
        <w:tc>
          <w:tcPr>
            <w:tcW w:type="dxa" w:w="4032"/>
            <w:vAlign w:val="center"/>
            <w:tcMar>
              <w:top w:w="90" w:type="dxa"/>
              <w:start w:w="110" w:type="dxa"/>
              <w:bottom w:w="90" w:type="dxa"/>
              <w:end w:w="110" w:type="dxa"/>
            </w:tcMar>
          </w:tcPr>
          <w:p>
            <w:pPr>
              <w:spacing w:after="20"/>
            </w:pPr>
            <w:r/>
            <w:r>
              <w:rPr>
                <w:b w:val="0"/>
                <w:sz w:val="18"/>
              </w:rPr>
              <w:t>PostgreSQL por pg y Drizzle; modelo en shared/schema.ts.</w:t>
            </w:r>
          </w:p>
        </w:tc>
      </w:tr>
      <w:tr>
        <w:trPr>
          <w:cantSplit/>
        </w:trPr>
        <w:tc>
          <w:tcPr>
            <w:tcW w:type="dxa" w:w="2016"/>
            <w:vAlign w:val="center"/>
            <w:shd w:fill="F0F4F7"/>
            <w:tcMar>
              <w:top w:w="90" w:type="dxa"/>
              <w:start w:w="110" w:type="dxa"/>
              <w:bottom w:w="90" w:type="dxa"/>
              <w:end w:w="110" w:type="dxa"/>
            </w:tcMar>
          </w:tcPr>
          <w:p>
            <w:pPr>
              <w:spacing w:after="20"/>
            </w:pPr>
            <w:r/>
            <w:r>
              <w:rPr>
                <w:b w:val="0"/>
                <w:sz w:val="18"/>
              </w:rPr>
              <w:t>Almacenamiento de archivos</w:t>
            </w:r>
          </w:p>
        </w:tc>
        <w:tc>
          <w:tcPr>
            <w:tcW w:type="dxa" w:w="3456"/>
            <w:vAlign w:val="center"/>
            <w:shd w:fill="F0F4F7"/>
            <w:tcMar>
              <w:top w:w="90" w:type="dxa"/>
              <w:start w:w="110" w:type="dxa"/>
              <w:bottom w:w="90" w:type="dxa"/>
              <w:end w:w="110" w:type="dxa"/>
            </w:tcMar>
          </w:tcPr>
          <w:p>
            <w:pPr>
              <w:spacing w:after="20"/>
            </w:pPr>
            <w:r/>
            <w:r>
              <w:rPr>
                <w:b w:val="0"/>
                <w:sz w:val="18"/>
              </w:rPr>
              <w:t>Persistencia de adjuntos, imágenes y medios.</w:t>
            </w:r>
          </w:p>
        </w:tc>
        <w:tc>
          <w:tcPr>
            <w:tcW w:type="dxa" w:w="4032"/>
            <w:vAlign w:val="center"/>
            <w:shd w:fill="F0F4F7"/>
            <w:tcMar>
              <w:top w:w="90" w:type="dxa"/>
              <w:start w:w="110" w:type="dxa"/>
              <w:bottom w:w="90" w:type="dxa"/>
              <w:end w:w="110" w:type="dxa"/>
            </w:tcMar>
          </w:tcPr>
          <w:p>
            <w:pPr>
              <w:spacing w:after="20"/>
            </w:pPr>
            <w:r/>
            <w:r>
              <w:rPr>
                <w:b w:val="0"/>
                <w:sz w:val="18"/>
              </w:rPr>
              <w:t>Supabase Storage desde el backend.</w:t>
            </w:r>
          </w:p>
        </w:tc>
      </w:tr>
      <w:tr>
        <w:trPr>
          <w:cantSplit/>
        </w:trPr>
        <w:tc>
          <w:tcPr>
            <w:tcW w:type="dxa" w:w="2016"/>
            <w:vAlign w:val="center"/>
            <w:tcMar>
              <w:top w:w="90" w:type="dxa"/>
              <w:start w:w="110" w:type="dxa"/>
              <w:bottom w:w="90" w:type="dxa"/>
              <w:end w:w="110" w:type="dxa"/>
            </w:tcMar>
          </w:tcPr>
          <w:p>
            <w:pPr>
              <w:spacing w:after="20"/>
            </w:pPr>
            <w:r/>
            <w:r>
              <w:rPr>
                <w:b w:val="0"/>
                <w:sz w:val="18"/>
              </w:rPr>
              <w:t>Tiempo real</w:t>
            </w:r>
          </w:p>
        </w:tc>
        <w:tc>
          <w:tcPr>
            <w:tcW w:type="dxa" w:w="3456"/>
            <w:vAlign w:val="center"/>
            <w:tcMar>
              <w:top w:w="90" w:type="dxa"/>
              <w:start w:w="110" w:type="dxa"/>
              <w:bottom w:w="90" w:type="dxa"/>
              <w:end w:w="110" w:type="dxa"/>
            </w:tcMar>
          </w:tcPr>
          <w:p>
            <w:pPr>
              <w:spacing w:after="20"/>
            </w:pPr>
            <w:r/>
            <w:r>
              <w:rPr>
                <w:b w:val="0"/>
                <w:sz w:val="18"/>
              </w:rPr>
              <w:t>Salas, señalización y conexión de llamada.</w:t>
            </w:r>
          </w:p>
        </w:tc>
        <w:tc>
          <w:tcPr>
            <w:tcW w:type="dxa" w:w="4032"/>
            <w:vAlign w:val="center"/>
            <w:tcMar>
              <w:top w:w="90" w:type="dxa"/>
              <w:start w:w="110" w:type="dxa"/>
              <w:bottom w:w="90" w:type="dxa"/>
              <w:end w:w="110" w:type="dxa"/>
            </w:tcMar>
          </w:tcPr>
          <w:p>
            <w:pPr>
              <w:spacing w:after="20"/>
            </w:pPr>
            <w:r/>
            <w:r>
              <w:rPr>
                <w:b w:val="0"/>
                <w:sz w:val="18"/>
              </w:rPr>
              <w:t>WebSocket/WebRTC; LiveKit puede proveer infraestructura de medios.</w:t>
            </w:r>
          </w:p>
        </w:tc>
      </w:tr>
    </w:tbl>
    <w:p>
      <w:pPr>
        <w:spacing w:after="20"/>
      </w:pPr>
    </w:p>
    <w:p>
      <w:r>
        <w:t>En desarrollo, Vite atiende el cliente y reenvía /api y /ws/calls al servidor. En producción, el build genera dist/public y el bundle del servidor; Express sirve el cliente compilado. Los archivos fuente principales son client/src/App.tsx, server/index.ts, server/routes.ts, server/authRoutes.ts, server/storage.ts y shared/schema.ts.</w:t>
      </w:r>
    </w:p>
    <w:p>
      <w:pPr>
        <w:pStyle w:val="Heading1"/>
      </w:pPr>
      <w:r>
        <w:t>4. Módulos funcionales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800"/>
            <w:vAlign w:val="center"/>
            <w:shd w:fill="17324D"/>
            <w:tcMar>
              <w:top w:w="90" w:type="dxa"/>
              <w:start w:w="110" w:type="dxa"/>
              <w:bottom w:w="90" w:type="dxa"/>
              <w:end w:w="110" w:type="dxa"/>
            </w:tcMar>
          </w:tcPr>
          <w:p>
            <w:pPr>
              <w:spacing w:after="20"/>
            </w:pPr>
            <w:r/>
            <w:r>
              <w:rPr>
                <w:b/>
                <w:color w:val="FFFFFF"/>
                <w:sz w:val="18"/>
              </w:rPr>
              <w:t>Módulo</w:t>
            </w:r>
          </w:p>
        </w:tc>
        <w:tc>
          <w:tcPr>
            <w:tcW w:type="dxa" w:w="3600"/>
            <w:vAlign w:val="center"/>
            <w:shd w:fill="17324D"/>
            <w:tcMar>
              <w:top w:w="90" w:type="dxa"/>
              <w:start w:w="110" w:type="dxa"/>
              <w:bottom w:w="90" w:type="dxa"/>
              <w:end w:w="110" w:type="dxa"/>
            </w:tcMar>
          </w:tcPr>
          <w:p>
            <w:pPr>
              <w:spacing w:after="20"/>
            </w:pPr>
            <w:r/>
            <w:r>
              <w:rPr>
                <w:b/>
                <w:color w:val="FFFFFF"/>
                <w:sz w:val="18"/>
              </w:rPr>
              <w:t>Capacidades incluidas</w:t>
            </w:r>
          </w:p>
        </w:tc>
        <w:tc>
          <w:tcPr>
            <w:tcW w:type="dxa" w:w="4104"/>
            <w:vAlign w:val="center"/>
            <w:shd w:fill="17324D"/>
            <w:tcMar>
              <w:top w:w="90" w:type="dxa"/>
              <w:start w:w="110" w:type="dxa"/>
              <w:bottom w:w="90" w:type="dxa"/>
              <w:end w:w="110" w:type="dxa"/>
            </w:tcMar>
          </w:tcPr>
          <w:p>
            <w:pPr>
              <w:spacing w:after="20"/>
            </w:pPr>
            <w:r/>
            <w:r>
              <w:rPr>
                <w:b/>
                <w:color w:val="FFFFFF"/>
                <w:sz w:val="18"/>
              </w:rPr>
              <w:t>Conexiones y reglas clave</w:t>
            </w:r>
          </w:p>
        </w:tc>
      </w:tr>
      <w:tr>
        <w:trPr>
          <w:cantSplit/>
        </w:trPr>
        <w:tc>
          <w:tcPr>
            <w:tcW w:type="dxa" w:w="1800"/>
            <w:vAlign w:val="center"/>
            <w:tcMar>
              <w:top w:w="90" w:type="dxa"/>
              <w:start w:w="110" w:type="dxa"/>
              <w:bottom w:w="90" w:type="dxa"/>
              <w:end w:w="110" w:type="dxa"/>
            </w:tcMar>
          </w:tcPr>
          <w:p>
            <w:pPr>
              <w:spacing w:after="20"/>
            </w:pPr>
            <w:r/>
            <w:r>
              <w:rPr>
                <w:b w:val="0"/>
                <w:sz w:val="18"/>
              </w:rPr>
              <w:t>Identidad y perfil</w:t>
            </w:r>
          </w:p>
        </w:tc>
        <w:tc>
          <w:tcPr>
            <w:tcW w:type="dxa" w:w="3600"/>
            <w:vAlign w:val="center"/>
            <w:tcMar>
              <w:top w:w="90" w:type="dxa"/>
              <w:start w:w="110" w:type="dxa"/>
              <w:bottom w:w="90" w:type="dxa"/>
              <w:end w:w="110" w:type="dxa"/>
            </w:tcMar>
          </w:tcPr>
          <w:p>
            <w:pPr>
              <w:spacing w:after="20"/>
            </w:pPr>
            <w:r/>
            <w:r>
              <w:rPr>
                <w:b w:val="0"/>
                <w:sz w:val="18"/>
              </w:rPr>
              <w:t>Registro, inicio de sesión, sesión persistente, perfil, verificación y recuperación.</w:t>
            </w:r>
          </w:p>
        </w:tc>
        <w:tc>
          <w:tcPr>
            <w:tcW w:type="dxa" w:w="4104"/>
            <w:vAlign w:val="center"/>
            <w:tcMar>
              <w:top w:w="90" w:type="dxa"/>
              <w:start w:w="110" w:type="dxa"/>
              <w:bottom w:w="90" w:type="dxa"/>
              <w:end w:w="110" w:type="dxa"/>
            </w:tcMar>
          </w:tcPr>
          <w:p>
            <w:pPr>
              <w:spacing w:after="20"/>
            </w:pPr>
            <w:r/>
            <w:r>
              <w:rPr>
                <w:b w:val="0"/>
                <w:sz w:val="18"/>
              </w:rPr>
              <w:t>Express session almacena sesiones en PostgreSQL; tokens con vencimiento se registran en auth_tokens; correo mediante Resend.</w:t>
            </w:r>
          </w:p>
        </w:tc>
      </w:tr>
      <w:tr>
        <w:trPr>
          <w:cantSplit/>
        </w:trPr>
        <w:tc>
          <w:tcPr>
            <w:tcW w:type="dxa" w:w="1800"/>
            <w:vAlign w:val="center"/>
            <w:shd w:fill="F0F4F7"/>
            <w:tcMar>
              <w:top w:w="90" w:type="dxa"/>
              <w:start w:w="110" w:type="dxa"/>
              <w:bottom w:w="90" w:type="dxa"/>
              <w:end w:w="110" w:type="dxa"/>
            </w:tcMar>
          </w:tcPr>
          <w:p>
            <w:pPr>
              <w:spacing w:after="20"/>
            </w:pPr>
            <w:r/>
            <w:r>
              <w:rPr>
                <w:b w:val="0"/>
                <w:sz w:val="18"/>
              </w:rPr>
              <w:t>Aula virtual</w:t>
            </w:r>
          </w:p>
        </w:tc>
        <w:tc>
          <w:tcPr>
            <w:tcW w:type="dxa" w:w="3600"/>
            <w:vAlign w:val="center"/>
            <w:shd w:fill="F0F4F7"/>
            <w:tcMar>
              <w:top w:w="90" w:type="dxa"/>
              <w:start w:w="110" w:type="dxa"/>
              <w:bottom w:w="90" w:type="dxa"/>
              <w:end w:w="110" w:type="dxa"/>
            </w:tcMar>
          </w:tcPr>
          <w:p>
            <w:pPr>
              <w:spacing w:after="20"/>
            </w:pPr>
            <w:r/>
            <w:r>
              <w:rPr>
                <w:b w:val="0"/>
                <w:sz w:val="18"/>
              </w:rPr>
              <w:t>Cursos, audiencia por grupos o estudiantes, anuncios, actividades, entregas, comentarios, asistencia y calificaciones.</w:t>
            </w:r>
          </w:p>
        </w:tc>
        <w:tc>
          <w:tcPr>
            <w:tcW w:type="dxa" w:w="4104"/>
            <w:vAlign w:val="center"/>
            <w:shd w:fill="F0F4F7"/>
            <w:tcMar>
              <w:top w:w="90" w:type="dxa"/>
              <w:start w:w="110" w:type="dxa"/>
              <w:bottom w:w="90" w:type="dxa"/>
              <w:end w:w="110" w:type="dxa"/>
            </w:tcMar>
          </w:tcPr>
          <w:p>
            <w:pPr>
              <w:spacing w:after="20"/>
            </w:pPr>
            <w:r/>
            <w:r>
              <w:rPr>
                <w:b w:val="0"/>
                <w:sz w:val="18"/>
              </w:rPr>
              <w:t>Rutas /api/classroom/*; reglas compartidas en server/course-access.ts; persistencia PostgreSQL.</w:t>
            </w:r>
          </w:p>
        </w:tc>
      </w:tr>
      <w:tr>
        <w:trPr>
          <w:cantSplit/>
        </w:trPr>
        <w:tc>
          <w:tcPr>
            <w:tcW w:type="dxa" w:w="1800"/>
            <w:vAlign w:val="center"/>
            <w:tcMar>
              <w:top w:w="90" w:type="dxa"/>
              <w:start w:w="110" w:type="dxa"/>
              <w:bottom w:w="90" w:type="dxa"/>
              <w:end w:w="110" w:type="dxa"/>
            </w:tcMar>
          </w:tcPr>
          <w:p>
            <w:pPr>
              <w:spacing w:after="20"/>
            </w:pPr>
            <w:r/>
            <w:r>
              <w:rPr>
                <w:b w:val="0"/>
                <w:sz w:val="18"/>
              </w:rPr>
              <w:t>Comunidad y grupos</w:t>
            </w:r>
          </w:p>
        </w:tc>
        <w:tc>
          <w:tcPr>
            <w:tcW w:type="dxa" w:w="3600"/>
            <w:vAlign w:val="center"/>
            <w:tcMar>
              <w:top w:w="90" w:type="dxa"/>
              <w:start w:w="110" w:type="dxa"/>
              <w:bottom w:w="90" w:type="dxa"/>
              <w:end w:w="110" w:type="dxa"/>
            </w:tcMar>
          </w:tcPr>
          <w:p>
            <w:pPr>
              <w:spacing w:after="20"/>
            </w:pPr>
            <w:r/>
            <w:r>
              <w:rPr>
                <w:b w:val="0"/>
                <w:sz w:val="18"/>
              </w:rPr>
              <w:t>Publicaciones, comentarios, reacciones, grupos, membresías y preguntas/respuestas.</w:t>
            </w:r>
          </w:p>
        </w:tc>
        <w:tc>
          <w:tcPr>
            <w:tcW w:type="dxa" w:w="4104"/>
            <w:vAlign w:val="center"/>
            <w:tcMar>
              <w:top w:w="90" w:type="dxa"/>
              <w:start w:w="110" w:type="dxa"/>
              <w:bottom w:w="90" w:type="dxa"/>
              <w:end w:w="110" w:type="dxa"/>
            </w:tcMar>
          </w:tcPr>
          <w:p>
            <w:pPr>
              <w:spacing w:after="20"/>
            </w:pPr>
            <w:r/>
            <w:r>
              <w:rPr>
                <w:b w:val="0"/>
                <w:sz w:val="18"/>
              </w:rPr>
              <w:t>API Express y tablas de comunidad en shared/schema.ts.</w:t>
            </w:r>
          </w:p>
        </w:tc>
      </w:tr>
      <w:tr>
        <w:trPr>
          <w:cantSplit/>
        </w:trPr>
        <w:tc>
          <w:tcPr>
            <w:tcW w:type="dxa" w:w="1800"/>
            <w:vAlign w:val="center"/>
            <w:shd w:fill="F0F4F7"/>
            <w:tcMar>
              <w:top w:w="90" w:type="dxa"/>
              <w:start w:w="110" w:type="dxa"/>
              <w:bottom w:w="90" w:type="dxa"/>
              <w:end w:w="110" w:type="dxa"/>
            </w:tcMar>
          </w:tcPr>
          <w:p>
            <w:pPr>
              <w:spacing w:after="20"/>
            </w:pPr>
            <w:r/>
            <w:r>
              <w:rPr>
                <w:b w:val="0"/>
                <w:sz w:val="18"/>
              </w:rPr>
              <w:t>Mensajería y reuniones</w:t>
            </w:r>
          </w:p>
        </w:tc>
        <w:tc>
          <w:tcPr>
            <w:tcW w:type="dxa" w:w="3600"/>
            <w:vAlign w:val="center"/>
            <w:shd w:fill="F0F4F7"/>
            <w:tcMar>
              <w:top w:w="90" w:type="dxa"/>
              <w:start w:w="110" w:type="dxa"/>
              <w:bottom w:w="90" w:type="dxa"/>
              <w:end w:w="110" w:type="dxa"/>
            </w:tcMar>
          </w:tcPr>
          <w:p>
            <w:pPr>
              <w:spacing w:after="20"/>
            </w:pPr>
            <w:r/>
            <w:r>
              <w:rPr>
                <w:b w:val="0"/>
                <w:sz w:val="18"/>
              </w:rPr>
              <w:t>Mensajes directos y grupales, solicitudes, bloqueos, salas y llamadas.</w:t>
            </w:r>
          </w:p>
        </w:tc>
        <w:tc>
          <w:tcPr>
            <w:tcW w:type="dxa" w:w="4104"/>
            <w:vAlign w:val="center"/>
            <w:shd w:fill="F0F4F7"/>
            <w:tcMar>
              <w:top w:w="90" w:type="dxa"/>
              <w:start w:w="110" w:type="dxa"/>
              <w:bottom w:w="90" w:type="dxa"/>
              <w:end w:w="110" w:type="dxa"/>
            </w:tcMar>
          </w:tcPr>
          <w:p>
            <w:pPr>
              <w:spacing w:after="20"/>
            </w:pPr>
            <w:r/>
            <w:r>
              <w:rPr>
                <w:b w:val="0"/>
                <w:sz w:val="18"/>
              </w:rPr>
              <w:t>PostgreSQL para mensajes; WebSocket/WebRTC y LiveKit según configuración.</w:t>
            </w:r>
          </w:p>
        </w:tc>
      </w:tr>
      <w:tr>
        <w:trPr>
          <w:cantSplit/>
        </w:trPr>
        <w:tc>
          <w:tcPr>
            <w:tcW w:type="dxa" w:w="1800"/>
            <w:vAlign w:val="center"/>
            <w:tcMar>
              <w:top w:w="90" w:type="dxa"/>
              <w:start w:w="110" w:type="dxa"/>
              <w:bottom w:w="90" w:type="dxa"/>
              <w:end w:w="110" w:type="dxa"/>
            </w:tcMar>
          </w:tcPr>
          <w:p>
            <w:pPr>
              <w:spacing w:after="20"/>
            </w:pPr>
            <w:r/>
            <w:r>
              <w:rPr>
                <w:b w:val="0"/>
                <w:sz w:val="18"/>
              </w:rPr>
              <w:t>Biblioteca y medios</w:t>
            </w:r>
          </w:p>
        </w:tc>
        <w:tc>
          <w:tcPr>
            <w:tcW w:type="dxa" w:w="3600"/>
            <w:vAlign w:val="center"/>
            <w:tcMar>
              <w:top w:w="90" w:type="dxa"/>
              <w:start w:w="110" w:type="dxa"/>
              <w:bottom w:w="90" w:type="dxa"/>
              <w:end w:w="110" w:type="dxa"/>
            </w:tcMar>
          </w:tcPr>
          <w:p>
            <w:pPr>
              <w:spacing w:after="20"/>
            </w:pPr>
            <w:r/>
            <w:r>
              <w:rPr>
                <w:b w:val="0"/>
                <w:sz w:val="18"/>
              </w:rPr>
              <w:t>Recursos y adjuntos multimedia.</w:t>
            </w:r>
          </w:p>
        </w:tc>
        <w:tc>
          <w:tcPr>
            <w:tcW w:type="dxa" w:w="4104"/>
            <w:vAlign w:val="center"/>
            <w:tcMar>
              <w:top w:w="90" w:type="dxa"/>
              <w:start w:w="110" w:type="dxa"/>
              <w:bottom w:w="90" w:type="dxa"/>
              <w:end w:w="110" w:type="dxa"/>
            </w:tcMar>
          </w:tcPr>
          <w:p>
            <w:pPr>
              <w:spacing w:after="20"/>
            </w:pPr>
            <w:r/>
            <w:r>
              <w:rPr>
                <w:b w:val="0"/>
                <w:sz w:val="18"/>
              </w:rPr>
              <w:t>Validación de tipo, cantidad y tamaño en el servidor; Supabase Storage.</w:t>
            </w:r>
          </w:p>
        </w:tc>
      </w:tr>
      <w:tr>
        <w:trPr>
          <w:cantSplit/>
        </w:trPr>
        <w:tc>
          <w:tcPr>
            <w:tcW w:type="dxa" w:w="1800"/>
            <w:vAlign w:val="center"/>
            <w:shd w:fill="F0F4F7"/>
            <w:tcMar>
              <w:top w:w="90" w:type="dxa"/>
              <w:start w:w="110" w:type="dxa"/>
              <w:bottom w:w="90" w:type="dxa"/>
              <w:end w:w="110" w:type="dxa"/>
            </w:tcMar>
          </w:tcPr>
          <w:p>
            <w:pPr>
              <w:spacing w:after="20"/>
            </w:pPr>
            <w:r/>
            <w:r>
              <w:rPr>
                <w:b w:val="0"/>
                <w:sz w:val="18"/>
              </w:rPr>
              <w:t>Administración escolar</w:t>
            </w:r>
          </w:p>
        </w:tc>
        <w:tc>
          <w:tcPr>
            <w:tcW w:type="dxa" w:w="3600"/>
            <w:vAlign w:val="center"/>
            <w:shd w:fill="F0F4F7"/>
            <w:tcMar>
              <w:top w:w="90" w:type="dxa"/>
              <w:start w:w="110" w:type="dxa"/>
              <w:bottom w:w="90" w:type="dxa"/>
              <w:end w:w="110" w:type="dxa"/>
            </w:tcMar>
          </w:tcPr>
          <w:p>
            <w:pPr>
              <w:spacing w:after="20"/>
            </w:pPr>
            <w:r/>
            <w:r>
              <w:rPr>
                <w:b w:val="0"/>
                <w:sz w:val="18"/>
              </w:rPr>
              <w:t>Usuarios, grados, grupos, materias, periodos, matrícula, horarios, observaciones y reportes.</w:t>
            </w:r>
          </w:p>
        </w:tc>
        <w:tc>
          <w:tcPr>
            <w:tcW w:type="dxa" w:w="4104"/>
            <w:vAlign w:val="center"/>
            <w:shd w:fill="F0F4F7"/>
            <w:tcMar>
              <w:top w:w="90" w:type="dxa"/>
              <w:start w:w="110" w:type="dxa"/>
              <w:bottom w:w="90" w:type="dxa"/>
              <w:end w:w="110" w:type="dxa"/>
            </w:tcMar>
          </w:tcPr>
          <w:p>
            <w:pPr>
              <w:spacing w:after="20"/>
            </w:pPr>
            <w:r/>
            <w:r>
              <w:rPr>
                <w:b w:val="0"/>
                <w:sz w:val="18"/>
              </w:rPr>
              <w:t>Rutas administrativas con verificación de rol y ámbito institucional.</w:t>
            </w:r>
          </w:p>
        </w:tc>
      </w:tr>
      <w:tr>
        <w:trPr>
          <w:cantSplit/>
        </w:trPr>
        <w:tc>
          <w:tcPr>
            <w:tcW w:type="dxa" w:w="1800"/>
            <w:vAlign w:val="center"/>
            <w:tcMar>
              <w:top w:w="90" w:type="dxa"/>
              <w:start w:w="110" w:type="dxa"/>
              <w:bottom w:w="90" w:type="dxa"/>
              <w:end w:w="110" w:type="dxa"/>
            </w:tcMar>
          </w:tcPr>
          <w:p>
            <w:pPr>
              <w:spacing w:after="20"/>
            </w:pPr>
            <w:r/>
            <w:r>
              <w:rPr>
                <w:b w:val="0"/>
                <w:sz w:val="18"/>
              </w:rPr>
              <w:t>Familias</w:t>
            </w:r>
          </w:p>
        </w:tc>
        <w:tc>
          <w:tcPr>
            <w:tcW w:type="dxa" w:w="3600"/>
            <w:vAlign w:val="center"/>
            <w:tcMar>
              <w:top w:w="90" w:type="dxa"/>
              <w:start w:w="110" w:type="dxa"/>
              <w:bottom w:w="90" w:type="dxa"/>
              <w:end w:w="110" w:type="dxa"/>
            </w:tcMar>
          </w:tcPr>
          <w:p>
            <w:pPr>
              <w:spacing w:after="20"/>
            </w:pPr>
            <w:r/>
            <w:r>
              <w:rPr>
                <w:b w:val="0"/>
                <w:sz w:val="18"/>
              </w:rPr>
              <w:t>Solicitud y aprobación de vínculo acudiente-estudiante.</w:t>
            </w:r>
          </w:p>
        </w:tc>
        <w:tc>
          <w:tcPr>
            <w:tcW w:type="dxa" w:w="4104"/>
            <w:vAlign w:val="center"/>
            <w:tcMar>
              <w:top w:w="90" w:type="dxa"/>
              <w:start w:w="110" w:type="dxa"/>
              <w:bottom w:w="90" w:type="dxa"/>
              <w:end w:w="110" w:type="dxa"/>
            </w:tcMar>
          </w:tcPr>
          <w:p>
            <w:pPr>
              <w:spacing w:after="20"/>
            </w:pPr>
            <w:r/>
            <w:r>
              <w:rPr>
                <w:b w:val="0"/>
                <w:sz w:val="18"/>
              </w:rPr>
              <w:t>parent_student_links y reglas específicas de consulta autorizada.</w:t>
            </w:r>
          </w:p>
        </w:tc>
      </w:tr>
      <w:tr>
        <w:trPr>
          <w:cantSplit/>
        </w:trPr>
        <w:tc>
          <w:tcPr>
            <w:tcW w:type="dxa" w:w="1800"/>
            <w:vAlign w:val="center"/>
            <w:shd w:fill="F0F4F7"/>
            <w:tcMar>
              <w:top w:w="90" w:type="dxa"/>
              <w:start w:w="110" w:type="dxa"/>
              <w:bottom w:w="90" w:type="dxa"/>
              <w:end w:w="110" w:type="dxa"/>
            </w:tcMar>
          </w:tcPr>
          <w:p>
            <w:pPr>
              <w:spacing w:after="20"/>
            </w:pPr>
            <w:r/>
            <w:r>
              <w:rPr>
                <w:b w:val="0"/>
                <w:sz w:val="18"/>
              </w:rPr>
              <w:t>Notificaciones y calendario</w:t>
            </w:r>
          </w:p>
        </w:tc>
        <w:tc>
          <w:tcPr>
            <w:tcW w:type="dxa" w:w="3600"/>
            <w:vAlign w:val="center"/>
            <w:shd w:fill="F0F4F7"/>
            <w:tcMar>
              <w:top w:w="90" w:type="dxa"/>
              <w:start w:w="110" w:type="dxa"/>
              <w:bottom w:w="90" w:type="dxa"/>
              <w:end w:w="110" w:type="dxa"/>
            </w:tcMar>
          </w:tcPr>
          <w:p>
            <w:pPr>
              <w:spacing w:after="20"/>
            </w:pPr>
            <w:r/>
            <w:r>
              <w:rPr>
                <w:b w:val="0"/>
                <w:sz w:val="18"/>
              </w:rPr>
              <w:t>Notificaciones dentro de la aplicación, push, eventos y asesorías.</w:t>
            </w:r>
          </w:p>
        </w:tc>
        <w:tc>
          <w:tcPr>
            <w:tcW w:type="dxa" w:w="4104"/>
            <w:vAlign w:val="center"/>
            <w:shd w:fill="F0F4F7"/>
            <w:tcMar>
              <w:top w:w="90" w:type="dxa"/>
              <w:start w:w="110" w:type="dxa"/>
              <w:bottom w:w="90" w:type="dxa"/>
              <w:end w:w="110" w:type="dxa"/>
            </w:tcMar>
          </w:tcPr>
          <w:p>
            <w:pPr>
              <w:spacing w:after="20"/>
            </w:pPr>
            <w:r/>
            <w:r>
              <w:rPr>
                <w:b w:val="0"/>
                <w:sz w:val="18"/>
              </w:rPr>
              <w:t>PostgreSQL; Web Push depende de claves VAPID; eventos y asesorías usan rutas de producto.</w:t>
            </w:r>
          </w:p>
        </w:tc>
      </w:tr>
    </w:tbl>
    <w:p>
      <w:pPr>
        <w:spacing w:after="20"/>
      </w:pPr>
    </w:p>
    <w:p>
      <w:pPr>
        <w:pStyle w:val="Heading1"/>
      </w:pPr>
      <w:r>
        <w:t>5. Datos y persistencia</w:t>
      </w:r>
    </w:p>
    <w:p>
      <w:r>
        <w:t>shared/schema.ts es la referencia del esquema ORM compartido por cliente y servidor. Las tablas se agrupan por dominios: institución e identidad; comunidad; estructura académica; cursos y evaluación; mensajería y llamadas; y vínculos familiares. Las migraciones versionadas viven en migrations/ y server/migrate.ts contiene inicialización adicional del esquema.</w:t>
      </w:r>
    </w:p>
    <w:p>
      <w:r>
        <w:t>Los registros académicos deben respetar la institución y el roster. Para añadir o cambiar datos persistentes se debe actualizar el esquema, crear la migración SQL, revisar la migración de arranque si aplica, ajustar validadores y persistencia, y verificar endpoints y clientes afectados. Las bases de datos y el directorio uploads pueden contener datos reales; no deben borrarse ni copiarse sin autorización y respaldo.</w:t>
      </w:r>
    </w:p>
    <w:p>
      <w:pPr>
        <w:pStyle w:val="Heading1"/>
      </w:pPr>
      <w:r>
        <w:t>6. Integraciones externas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584"/>
            <w:vAlign w:val="center"/>
            <w:shd w:fill="17324D"/>
            <w:tcMar>
              <w:top w:w="90" w:type="dxa"/>
              <w:start w:w="110" w:type="dxa"/>
              <w:bottom w:w="90" w:type="dxa"/>
              <w:end w:w="110" w:type="dxa"/>
            </w:tcMar>
          </w:tcPr>
          <w:p>
            <w:pPr>
              <w:spacing w:after="20"/>
            </w:pPr>
            <w:r/>
            <w:r>
              <w:rPr>
                <w:b/>
                <w:color w:val="FFFFFF"/>
                <w:sz w:val="18"/>
              </w:rPr>
              <w:t>Servicio</w:t>
            </w:r>
          </w:p>
        </w:tc>
        <w:tc>
          <w:tcPr>
            <w:tcW w:type="dxa" w:w="2520"/>
            <w:vAlign w:val="center"/>
            <w:shd w:fill="17324D"/>
            <w:tcMar>
              <w:top w:w="90" w:type="dxa"/>
              <w:start w:w="110" w:type="dxa"/>
              <w:bottom w:w="90" w:type="dxa"/>
              <w:end w:w="110" w:type="dxa"/>
            </w:tcMar>
          </w:tcPr>
          <w:p>
            <w:pPr>
              <w:spacing w:after="20"/>
            </w:pPr>
            <w:r/>
            <w:r>
              <w:rPr>
                <w:b/>
                <w:color w:val="FFFFFF"/>
                <w:sz w:val="18"/>
              </w:rPr>
              <w:t>Uso</w:t>
            </w:r>
          </w:p>
        </w:tc>
        <w:tc>
          <w:tcPr>
            <w:tcW w:type="dxa" w:w="5400"/>
            <w:vAlign w:val="center"/>
            <w:shd w:fill="17324D"/>
            <w:tcMar>
              <w:top w:w="90" w:type="dxa"/>
              <w:start w:w="110" w:type="dxa"/>
              <w:bottom w:w="90" w:type="dxa"/>
              <w:end w:w="110" w:type="dxa"/>
            </w:tcMar>
          </w:tcPr>
          <w:p>
            <w:pPr>
              <w:spacing w:after="20"/>
            </w:pPr>
            <w:r/>
            <w:r>
              <w:rPr>
                <w:b/>
                <w:color w:val="FFFFFF"/>
                <w:sz w:val="18"/>
              </w:rPr>
              <w:t>Configuración principal y observaciones</w:t>
            </w:r>
          </w:p>
        </w:tc>
      </w:tr>
      <w:tr>
        <w:trPr>
          <w:cantSplit/>
        </w:trPr>
        <w:tc>
          <w:tcPr>
            <w:tcW w:type="dxa" w:w="1584"/>
            <w:vAlign w:val="center"/>
            <w:tcMar>
              <w:top w:w="90" w:type="dxa"/>
              <w:start w:w="110" w:type="dxa"/>
              <w:bottom w:w="90" w:type="dxa"/>
              <w:end w:w="110" w:type="dxa"/>
            </w:tcMar>
          </w:tcPr>
          <w:p>
            <w:pPr>
              <w:spacing w:after="20"/>
            </w:pPr>
            <w:r/>
            <w:r>
              <w:rPr>
                <w:b w:val="0"/>
                <w:sz w:val="18"/>
              </w:rPr>
              <w:t>Resend</w:t>
            </w:r>
          </w:p>
        </w:tc>
        <w:tc>
          <w:tcPr>
            <w:tcW w:type="dxa" w:w="2520"/>
            <w:vAlign w:val="center"/>
            <w:tcMar>
              <w:top w:w="90" w:type="dxa"/>
              <w:start w:w="110" w:type="dxa"/>
              <w:bottom w:w="90" w:type="dxa"/>
              <w:end w:w="110" w:type="dxa"/>
            </w:tcMar>
          </w:tcPr>
          <w:p>
            <w:pPr>
              <w:spacing w:after="20"/>
            </w:pPr>
            <w:r/>
            <w:r>
              <w:rPr>
                <w:b w:val="0"/>
                <w:sz w:val="18"/>
              </w:rPr>
              <w:t>Verificación de correo y recuperación de contraseña.</w:t>
            </w:r>
          </w:p>
        </w:tc>
        <w:tc>
          <w:tcPr>
            <w:tcW w:type="dxa" w:w="5400"/>
            <w:vAlign w:val="center"/>
            <w:tcMar>
              <w:top w:w="90" w:type="dxa"/>
              <w:start w:w="110" w:type="dxa"/>
              <w:bottom w:w="90" w:type="dxa"/>
              <w:end w:w="110" w:type="dxa"/>
            </w:tcMar>
          </w:tcPr>
          <w:p>
            <w:pPr>
              <w:spacing w:after="20"/>
            </w:pPr>
            <w:r/>
            <w:r>
              <w:rPr>
                <w:b w:val="0"/>
                <w:sz w:val="18"/>
              </w:rPr>
              <w:t>RESEND_API_KEY, EMAIL_FROM y APP_URL. La respuesta genérica de recuperación no prueba entrega; revisar logs y el proveedor.</w:t>
            </w:r>
          </w:p>
        </w:tc>
      </w:tr>
      <w:tr>
        <w:trPr>
          <w:cantSplit/>
        </w:trPr>
        <w:tc>
          <w:tcPr>
            <w:tcW w:type="dxa" w:w="1584"/>
            <w:vAlign w:val="center"/>
            <w:shd w:fill="F0F4F7"/>
            <w:tcMar>
              <w:top w:w="90" w:type="dxa"/>
              <w:start w:w="110" w:type="dxa"/>
              <w:bottom w:w="90" w:type="dxa"/>
              <w:end w:w="110" w:type="dxa"/>
            </w:tcMar>
          </w:tcPr>
          <w:p>
            <w:pPr>
              <w:spacing w:after="20"/>
            </w:pPr>
            <w:r/>
            <w:r>
              <w:rPr>
                <w:b w:val="0"/>
                <w:sz w:val="18"/>
              </w:rPr>
              <w:t>Supabase</w:t>
            </w:r>
          </w:p>
        </w:tc>
        <w:tc>
          <w:tcPr>
            <w:tcW w:type="dxa" w:w="2520"/>
            <w:vAlign w:val="center"/>
            <w:shd w:fill="F0F4F7"/>
            <w:tcMar>
              <w:top w:w="90" w:type="dxa"/>
              <w:start w:w="110" w:type="dxa"/>
              <w:bottom w:w="90" w:type="dxa"/>
              <w:end w:w="110" w:type="dxa"/>
            </w:tcMar>
          </w:tcPr>
          <w:p>
            <w:pPr>
              <w:spacing w:after="20"/>
            </w:pPr>
            <w:r/>
            <w:r>
              <w:rPr>
                <w:b w:val="0"/>
                <w:sz w:val="18"/>
              </w:rPr>
              <w:t>PostgreSQL alojado y almacenamiento de archivos.</w:t>
            </w:r>
          </w:p>
        </w:tc>
        <w:tc>
          <w:tcPr>
            <w:tcW w:type="dxa" w:w="5400"/>
            <w:vAlign w:val="center"/>
            <w:shd w:fill="F0F4F7"/>
            <w:tcMar>
              <w:top w:w="90" w:type="dxa"/>
              <w:start w:w="110" w:type="dxa"/>
              <w:bottom w:w="90" w:type="dxa"/>
              <w:end w:w="110" w:type="dxa"/>
            </w:tcMar>
          </w:tcPr>
          <w:p>
            <w:pPr>
              <w:spacing w:after="20"/>
            </w:pPr>
            <w:r/>
            <w:r>
              <w:rPr>
                <w:b w:val="0"/>
                <w:sz w:val="18"/>
              </w:rPr>
              <w:t>SUPABASE_URL, SUPABASE_SERVICE_KEY y conexión PostgreSQL. La clave de servicio permanece solo en servidor.</w:t>
            </w:r>
          </w:p>
        </w:tc>
      </w:tr>
      <w:tr>
        <w:trPr>
          <w:cantSplit/>
        </w:trPr>
        <w:tc>
          <w:tcPr>
            <w:tcW w:type="dxa" w:w="1584"/>
            <w:vAlign w:val="center"/>
            <w:tcMar>
              <w:top w:w="90" w:type="dxa"/>
              <w:start w:w="110" w:type="dxa"/>
              <w:bottom w:w="90" w:type="dxa"/>
              <w:end w:w="110" w:type="dxa"/>
            </w:tcMar>
          </w:tcPr>
          <w:p>
            <w:pPr>
              <w:spacing w:after="20"/>
            </w:pPr>
            <w:r/>
            <w:r>
              <w:rPr>
                <w:b w:val="0"/>
                <w:sz w:val="18"/>
              </w:rPr>
              <w:t>Google Classroom</w:t>
            </w:r>
          </w:p>
        </w:tc>
        <w:tc>
          <w:tcPr>
            <w:tcW w:type="dxa" w:w="2520"/>
            <w:vAlign w:val="center"/>
            <w:tcMar>
              <w:top w:w="90" w:type="dxa"/>
              <w:start w:w="110" w:type="dxa"/>
              <w:bottom w:w="90" w:type="dxa"/>
              <w:end w:w="110" w:type="dxa"/>
            </w:tcMar>
          </w:tcPr>
          <w:p>
            <w:pPr>
              <w:spacing w:after="20"/>
            </w:pPr>
            <w:r/>
            <w:r>
              <w:rPr>
                <w:b w:val="0"/>
                <w:sz w:val="18"/>
              </w:rPr>
              <w:t>Autorización y enlaces con cursos externos.</w:t>
            </w:r>
          </w:p>
        </w:tc>
        <w:tc>
          <w:tcPr>
            <w:tcW w:type="dxa" w:w="5400"/>
            <w:vAlign w:val="center"/>
            <w:tcMar>
              <w:top w:w="90" w:type="dxa"/>
              <w:start w:w="110" w:type="dxa"/>
              <w:bottom w:w="90" w:type="dxa"/>
              <w:end w:w="110" w:type="dxa"/>
            </w:tcMar>
          </w:tcPr>
          <w:p>
            <w:pPr>
              <w:spacing w:after="20"/>
            </w:pPr>
            <w:r/>
            <w:r>
              <w:rPr>
                <w:b w:val="0"/>
                <w:sz w:val="18"/>
              </w:rPr>
              <w:t>GOOGLE_CLIENT_ID y GOOGLE_CLIENT_SECRET; confirmar OAuth y permisos del proyecto.</w:t>
            </w:r>
          </w:p>
        </w:tc>
      </w:tr>
      <w:tr>
        <w:trPr>
          <w:cantSplit/>
        </w:trPr>
        <w:tc>
          <w:tcPr>
            <w:tcW w:type="dxa" w:w="1584"/>
            <w:vAlign w:val="center"/>
            <w:shd w:fill="F0F4F7"/>
            <w:tcMar>
              <w:top w:w="90" w:type="dxa"/>
              <w:start w:w="110" w:type="dxa"/>
              <w:bottom w:w="90" w:type="dxa"/>
              <w:end w:w="110" w:type="dxa"/>
            </w:tcMar>
          </w:tcPr>
          <w:p>
            <w:pPr>
              <w:spacing w:after="20"/>
            </w:pPr>
            <w:r/>
            <w:r>
              <w:rPr>
                <w:b w:val="0"/>
                <w:sz w:val="18"/>
              </w:rPr>
              <w:t>LiveKit</w:t>
            </w:r>
          </w:p>
        </w:tc>
        <w:tc>
          <w:tcPr>
            <w:tcW w:type="dxa" w:w="2520"/>
            <w:vAlign w:val="center"/>
            <w:shd w:fill="F0F4F7"/>
            <w:tcMar>
              <w:top w:w="90" w:type="dxa"/>
              <w:start w:w="110" w:type="dxa"/>
              <w:bottom w:w="90" w:type="dxa"/>
              <w:end w:w="110" w:type="dxa"/>
            </w:tcMar>
          </w:tcPr>
          <w:p>
            <w:pPr>
              <w:spacing w:after="20"/>
            </w:pPr>
            <w:r/>
            <w:r>
              <w:rPr>
                <w:b w:val="0"/>
                <w:sz w:val="18"/>
              </w:rPr>
              <w:t>Salas y transporte de audio/video.</w:t>
            </w:r>
          </w:p>
        </w:tc>
        <w:tc>
          <w:tcPr>
            <w:tcW w:type="dxa" w:w="5400"/>
            <w:vAlign w:val="center"/>
            <w:shd w:fill="F0F4F7"/>
            <w:tcMar>
              <w:top w:w="90" w:type="dxa"/>
              <w:start w:w="110" w:type="dxa"/>
              <w:bottom w:w="90" w:type="dxa"/>
              <w:end w:w="110" w:type="dxa"/>
            </w:tcMar>
          </w:tcPr>
          <w:p>
            <w:pPr>
              <w:spacing w:after="20"/>
            </w:pPr>
            <w:r/>
            <w:r>
              <w:rPr>
                <w:b w:val="0"/>
                <w:sz w:val="18"/>
              </w:rPr>
              <w:t>LIVEKIT_URL, LIVEKIT_API_KEY y LIVEKIT_API_SECRET; TURN puede requerir TURN_URL, TURN_USERNAME y TURN_CREDENTIAL.</w:t>
            </w:r>
          </w:p>
        </w:tc>
      </w:tr>
      <w:tr>
        <w:trPr>
          <w:cantSplit/>
        </w:trPr>
        <w:tc>
          <w:tcPr>
            <w:tcW w:type="dxa" w:w="1584"/>
            <w:vAlign w:val="center"/>
            <w:tcMar>
              <w:top w:w="90" w:type="dxa"/>
              <w:start w:w="110" w:type="dxa"/>
              <w:bottom w:w="90" w:type="dxa"/>
              <w:end w:w="110" w:type="dxa"/>
            </w:tcMar>
          </w:tcPr>
          <w:p>
            <w:pPr>
              <w:spacing w:after="20"/>
            </w:pPr>
            <w:r/>
            <w:r>
              <w:rPr>
                <w:b w:val="0"/>
                <w:sz w:val="18"/>
              </w:rPr>
              <w:t>Web Push</w:t>
            </w:r>
          </w:p>
        </w:tc>
        <w:tc>
          <w:tcPr>
            <w:tcW w:type="dxa" w:w="2520"/>
            <w:vAlign w:val="center"/>
            <w:tcMar>
              <w:top w:w="90" w:type="dxa"/>
              <w:start w:w="110" w:type="dxa"/>
              <w:bottom w:w="90" w:type="dxa"/>
              <w:end w:w="110" w:type="dxa"/>
            </w:tcMar>
          </w:tcPr>
          <w:p>
            <w:pPr>
              <w:spacing w:after="20"/>
            </w:pPr>
            <w:r/>
            <w:r>
              <w:rPr>
                <w:b w:val="0"/>
                <w:sz w:val="18"/>
              </w:rPr>
              <w:t>Avisos push del navegador.</w:t>
            </w:r>
          </w:p>
        </w:tc>
        <w:tc>
          <w:tcPr>
            <w:tcW w:type="dxa" w:w="5400"/>
            <w:vAlign w:val="center"/>
            <w:tcMar>
              <w:top w:w="90" w:type="dxa"/>
              <w:start w:w="110" w:type="dxa"/>
              <w:bottom w:w="90" w:type="dxa"/>
              <w:end w:w="110" w:type="dxa"/>
            </w:tcMar>
          </w:tcPr>
          <w:p>
            <w:pPr>
              <w:spacing w:after="20"/>
            </w:pPr>
            <w:r/>
            <w:r>
              <w:rPr>
                <w:b w:val="0"/>
                <w:sz w:val="18"/>
              </w:rPr>
              <w:t>VAPID_PUBLIC_KEY, VAPID_PRIVATE_KEY y VAPID_SUBJECT.</w:t>
            </w:r>
          </w:p>
        </w:tc>
      </w:tr>
      <w:tr>
        <w:trPr>
          <w:cantSplit/>
        </w:trPr>
        <w:tc>
          <w:tcPr>
            <w:tcW w:type="dxa" w:w="1584"/>
            <w:vAlign w:val="center"/>
            <w:shd w:fill="F0F4F7"/>
            <w:tcMar>
              <w:top w:w="90" w:type="dxa"/>
              <w:start w:w="110" w:type="dxa"/>
              <w:bottom w:w="90" w:type="dxa"/>
              <w:end w:w="110" w:type="dxa"/>
            </w:tcMar>
          </w:tcPr>
          <w:p>
            <w:pPr>
              <w:spacing w:after="20"/>
            </w:pPr>
            <w:r/>
            <w:r>
              <w:rPr>
                <w:b w:val="0"/>
                <w:sz w:val="18"/>
              </w:rPr>
              <w:t>Master2000</w:t>
            </w:r>
          </w:p>
        </w:tc>
        <w:tc>
          <w:tcPr>
            <w:tcW w:type="dxa" w:w="2520"/>
            <w:vAlign w:val="center"/>
            <w:shd w:fill="F0F4F7"/>
            <w:tcMar>
              <w:top w:w="90" w:type="dxa"/>
              <w:start w:w="110" w:type="dxa"/>
              <w:bottom w:w="90" w:type="dxa"/>
              <w:end w:w="110" w:type="dxa"/>
            </w:tcMar>
          </w:tcPr>
          <w:p>
            <w:pPr>
              <w:spacing w:after="20"/>
            </w:pPr>
            <w:r/>
            <w:r>
              <w:rPr>
                <w:b w:val="0"/>
                <w:sz w:val="18"/>
              </w:rPr>
              <w:t>Integración con proveedor de información académica.</w:t>
            </w:r>
          </w:p>
        </w:tc>
        <w:tc>
          <w:tcPr>
            <w:tcW w:type="dxa" w:w="5400"/>
            <w:vAlign w:val="center"/>
            <w:shd w:fill="F0F4F7"/>
            <w:tcMar>
              <w:top w:w="90" w:type="dxa"/>
              <w:start w:w="110" w:type="dxa"/>
              <w:bottom w:w="90" w:type="dxa"/>
              <w:end w:w="110" w:type="dxa"/>
            </w:tcMar>
          </w:tcPr>
          <w:p>
            <w:pPr>
              <w:spacing w:after="20"/>
            </w:pPr>
            <w:r/>
            <w:r>
              <w:rPr>
                <w:b w:val="0"/>
                <w:sz w:val="18"/>
              </w:rPr>
              <w:t>MASTER2000_API_URL y MASTER2000_API_KEY; uso condicionado a acceso del proveedor.</w:t>
            </w:r>
          </w:p>
        </w:tc>
      </w:tr>
    </w:tbl>
    <w:p>
      <w:pPr>
        <w:spacing w:after="20"/>
      </w:pPr>
    </w:p>
    <w:p>
      <w:r>
        <w:t>La configuración completa se describe en docs/operations/configuration.md y .env.example. Las claves secretas no deben aparecer en el bundle del cliente, archivos versionados ni bitácoras.</w:t>
      </w:r>
    </w:p>
    <w:p>
      <w:pPr>
        <w:pStyle w:val="Heading1"/>
      </w:pPr>
      <w:r>
        <w:t>7. Autenticación, autorización y privacidad</w:t>
      </w:r>
    </w:p>
    <w:p>
      <w:r>
        <w:t>El inicio de sesión establece una cookie de sesión de servidor; las sesiones se guardan en PostgreSQL. Las contraseñas se procesan con bcrypt. Los tokens de recuperación y verificación son aleatorios, se almacenan como hash y vencen. El backend valida rol y acceso en cada operación; ocultar un enlace en el cliente no constituye control de seguridad.</w:t>
      </w:r>
    </w:p>
    <w:p>
      <w:r>
        <w:t>La aplicación procesa datos de estudiantes, incluyendo menores de edad. Antes de producción, la institución debe confirmar políticas de privacidad, retención, respaldos y acceso. Deben revisarse HTTPS, cookies seguras, SESSION_SECRET, políticas RLS y buckets de Supabase, credenciales externas y logs. El detalle de controles y puntos pendientes está en docs/architecture/security-and-privacy.md.</w:t>
      </w:r>
    </w:p>
    <w:p>
      <w:pPr>
        <w:pStyle w:val="Heading1"/>
      </w:pPr>
      <w:r>
        <w:t>8. Desarrollo, despliegue y mantenimiento</w:t>
      </w:r>
    </w:p>
    <w:p>
      <w:r>
        <w:t>El entorno local requiere Node.js 20, npm, PostgreSQL y credenciales de Supabase para el arranque actual. La secuencia básica es instalar dependencias, copiar .env.example a .env, completar variables, ejecutar npm run dev y abrir la dirección que informa Vite. Para producción, npm run build genera cliente y servidor; npm start inicia el servicio.</w:t>
      </w:r>
    </w:p>
    <w:p>
      <w:r>
        <w:t>El repositorio declara despliegue mediante Nixpacks y configuración Replit. El hosting real, sus secretos, las migraciones aplicadas y los servicios conectados deben confirmarse en el panel de despliegue. Antes de cambiar el esquema en producción, respaldar la base y revisar el SQL; db:push puede alterar datos.</w:t>
      </w:r>
    </w:p>
    <w:p>
      <w:pPr>
        <w:pStyle w:val="Heading1"/>
      </w:pPr>
      <w:r>
        <w:t>9. Mapa de código y documentación de referencia</w:t>
      </w:r>
    </w:p>
    <w:tbl>
      <w:tblPr>
        <w:tblStyle w:val="TableGrid"/>
        <w:tblW w:type="auto" w:w="0"/>
        <w:jc w:val="center"/>
        <w:tblLook w:firstColumn="1" w:firstRow="1" w:lastColumn="0" w:lastRow="0" w:noHBand="0" w:noVBand="1" w:val="04A0"/>
      </w:tblPr>
      <w:tblGrid>
        <w:gridCol w:w="4997"/>
        <w:gridCol w:w="4997"/>
      </w:tblGrid>
      <w:tr>
        <w:trPr>
          <w:cantSplit/>
        </w:trPr>
        <w:tc>
          <w:tcPr>
            <w:tcW w:type="dxa" w:w="4320"/>
            <w:vAlign w:val="center"/>
            <w:shd w:fill="17324D"/>
            <w:tcMar>
              <w:top w:w="90" w:type="dxa"/>
              <w:start w:w="110" w:type="dxa"/>
              <w:bottom w:w="90" w:type="dxa"/>
              <w:end w:w="110" w:type="dxa"/>
            </w:tcMar>
          </w:tcPr>
          <w:p>
            <w:pPr>
              <w:spacing w:after="20"/>
            </w:pPr>
            <w:r/>
            <w:r>
              <w:rPr>
                <w:b/>
                <w:color w:val="FFFFFF"/>
                <w:sz w:val="18"/>
              </w:rPr>
              <w:t>Ruta</w:t>
            </w:r>
          </w:p>
        </w:tc>
        <w:tc>
          <w:tcPr>
            <w:tcW w:type="dxa" w:w="5184"/>
            <w:vAlign w:val="center"/>
            <w:shd w:fill="17324D"/>
            <w:tcMar>
              <w:top w:w="90" w:type="dxa"/>
              <w:start w:w="110" w:type="dxa"/>
              <w:bottom w:w="90" w:type="dxa"/>
              <w:end w:w="110" w:type="dxa"/>
            </w:tcMar>
          </w:tcPr>
          <w:p>
            <w:pPr>
              <w:spacing w:after="20"/>
            </w:pPr>
            <w:r/>
            <w:r>
              <w:rPr>
                <w:b/>
                <w:color w:val="FFFFFF"/>
                <w:sz w:val="18"/>
              </w:rPr>
              <w:t>Contenido</w:t>
            </w:r>
          </w:p>
        </w:tc>
      </w:tr>
      <w:tr>
        <w:trPr>
          <w:cantSplit/>
        </w:trPr>
        <w:tc>
          <w:tcPr>
            <w:tcW w:type="dxa" w:w="4320"/>
            <w:vAlign w:val="center"/>
            <w:tcMar>
              <w:top w:w="90" w:type="dxa"/>
              <w:start w:w="110" w:type="dxa"/>
              <w:bottom w:w="90" w:type="dxa"/>
              <w:end w:w="110" w:type="dxa"/>
            </w:tcMar>
          </w:tcPr>
          <w:p>
            <w:pPr>
              <w:spacing w:after="20"/>
            </w:pPr>
            <w:r/>
            <w:r>
              <w:rPr>
                <w:b w:val="0"/>
                <w:sz w:val="18"/>
              </w:rPr>
              <w:t>client/src/pages/</w:t>
            </w:r>
          </w:p>
        </w:tc>
        <w:tc>
          <w:tcPr>
            <w:tcW w:type="dxa" w:w="5184"/>
            <w:vAlign w:val="center"/>
            <w:tcMar>
              <w:top w:w="90" w:type="dxa"/>
              <w:start w:w="110" w:type="dxa"/>
              <w:bottom w:w="90" w:type="dxa"/>
              <w:end w:w="110" w:type="dxa"/>
            </w:tcMar>
          </w:tcPr>
          <w:p>
            <w:pPr>
              <w:spacing w:after="20"/>
            </w:pPr>
            <w:r/>
            <w:r>
              <w:rPr>
                <w:b w:val="0"/>
                <w:sz w:val="18"/>
              </w:rPr>
              <w:t>Vistas por módulo.</w:t>
            </w:r>
          </w:p>
        </w:tc>
      </w:tr>
      <w:tr>
        <w:trPr>
          <w:cantSplit/>
        </w:trPr>
        <w:tc>
          <w:tcPr>
            <w:tcW w:type="dxa" w:w="4320"/>
            <w:vAlign w:val="center"/>
            <w:shd w:fill="F0F4F7"/>
            <w:tcMar>
              <w:top w:w="90" w:type="dxa"/>
              <w:start w:w="110" w:type="dxa"/>
              <w:bottom w:w="90" w:type="dxa"/>
              <w:end w:w="110" w:type="dxa"/>
            </w:tcMar>
          </w:tcPr>
          <w:p>
            <w:pPr>
              <w:spacing w:after="20"/>
            </w:pPr>
            <w:r/>
            <w:r>
              <w:rPr>
                <w:b w:val="0"/>
                <w:sz w:val="18"/>
              </w:rPr>
              <w:t>client/src/components/layout/AppSidebar.tsx</w:t>
            </w:r>
          </w:p>
        </w:tc>
        <w:tc>
          <w:tcPr>
            <w:tcW w:type="dxa" w:w="5184"/>
            <w:vAlign w:val="center"/>
            <w:shd w:fill="F0F4F7"/>
            <w:tcMar>
              <w:top w:w="90" w:type="dxa"/>
              <w:start w:w="110" w:type="dxa"/>
              <w:bottom w:w="90" w:type="dxa"/>
              <w:end w:w="110" w:type="dxa"/>
            </w:tcMar>
          </w:tcPr>
          <w:p>
            <w:pPr>
              <w:spacing w:after="20"/>
            </w:pPr>
            <w:r/>
            <w:r>
              <w:rPr>
                <w:b w:val="0"/>
                <w:sz w:val="18"/>
              </w:rPr>
              <w:t>Navegación y accesos por rol.</w:t>
            </w:r>
          </w:p>
        </w:tc>
      </w:tr>
      <w:tr>
        <w:trPr>
          <w:cantSplit/>
        </w:trPr>
        <w:tc>
          <w:tcPr>
            <w:tcW w:type="dxa" w:w="4320"/>
            <w:vAlign w:val="center"/>
            <w:tcMar>
              <w:top w:w="90" w:type="dxa"/>
              <w:start w:w="110" w:type="dxa"/>
              <w:bottom w:w="90" w:type="dxa"/>
              <w:end w:w="110" w:type="dxa"/>
            </w:tcMar>
          </w:tcPr>
          <w:p>
            <w:pPr>
              <w:spacing w:after="20"/>
            </w:pPr>
            <w:r/>
            <w:r>
              <w:rPr>
                <w:b w:val="0"/>
                <w:sz w:val="18"/>
              </w:rPr>
              <w:t>server/routes.ts y server/authRoutes.ts</w:t>
            </w:r>
          </w:p>
        </w:tc>
        <w:tc>
          <w:tcPr>
            <w:tcW w:type="dxa" w:w="5184"/>
            <w:vAlign w:val="center"/>
            <w:tcMar>
              <w:top w:w="90" w:type="dxa"/>
              <w:start w:w="110" w:type="dxa"/>
              <w:bottom w:w="90" w:type="dxa"/>
              <w:end w:w="110" w:type="dxa"/>
            </w:tcMar>
          </w:tcPr>
          <w:p>
            <w:pPr>
              <w:spacing w:after="20"/>
            </w:pPr>
            <w:r/>
            <w:r>
              <w:rPr>
                <w:b w:val="0"/>
                <w:sz w:val="18"/>
              </w:rPr>
              <w:t>API de producto y autenticación.</w:t>
            </w:r>
          </w:p>
        </w:tc>
      </w:tr>
      <w:tr>
        <w:trPr>
          <w:cantSplit/>
        </w:trPr>
        <w:tc>
          <w:tcPr>
            <w:tcW w:type="dxa" w:w="4320"/>
            <w:vAlign w:val="center"/>
            <w:shd w:fill="F0F4F7"/>
            <w:tcMar>
              <w:top w:w="90" w:type="dxa"/>
              <w:start w:w="110" w:type="dxa"/>
              <w:bottom w:w="90" w:type="dxa"/>
              <w:end w:w="110" w:type="dxa"/>
            </w:tcMar>
          </w:tcPr>
          <w:p>
            <w:pPr>
              <w:spacing w:after="20"/>
            </w:pPr>
            <w:r/>
            <w:r>
              <w:rPr>
                <w:b w:val="0"/>
                <w:sz w:val="18"/>
              </w:rPr>
              <w:t>server/course-access.ts</w:t>
            </w:r>
          </w:p>
        </w:tc>
        <w:tc>
          <w:tcPr>
            <w:tcW w:type="dxa" w:w="5184"/>
            <w:vAlign w:val="center"/>
            <w:shd w:fill="F0F4F7"/>
            <w:tcMar>
              <w:top w:w="90" w:type="dxa"/>
              <w:start w:w="110" w:type="dxa"/>
              <w:bottom w:w="90" w:type="dxa"/>
              <w:end w:w="110" w:type="dxa"/>
            </w:tcMar>
          </w:tcPr>
          <w:p>
            <w:pPr>
              <w:spacing w:after="20"/>
            </w:pPr>
            <w:r/>
            <w:r>
              <w:rPr>
                <w:b w:val="0"/>
                <w:sz w:val="18"/>
              </w:rPr>
              <w:t>Reglas de acceso a cursos, roster, asistencia y entregas.</w:t>
            </w:r>
          </w:p>
        </w:tc>
      </w:tr>
      <w:tr>
        <w:trPr>
          <w:cantSplit/>
        </w:trPr>
        <w:tc>
          <w:tcPr>
            <w:tcW w:type="dxa" w:w="4320"/>
            <w:vAlign w:val="center"/>
            <w:tcMar>
              <w:top w:w="90" w:type="dxa"/>
              <w:start w:w="110" w:type="dxa"/>
              <w:bottom w:w="90" w:type="dxa"/>
              <w:end w:w="110" w:type="dxa"/>
            </w:tcMar>
          </w:tcPr>
          <w:p>
            <w:pPr>
              <w:spacing w:after="20"/>
            </w:pPr>
            <w:r/>
            <w:r>
              <w:rPr>
                <w:b w:val="0"/>
                <w:sz w:val="18"/>
              </w:rPr>
              <w:t>server/storage.ts</w:t>
            </w:r>
          </w:p>
        </w:tc>
        <w:tc>
          <w:tcPr>
            <w:tcW w:type="dxa" w:w="5184"/>
            <w:vAlign w:val="center"/>
            <w:tcMar>
              <w:top w:w="90" w:type="dxa"/>
              <w:start w:w="110" w:type="dxa"/>
              <w:bottom w:w="90" w:type="dxa"/>
              <w:end w:w="110" w:type="dxa"/>
            </w:tcMar>
          </w:tcPr>
          <w:p>
            <w:pPr>
              <w:spacing w:after="20"/>
            </w:pPr>
            <w:r/>
            <w:r>
              <w:rPr>
                <w:b w:val="0"/>
                <w:sz w:val="18"/>
              </w:rPr>
              <w:t>Operaciones de persistencia.</w:t>
            </w:r>
          </w:p>
        </w:tc>
      </w:tr>
      <w:tr>
        <w:trPr>
          <w:cantSplit/>
        </w:trPr>
        <w:tc>
          <w:tcPr>
            <w:tcW w:type="dxa" w:w="4320"/>
            <w:vAlign w:val="center"/>
            <w:shd w:fill="F0F4F7"/>
            <w:tcMar>
              <w:top w:w="90" w:type="dxa"/>
              <w:start w:w="110" w:type="dxa"/>
              <w:bottom w:w="90" w:type="dxa"/>
              <w:end w:w="110" w:type="dxa"/>
            </w:tcMar>
          </w:tcPr>
          <w:p>
            <w:pPr>
              <w:spacing w:after="20"/>
            </w:pPr>
            <w:r/>
            <w:r>
              <w:rPr>
                <w:b w:val="0"/>
                <w:sz w:val="18"/>
              </w:rPr>
              <w:t>shared/schema.ts y migrations/</w:t>
            </w:r>
          </w:p>
        </w:tc>
        <w:tc>
          <w:tcPr>
            <w:tcW w:type="dxa" w:w="5184"/>
            <w:vAlign w:val="center"/>
            <w:shd w:fill="F0F4F7"/>
            <w:tcMar>
              <w:top w:w="90" w:type="dxa"/>
              <w:start w:w="110" w:type="dxa"/>
              <w:bottom w:w="90" w:type="dxa"/>
              <w:end w:w="110" w:type="dxa"/>
            </w:tcMar>
          </w:tcPr>
          <w:p>
            <w:pPr>
              <w:spacing w:after="20"/>
            </w:pPr>
            <w:r/>
            <w:r>
              <w:rPr>
                <w:b w:val="0"/>
                <w:sz w:val="18"/>
              </w:rPr>
              <w:t>Modelo de datos y evolución del esquema.</w:t>
            </w:r>
          </w:p>
        </w:tc>
      </w:tr>
      <w:tr>
        <w:trPr>
          <w:cantSplit/>
        </w:trPr>
        <w:tc>
          <w:tcPr>
            <w:tcW w:type="dxa" w:w="4320"/>
            <w:vAlign w:val="center"/>
            <w:tcMar>
              <w:top w:w="90" w:type="dxa"/>
              <w:start w:w="110" w:type="dxa"/>
              <w:bottom w:w="90" w:type="dxa"/>
              <w:end w:w="110" w:type="dxa"/>
            </w:tcMar>
          </w:tcPr>
          <w:p>
            <w:pPr>
              <w:spacing w:after="20"/>
            </w:pPr>
            <w:r/>
            <w:r>
              <w:rPr>
                <w:b w:val="0"/>
                <w:sz w:val="18"/>
              </w:rPr>
              <w:t>docs/</w:t>
            </w:r>
          </w:p>
        </w:tc>
        <w:tc>
          <w:tcPr>
            <w:tcW w:type="dxa" w:w="5184"/>
            <w:vAlign w:val="center"/>
            <w:tcMar>
              <w:top w:w="90" w:type="dxa"/>
              <w:start w:w="110" w:type="dxa"/>
              <w:bottom w:w="90" w:type="dxa"/>
              <w:end w:w="110" w:type="dxa"/>
            </w:tcMar>
          </w:tcPr>
          <w:p>
            <w:pPr>
              <w:spacing w:after="20"/>
            </w:pPr>
            <w:r/>
            <w:r>
              <w:rPr>
                <w:b w:val="0"/>
                <w:sz w:val="18"/>
              </w:rPr>
              <w:t>Manual técnico y operativo, catálogos, auditorías y bitácora.</w:t>
            </w:r>
          </w:p>
        </w:tc>
      </w:tr>
    </w:tbl>
    <w:p>
      <w:pPr>
        <w:spacing w:after="20"/>
      </w:pPr>
    </w:p>
    <w:p>
      <w:r>
        <w:t>La documentación complementaria está en docs/README.md. Incluye vista general, flujos clave, modelo de datos, seguridad, desarrollo local, configuración, endpoints y catálogo funcional.</w:t>
      </w:r>
    </w:p>
    <w:p>
      <w:pPr>
        <w:pStyle w:val="Heading1"/>
      </w:pPr>
      <w:r>
        <w:t>10. Historial de actualización</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016"/>
            <w:vAlign w:val="center"/>
            <w:shd w:fill="17324D"/>
            <w:tcMar>
              <w:top w:w="90" w:type="dxa"/>
              <w:start w:w="110" w:type="dxa"/>
              <w:bottom w:w="90" w:type="dxa"/>
              <w:end w:w="110" w:type="dxa"/>
            </w:tcMar>
          </w:tcPr>
          <w:p>
            <w:pPr>
              <w:spacing w:after="20"/>
            </w:pPr>
            <w:r/>
            <w:r>
              <w:rPr>
                <w:b/>
                <w:color w:val="FFFFFF"/>
                <w:sz w:val="18"/>
              </w:rPr>
              <w:t>Fecha</w:t>
            </w:r>
          </w:p>
        </w:tc>
        <w:tc>
          <w:tcPr>
            <w:tcW w:type="dxa" w:w="1008"/>
            <w:vAlign w:val="center"/>
            <w:shd w:fill="17324D"/>
            <w:tcMar>
              <w:top w:w="90" w:type="dxa"/>
              <w:start w:w="110" w:type="dxa"/>
              <w:bottom w:w="90" w:type="dxa"/>
              <w:end w:w="110" w:type="dxa"/>
            </w:tcMar>
          </w:tcPr>
          <w:p>
            <w:pPr>
              <w:spacing w:after="20"/>
            </w:pPr>
            <w:r/>
            <w:r>
              <w:rPr>
                <w:b/>
                <w:color w:val="FFFFFF"/>
                <w:sz w:val="18"/>
              </w:rPr>
              <w:t>Versión</w:t>
            </w:r>
          </w:p>
        </w:tc>
        <w:tc>
          <w:tcPr>
            <w:tcW w:type="dxa" w:w="6480"/>
            <w:vAlign w:val="center"/>
            <w:shd w:fill="17324D"/>
            <w:tcMar>
              <w:top w:w="90" w:type="dxa"/>
              <w:start w:w="110" w:type="dxa"/>
              <w:bottom w:w="90" w:type="dxa"/>
              <w:end w:w="110" w:type="dxa"/>
            </w:tcMar>
          </w:tcPr>
          <w:p>
            <w:pPr>
              <w:spacing w:after="20"/>
            </w:pPr>
            <w:r/>
            <w:r>
              <w:rPr>
                <w:b/>
                <w:color w:val="FFFFFF"/>
                <w:sz w:val="18"/>
              </w:rPr>
              <w:t>Actualización</w:t>
            </w:r>
          </w:p>
        </w:tc>
      </w:tr>
      <w:tr>
        <w:trPr>
          <w:cantSplit/>
        </w:trPr>
        <w:tc>
          <w:tcPr>
            <w:tcW w:type="dxa" w:w="2016"/>
            <w:vAlign w:val="center"/>
            <w:tcMar>
              <w:top w:w="90" w:type="dxa"/>
              <w:start w:w="110" w:type="dxa"/>
              <w:bottom w:w="90" w:type="dxa"/>
              <w:end w:w="110" w:type="dxa"/>
            </w:tcMar>
          </w:tcPr>
          <w:p>
            <w:pPr>
              <w:spacing w:after="20"/>
            </w:pPr>
            <w:r/>
            <w:r>
              <w:rPr>
                <w:b w:val="0"/>
                <w:sz w:val="18"/>
              </w:rPr>
              <w:t>21 de octubre de 2026</w:t>
            </w:r>
          </w:p>
        </w:tc>
        <w:tc>
          <w:tcPr>
            <w:tcW w:type="dxa" w:w="1008"/>
            <w:vAlign w:val="center"/>
            <w:tcMar>
              <w:top w:w="90" w:type="dxa"/>
              <w:start w:w="110" w:type="dxa"/>
              <w:bottom w:w="90" w:type="dxa"/>
              <w:end w:w="110" w:type="dxa"/>
            </w:tcMar>
          </w:tcPr>
          <w:p>
            <w:pPr>
              <w:spacing w:after="20"/>
            </w:pPr>
            <w:r/>
            <w:r>
              <w:rPr>
                <w:b w:val="0"/>
                <w:sz w:val="18"/>
              </w:rPr>
              <w:t>1.0</w:t>
            </w:r>
          </w:p>
        </w:tc>
        <w:tc>
          <w:tcPr>
            <w:tcW w:type="dxa" w:w="6480"/>
            <w:vAlign w:val="center"/>
            <w:tcMar>
              <w:top w:w="90" w:type="dxa"/>
              <w:start w:w="110" w:type="dxa"/>
              <w:bottom w:w="90" w:type="dxa"/>
              <w:end w:w="110" w:type="dxa"/>
            </w:tcMar>
          </w:tcPr>
          <w:p>
            <w:pPr>
              <w:spacing w:after="20"/>
            </w:pPr>
            <w:r/>
            <w:r>
              <w:rPr>
                <w:b w:val="0"/>
                <w:sz w:val="18"/>
              </w:rPr>
              <w:t>Emisión de la especificación oficial consolidada. Se incorporó la navegación diferenciada por rol, “Revisar entregas” para docentes y la visibilidad condicional de “Mi Grupo”.</w:t>
            </w:r>
          </w:p>
        </w:tc>
      </w:tr>
    </w:tbl>
    <w:p>
      <w:pPr>
        <w:spacing w:after="20"/>
      </w:pPr>
    </w:p>
    <w:p>
      <w:r>
        <w:t>Al introducir una función nueva, actualizar esta especificación cuando afecte arquitectura, roles, módulos, integraciones, datos o despliegue. Registrar el mismo cambio con fecha en docs/operations/bitacora.md y enlazar el documento vigente desde docs/README.md.</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Documento vivo · Versión 1.0 · 21 de octubre de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5F6C7D"/>
      </w:rPr>
      <w:t>EDUNEXUS  |  ESPECIFICACIÓN TÉCNICA Y FUNCIONAL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A31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24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47D82"/>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4243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24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EduNexus Especificación técnica y funcional</dc:title>
  <dc:subject>Arquitectura, módulos, roles, integraciones y datos de EduNexus</dc:subject>
  <dc:creator>Proyecto EduNexus</dc:creator>
  <cp:keywords>EduNexus, especificación, arquitectura, documentación</cp:keywords>
  <dc:description>generated by python-docx</dc:description>
  <cp:lastModifiedBy/>
  <cp:revision>1</cp:revision>
  <dcterms:created xsi:type="dcterms:W3CDTF">2013-12-23T23:15:00Z</dcterms:created>
  <dcterms:modified xsi:type="dcterms:W3CDTF">2013-12-23T23:15:00Z</dcterms:modified>
  <cp:category/>
</cp:coreProperties>
</file>