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1.9</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 Libro consolidado docente para captura individual por materia, grupo y periodo del año académico activo. Asistencia diaria e historial de los últimos 30 días con conteos de ausencias, tardanzas y excusas por estudiante. El tablón registra destinatarios activos por publicación y marca la primera lectura de cada estudiante; el docente y personal autorizado ven el estado nominal.</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 El endpoint /api/gradebook/teacher/workspace limita lectura y escritura a asignaciones, matrículas y periodos de la institución del docente; las modificaciones generan eventos de auditoría. GET /api/classroom/courses/:id/attendance/history limita rangos a 90 días y restringe estudiantes a sus propios registros. Las entregas y lecturas se guardan en course_post_recipients con unicidad por publicación y usuario. La consulta de estados nominales se limita a los roles docentes y de gestión autorizados; los estudiantes no ven la actividad de sus compañeros.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r>
              <w:t>Notificaciones dentro de la aplicación, push, eventos, asesorías y agenda académica unificada. El calendario integra clases recurrentes, fechas de entrega y eventos institucionales, con filtros por tipo y filtros de curso/grupo para actividades y horarios.</w:t>
            </w:r>
          </w:p>
        </w:tc>
        <w:tc>
          <w:tcPr>
            <w:tcW w:type="dxa" w:w="4104"/>
            <w:vAlign w:val="center"/>
            <w:shd w:fill="F0F4F7"/>
            <w:tcMar>
              <w:top w:w="90" w:type="dxa"/>
              <w:start w:w="110" w:type="dxa"/>
              <w:bottom w:w="90" w:type="dxa"/>
              <w:end w:w="110" w:type="dxa"/>
            </w:tcMar>
          </w:tcPr>
          <w:p>
            <w:r>
              <w:t>PostgreSQL; Web Push depende de claves VAPID. El calendario consulta /api/events, /api/classroom/my-activities y /api/admin/schedules; cada ruta conserva el ámbito institucional y aplica restricciones por rol. Los eventos permanecen institucionales porque el modelo actual no los asocia a aulas. Los filtros son de presentación y no amplían los datos que entrega el servidor.</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r>
        <w:tc>
          <w:tcPr>
            <w:tcW w:type="dxa" w:w="3331"/>
          </w:tcPr>
          <w:p>
            <w:r>
              <w:t>22 de octubre de 2026</w:t>
            </w:r>
          </w:p>
        </w:tc>
        <w:tc>
          <w:tcPr>
            <w:tcW w:type="dxa" w:w="3331"/>
          </w:tcPr>
          <w:p>
            <w:r>
              <w:t>1.5</w:t>
            </w:r>
          </w:p>
        </w:tc>
        <w:tc>
          <w:tcPr>
            <w:tcW w:type="dxa" w:w="3331"/>
          </w:tcPr>
          <w:p>
            <w:r>
              <w:t>Se añadió captura docente de notas consolidadas por grupo y materia asignados, periodo del año activo y matrícula vigente; se registra nota previa/nueva en audit_logs.</w:t>
            </w:r>
          </w:p>
        </w:tc>
      </w:tr>
      <w:tr>
        <w:tc>
          <w:tcPr>
            <w:tcW w:type="dxa" w:w="3331"/>
          </w:tcPr>
          <w:p>
            <w:r>
              <w:t>22 de octubre de 2026</w:t>
            </w:r>
          </w:p>
        </w:tc>
        <w:tc>
          <w:tcPr>
            <w:tcW w:type="dxa" w:w="3331"/>
          </w:tcPr>
          <w:p>
            <w:r>
              <w:t>1.6</w:t>
            </w:r>
          </w:p>
        </w:tc>
        <w:tc>
          <w:tcPr>
            <w:tcW w:type="dxa" w:w="3331"/>
          </w:tcPr>
          <w:p>
            <w:r>
              <w:t>Se agregó el resumen de historial de asistencia por estudiante para 30 días y una API con autorización por curso, institución y propietario del registro.</w:t>
            </w:r>
          </w:p>
        </w:tc>
      </w:tr>
      <w:tr>
        <w:tc>
          <w:tcPr>
            <w:tcW w:type="dxa" w:w="3331"/>
          </w:tcPr>
          <w:p>
            <w:r>
              <w:rPr>
                <w:sz w:val="16"/>
              </w:rPr>
              <w:t>22 de octubre de 2026</w:t>
            </w:r>
          </w:p>
        </w:tc>
        <w:tc>
          <w:tcPr>
            <w:tcW w:type="dxa" w:w="3331"/>
          </w:tcPr>
          <w:p>
            <w:r>
              <w:rPr>
                <w:sz w:val="16"/>
              </w:rPr>
              <w:t>1.7</w:t>
            </w:r>
          </w:p>
        </w:tc>
        <w:tc>
          <w:tcPr>
            <w:tcW w:type="dxa" w:w="3331"/>
          </w:tcPr>
          <w:p>
            <w:r>
              <w:rPr>
                <w:sz w:val="16"/>
              </w:rPr>
              <w:t>Se añadieron filtros independientes para eventos y asesorías, entregas y clases en el calendario integrado. Las fuentes existentes conservan autorización por institución y rol.</w:t>
            </w:r>
          </w:p>
        </w:tc>
      </w:tr>
      <w:tr>
        <w:tc>
          <w:tcPr>
            <w:tcW w:type="dxa" w:w="3331"/>
          </w:tcPr>
          <w:p>
            <w:r>
              <w:t>22 de octubre de 2026</w:t>
            </w:r>
          </w:p>
        </w:tc>
        <w:tc>
          <w:tcPr>
            <w:tcW w:type="dxa" w:w="3331"/>
          </w:tcPr>
          <w:p>
            <w:r>
              <w:t>1.8</w:t>
            </w:r>
          </w:p>
        </w:tc>
        <w:tc>
          <w:tcPr>
            <w:tcW w:type="dxa" w:w="3331"/>
          </w:tcPr>
          <w:p>
            <w:r>
              <w:t>Se completaron filtros por tipo, curso y grupo en la agenda académica integrada. Los eventos continúan como institucionales y no se asocian a aulas.</w:t>
            </w:r>
          </w:p>
        </w:tc>
      </w:tr>
      <w:tr>
        <w:tc>
          <w:tcPr>
            <w:tcW w:type="dxa" w:w="3331"/>
          </w:tcPr>
          <w:p>
            <w:r>
              <w:t>22 de octubre de 2026</w:t>
            </w:r>
          </w:p>
        </w:tc>
        <w:tc>
          <w:tcPr>
            <w:tcW w:type="dxa" w:w="3331"/>
          </w:tcPr>
          <w:p>
            <w:r>
              <w:t>1.9</w:t>
            </w:r>
          </w:p>
        </w:tc>
        <w:tc>
          <w:tcPr>
            <w:tcW w:type="dxa" w:w="3331"/>
          </w:tcPr>
          <w:p>
            <w:r>
              <w:t>Se añadió seguimiento nominal de destinatarios y primera lectura en anuncios de aula con permisos por curso e institución.</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