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C2C6F">
      <w:pPr>
        <w:spacing w:before="400" w:after="200"/>
        <w:jc w:val="center"/>
      </w:pPr>
      <w:r>
        <w:drawing>
          <wp:anchor distT="0" distB="0" distL="114300" distR="114300" simplePos="0" relativeHeight="251660288" behindDoc="0" locked="0" layoutInCell="1" allowOverlap="1">
            <wp:simplePos x="0" y="0"/>
            <wp:positionH relativeFrom="margin">
              <wp:posOffset>4043680</wp:posOffset>
            </wp:positionH>
            <wp:positionV relativeFrom="paragraph">
              <wp:posOffset>131445</wp:posOffset>
            </wp:positionV>
            <wp:extent cx="1823085" cy="766445"/>
            <wp:effectExtent l="0" t="0" r="5715" b="20955"/>
            <wp:wrapTopAndBottom/>
            <wp:docPr id="1" name="Picture 2" descr="A black background with green trees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background with green trees and red text&#10;&#10;Description automatically generated"/>
                    <pic:cNvPicPr>
                      <a:picLocks noChangeAspect="1"/>
                    </pic:cNvPicPr>
                  </pic:nvPicPr>
                  <pic:blipFill>
                    <a:blip r:embed="rId4"/>
                    <a:stretch>
                      <a:fillRect/>
                    </a:stretch>
                  </pic:blipFill>
                  <pic:spPr>
                    <a:xfrm>
                      <a:off x="0" y="0"/>
                      <a:ext cx="1823085" cy="76644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posOffset>-43815</wp:posOffset>
            </wp:positionH>
            <wp:positionV relativeFrom="paragraph">
              <wp:posOffset>131445</wp:posOffset>
            </wp:positionV>
            <wp:extent cx="1638300" cy="652780"/>
            <wp:effectExtent l="0" t="0" r="12700" b="7620"/>
            <wp:wrapTopAndBottom/>
            <wp:docPr id="2" name="Picture 1" descr="A logo with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tree&#10;&#10;Description automatically generated"/>
                    <pic:cNvPicPr>
                      <a:picLocks noChangeAspect="1"/>
                    </pic:cNvPicPr>
                  </pic:nvPicPr>
                  <pic:blipFill>
                    <a:blip r:embed="rId5"/>
                    <a:srcRect t="25171" b="34930"/>
                    <a:stretch>
                      <a:fillRect/>
                    </a:stretch>
                  </pic:blipFill>
                  <pic:spPr>
                    <a:xfrm>
                      <a:off x="0" y="0"/>
                      <a:ext cx="1638300" cy="652780"/>
                    </a:xfrm>
                    <a:prstGeom prst="rect">
                      <a:avLst/>
                    </a:prstGeom>
                    <a:noFill/>
                    <a:ln>
                      <a:noFill/>
                    </a:ln>
                  </pic:spPr>
                </pic:pic>
              </a:graphicData>
            </a:graphic>
          </wp:anchor>
        </w:drawing>
      </w:r>
    </w:p>
    <w:p w14:paraId="525BC2FB">
      <w:pPr>
        <w:spacing w:before="400" w:after="200"/>
        <w:jc w:val="center"/>
      </w:pPr>
      <w:r>
        <w:rPr>
          <w:rFonts w:ascii="Arial" w:hAnsi="Arial" w:eastAsia="Arial" w:cs="Arial"/>
          <w:b/>
          <w:bCs/>
          <w:sz w:val="36"/>
          <w:szCs w:val="36"/>
        </w:rPr>
        <w:t>Documento técnico ArbolSAF</w:t>
      </w:r>
    </w:p>
    <w:p w14:paraId="0448CFF1">
      <w:pPr>
        <w:spacing w:before="0" w:after="100"/>
        <w:jc w:val="center"/>
      </w:pPr>
      <w:r>
        <w:rPr>
          <w:rFonts w:ascii="Arial" w:hAnsi="Arial" w:eastAsia="Arial" w:cs="Arial"/>
          <w:b/>
          <w:bCs/>
          <w:color w:val="CC0000"/>
          <w:sz w:val="22"/>
          <w:szCs w:val="22"/>
        </w:rPr>
        <w:t>SOLO USO INTERNO — NO DISTRIBUIR</w:t>
      </w:r>
    </w:p>
    <w:p w14:paraId="0C0CEB6A">
      <w:pPr>
        <w:spacing w:before="0" w:after="400"/>
        <w:jc w:val="center"/>
      </w:pPr>
      <w:r>
        <w:rPr>
          <w:rFonts w:ascii="Arial" w:hAnsi="Arial" w:eastAsia="Arial" w:cs="Arial"/>
          <w:i/>
          <w:iCs/>
          <w:color w:val="555555"/>
          <w:sz w:val="20"/>
          <w:szCs w:val="20"/>
        </w:rPr>
        <w:t>Este documento no debe ser compartido, es solo para uso interno del equipo ArbolSAF</w:t>
      </w:r>
    </w:p>
    <w:p w14:paraId="08C8DB36">
      <w:pPr>
        <w:spacing w:before="80" w:after="80"/>
      </w:pPr>
      <w:r>
        <w:rPr>
          <w:rFonts w:ascii="Arial" w:hAnsi="Arial" w:eastAsia="Arial" w:cs="Arial"/>
          <w:sz w:val="22"/>
          <w:szCs w:val="22"/>
        </w:rPr>
        <w:t>Elaborado por: Ernesto Ruiz Rodríguez (Desarrollador DENEB)</w:t>
      </w:r>
    </w:p>
    <w:p w14:paraId="618BE5A9">
      <w:pPr>
        <w:spacing w:before="80" w:after="80"/>
        <w:rPr>
          <w:rFonts w:ascii="Arial" w:hAnsi="Arial" w:eastAsia="Arial" w:cs="Arial"/>
          <w:sz w:val="22"/>
          <w:szCs w:val="22"/>
        </w:rPr>
      </w:pPr>
      <w:r>
        <w:rPr>
          <w:rFonts w:ascii="Arial" w:hAnsi="Arial" w:eastAsia="Arial" w:cs="Arial"/>
          <w:sz w:val="22"/>
          <w:szCs w:val="22"/>
        </w:rPr>
        <w:t>Revisado por: Geovana Carreño R.</w:t>
      </w:r>
    </w:p>
    <w:p w14:paraId="793C9EB0">
      <w:pPr>
        <w:spacing w:before="80" w:after="80"/>
        <w:rPr>
          <w:rFonts w:hint="default" w:ascii="Arial" w:hAnsi="Arial" w:eastAsia="Arial" w:cs="Arial"/>
          <w:sz w:val="22"/>
          <w:szCs w:val="22"/>
          <w:lang w:val="en-US"/>
        </w:rPr>
      </w:pPr>
      <w:r>
        <w:rPr>
          <w:rFonts w:hint="default" w:cs="Arial"/>
          <w:sz w:val="22"/>
          <w:szCs w:val="22"/>
          <w:lang w:val="en-US"/>
        </w:rPr>
        <w:t>Actualizado por: Arian Milanes Garcia</w:t>
      </w:r>
    </w:p>
    <w:p w14:paraId="1DB7D7EB">
      <w:pPr>
        <w:spacing w:before="80" w:after="80"/>
      </w:pPr>
      <w:r>
        <w:rPr>
          <w:rFonts w:hint="default" w:cs="Arial"/>
          <w:sz w:val="22"/>
          <w:szCs w:val="22"/>
          <w:lang w:val="en-US"/>
        </w:rPr>
        <w:t>Fecha</w:t>
      </w:r>
      <w:r>
        <w:rPr>
          <w:rFonts w:ascii="Arial" w:hAnsi="Arial" w:eastAsia="Arial" w:cs="Arial"/>
          <w:sz w:val="22"/>
          <w:szCs w:val="22"/>
        </w:rPr>
        <w:t>: Ju</w:t>
      </w:r>
      <w:r>
        <w:rPr>
          <w:rFonts w:hint="default" w:cs="Arial"/>
          <w:sz w:val="22"/>
          <w:szCs w:val="22"/>
          <w:lang w:val="en-US"/>
        </w:rPr>
        <w:t>n</w:t>
      </w:r>
      <w:bookmarkStart w:id="0" w:name="_GoBack"/>
      <w:bookmarkEnd w:id="0"/>
      <w:r>
        <w:rPr>
          <w:rFonts w:ascii="Arial" w:hAnsi="Arial" w:eastAsia="Arial" w:cs="Arial"/>
          <w:sz w:val="22"/>
          <w:szCs w:val="22"/>
        </w:rPr>
        <w:t>io 2026</w:t>
      </w:r>
    </w:p>
    <w:p w14:paraId="260EB6E3">
      <w:pPr>
        <w:spacing w:before="0" w:after="300"/>
      </w:pPr>
    </w:p>
    <w:p w14:paraId="3EE0F940">
      <w:pPr>
        <w:pStyle w:val="2"/>
        <w:spacing w:before="300" w:after="150"/>
      </w:pPr>
      <w:r>
        <w:rPr>
          <w:rFonts w:ascii="Arial" w:hAnsi="Arial" w:eastAsia="Arial" w:cs="Arial"/>
          <w:b/>
          <w:bCs/>
          <w:sz w:val="28"/>
          <w:szCs w:val="28"/>
        </w:rPr>
        <w:t>1. Stack tecnológico y librerías</w:t>
      </w:r>
    </w:p>
    <w:p w14:paraId="3685F6D1">
      <w:pPr>
        <w:spacing w:before="80" w:after="80"/>
        <w:rPr>
          <w:rFonts w:hint="default"/>
          <w:lang w:val="en-US"/>
        </w:rPr>
      </w:pPr>
      <w:r>
        <w:rPr>
          <w:rFonts w:ascii="Arial" w:hAnsi="Arial" w:eastAsia="Arial" w:cs="Arial"/>
          <w:sz w:val="22"/>
          <w:szCs w:val="22"/>
        </w:rPr>
        <w:t>El sistema ArbolSAF (plataforma de datos y Herramienta de evaluación agroforestal) está desarrollado en Python con el framework Django, usando PostgreSQL + PostGIS como gestor de base de datos.</w:t>
      </w:r>
      <w:r>
        <w:rPr>
          <w:rFonts w:hint="default" w:cs="Arial"/>
          <w:sz w:val="22"/>
          <w:szCs w:val="22"/>
          <w:lang w:val="en-US"/>
        </w:rPr>
        <w:t xml:space="preserve"> </w:t>
      </w:r>
      <w:r>
        <w:rPr>
          <w:lang w:val="es-ES"/>
        </w:rPr>
        <w:t>Otras librerías utilizadas en el proyecto (y su utilidad dentro del mismo) son listadas a continuación:</w:t>
      </w:r>
    </w:p>
    <w:p w14:paraId="2942C374">
      <w:pPr>
        <w:spacing w:before="0" w:after="12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2"/>
        <w:gridCol w:w="1693"/>
        <w:gridCol w:w="5575"/>
      </w:tblGrid>
      <w:tr w14:paraId="26C5D21C">
        <w:trPr>
          <w:tblHeader/>
        </w:trPr>
        <w:tc>
          <w:tcPr>
            <w:tcBorders>
              <w:top w:val="single" w:color="2E7D32" w:sz="2" w:space="0"/>
              <w:left w:val="single" w:color="CCCCCC" w:sz="0" w:space="0"/>
              <w:bottom w:val="single" w:color="2E7D32" w:sz="2" w:space="0"/>
              <w:right w:val="single" w:color="CCCCCC" w:sz="0" w:space="0"/>
            </w:tcBorders>
            <w:shd w:val="clear" w:color="auto" w:fill="2E7D32"/>
            <w:tcMar>
              <w:top w:w="80" w:type="dxa"/>
              <w:left w:w="100" w:type="dxa"/>
              <w:bottom w:w="80" w:type="dxa"/>
              <w:right w:w="100" w:type="dxa"/>
            </w:tcMar>
          </w:tcPr>
          <w:p w14:paraId="7AA041F4">
            <w:r>
              <w:rPr>
                <w:rFonts w:ascii="Arial" w:hAnsi="Arial" w:eastAsia="Arial" w:cs="Arial"/>
                <w:b/>
                <w:bCs/>
                <w:color w:val="FFFFFF"/>
                <w:sz w:val="20"/>
                <w:szCs w:val="20"/>
              </w:rPr>
              <w:t>Librería / Componente</w:t>
            </w:r>
          </w:p>
        </w:tc>
        <w:tc>
          <w:tcPr>
            <w:tcBorders>
              <w:top w:val="single" w:color="2E7D32" w:sz="2" w:space="0"/>
              <w:left w:val="single" w:color="CCCCCC" w:sz="0" w:space="0"/>
              <w:bottom w:val="single" w:color="2E7D32" w:sz="2" w:space="0"/>
              <w:right w:val="single" w:color="CCCCCC" w:sz="0" w:space="0"/>
            </w:tcBorders>
            <w:shd w:val="clear" w:color="auto" w:fill="2E7D32"/>
            <w:tcMar>
              <w:top w:w="80" w:type="dxa"/>
              <w:left w:w="100" w:type="dxa"/>
              <w:bottom w:w="80" w:type="dxa"/>
              <w:right w:w="100" w:type="dxa"/>
            </w:tcMar>
          </w:tcPr>
          <w:p w14:paraId="5F5E9078">
            <w:r>
              <w:rPr>
                <w:rFonts w:ascii="Arial" w:hAnsi="Arial" w:eastAsia="Arial" w:cs="Arial"/>
                <w:b/>
                <w:bCs/>
                <w:color w:val="FFFFFF"/>
                <w:sz w:val="20"/>
                <w:szCs w:val="20"/>
              </w:rPr>
              <w:t>Versión</w:t>
            </w:r>
          </w:p>
        </w:tc>
        <w:tc>
          <w:tcPr>
            <w:tcBorders>
              <w:top w:val="single" w:color="2E7D32" w:sz="2" w:space="0"/>
              <w:left w:val="single" w:color="CCCCCC" w:sz="0" w:space="0"/>
              <w:bottom w:val="single" w:color="2E7D32" w:sz="2" w:space="0"/>
              <w:right w:val="single" w:color="CCCCCC" w:sz="0" w:space="0"/>
            </w:tcBorders>
            <w:shd w:val="clear" w:color="auto" w:fill="2E7D32"/>
            <w:tcMar>
              <w:top w:w="80" w:type="dxa"/>
              <w:left w:w="100" w:type="dxa"/>
              <w:bottom w:w="80" w:type="dxa"/>
              <w:right w:w="100" w:type="dxa"/>
            </w:tcMar>
          </w:tcPr>
          <w:p w14:paraId="604E8688">
            <w:r>
              <w:rPr>
                <w:rFonts w:ascii="Arial" w:hAnsi="Arial" w:eastAsia="Arial" w:cs="Arial"/>
                <w:b/>
                <w:bCs/>
                <w:color w:val="FFFFFF"/>
                <w:sz w:val="20"/>
                <w:szCs w:val="20"/>
              </w:rPr>
              <w:t>Uso en el proyecto</w:t>
            </w:r>
          </w:p>
        </w:tc>
      </w:tr>
      <w:tr w14:paraId="67989D98">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43AFA700">
            <w:r>
              <w:rPr>
                <w:rFonts w:ascii="Arial" w:hAnsi="Arial" w:eastAsia="Arial" w:cs="Arial"/>
                <w:b/>
                <w:bCs/>
                <w:sz w:val="20"/>
                <w:szCs w:val="20"/>
              </w:rPr>
              <w:t>Django</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A59127">
            <w:r>
              <w:rPr>
                <w:rFonts w:ascii="Arial" w:hAnsi="Arial" w:eastAsia="Arial" w:cs="Arial"/>
                <w:b w:val="0"/>
                <w:bCs w:val="0"/>
                <w:sz w:val="20"/>
                <w:szCs w:val="20"/>
              </w:rPr>
              <w:t>3.2.6 (LTS, EOL abr 2024)</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EAE1AF">
            <w:r>
              <w:rPr>
                <w:rFonts w:ascii="Arial" w:hAnsi="Arial" w:eastAsia="Arial" w:cs="Arial"/>
                <w:b w:val="0"/>
                <w:bCs w:val="0"/>
                <w:sz w:val="20"/>
                <w:szCs w:val="20"/>
              </w:rPr>
              <w:t>Framework web principal</w:t>
            </w:r>
          </w:p>
        </w:tc>
      </w:tr>
      <w:tr w14:paraId="1D783203">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24AA1C5E">
            <w:r>
              <w:rPr>
                <w:rFonts w:ascii="Arial" w:hAnsi="Arial" w:eastAsia="Arial" w:cs="Arial"/>
                <w:b/>
                <w:bCs/>
                <w:sz w:val="20"/>
                <w:szCs w:val="20"/>
              </w:rPr>
              <w:t>Python</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FDC26A">
            <w:r>
              <w:rPr>
                <w:rFonts w:ascii="Arial" w:hAnsi="Arial" w:eastAsia="Arial" w:cs="Arial"/>
                <w:b w:val="0"/>
                <w:bCs w:val="0"/>
                <w:sz w:val="20"/>
                <w:szCs w:val="20"/>
              </w:rPr>
              <w:t>3.10.12</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BD01AD">
            <w:r>
              <w:rPr>
                <w:rFonts w:ascii="Arial" w:hAnsi="Arial" w:eastAsia="Arial" w:cs="Arial"/>
                <w:b w:val="0"/>
                <w:bCs w:val="0"/>
                <w:sz w:val="20"/>
                <w:szCs w:val="20"/>
              </w:rPr>
              <w:t>Lenguaje de programación</w:t>
            </w:r>
          </w:p>
        </w:tc>
      </w:tr>
      <w:tr w14:paraId="4CB05453">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6C38B38C">
            <w:r>
              <w:rPr>
                <w:rFonts w:ascii="Arial" w:hAnsi="Arial" w:eastAsia="Arial" w:cs="Arial"/>
                <w:b/>
                <w:bCs/>
                <w:sz w:val="20"/>
                <w:szCs w:val="20"/>
              </w:rPr>
              <w:t>PostgreSQL + PostGIS</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294723">
            <w:r>
              <w:rPr>
                <w:rFonts w:ascii="Arial" w:hAnsi="Arial" w:eastAsia="Arial" w:cs="Arial"/>
                <w:b w:val="0"/>
                <w:bCs w:val="0"/>
                <w:sz w:val="20"/>
                <w:szCs w:val="20"/>
              </w:rPr>
              <w:t>14.9.0</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7893E7">
            <w:r>
              <w:rPr>
                <w:rFonts w:ascii="Arial" w:hAnsi="Arial" w:eastAsia="Arial" w:cs="Arial"/>
                <w:b w:val="0"/>
                <w:bCs w:val="0"/>
                <w:sz w:val="20"/>
                <w:szCs w:val="20"/>
              </w:rPr>
              <w:t>Base de datos relacional con soporte geoespacial</w:t>
            </w:r>
          </w:p>
        </w:tc>
      </w:tr>
      <w:tr w14:paraId="4E69CF31">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98DDD84">
            <w:r>
              <w:rPr>
                <w:rFonts w:ascii="Arial" w:hAnsi="Arial" w:eastAsia="Arial" w:cs="Arial"/>
                <w:b/>
                <w:bCs/>
                <w:sz w:val="20"/>
                <w:szCs w:val="20"/>
              </w:rPr>
              <w:t>django-computedfields</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51C93D">
            <w:r>
              <w:rPr>
                <w:rFonts w:ascii="Arial" w:hAnsi="Arial" w:eastAsia="Arial" w:cs="Arial"/>
                <w:b w:val="0"/>
                <w:bCs w:val="0"/>
                <w:sz w:val="20"/>
                <w:szCs w:val="20"/>
              </w:rPr>
              <w:t>0.2.2</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536A35">
            <w:r>
              <w:rPr>
                <w:rFonts w:ascii="Arial" w:hAnsi="Arial" w:eastAsia="Arial" w:cs="Arial"/>
                <w:b w:val="0"/>
                <w:bCs w:val="0"/>
                <w:sz w:val="20"/>
                <w:szCs w:val="20"/>
              </w:rPr>
              <w:t>Cálculo automático de campos derivados en BD (IVIM, valor_madera, etc.)</w:t>
            </w:r>
          </w:p>
        </w:tc>
      </w:tr>
      <w:tr w14:paraId="46FFCB77">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5A013B1E">
            <w:r>
              <w:rPr>
                <w:rFonts w:ascii="Arial" w:hAnsi="Arial" w:eastAsia="Arial" w:cs="Arial"/>
                <w:b/>
                <w:bCs/>
                <w:sz w:val="20"/>
                <w:szCs w:val="20"/>
              </w:rPr>
              <w:t>django-import-export</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107D39">
            <w:r>
              <w:rPr>
                <w:rFonts w:ascii="Arial" w:hAnsi="Arial" w:eastAsia="Arial" w:cs="Arial"/>
                <w:b w:val="0"/>
                <w:bCs w:val="0"/>
                <w:sz w:val="20"/>
                <w:szCs w:val="20"/>
              </w:rPr>
              <w:t>3.0.1</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4DD49D">
            <w:r>
              <w:rPr>
                <w:rFonts w:ascii="Arial" w:hAnsi="Arial" w:eastAsia="Arial" w:cs="Arial"/>
                <w:b w:val="0"/>
                <w:bCs w:val="0"/>
                <w:sz w:val="20"/>
                <w:szCs w:val="20"/>
              </w:rPr>
              <w:t>Importación y exportación de entidades a CSV/Excel desde el admin</w:t>
            </w:r>
          </w:p>
        </w:tc>
      </w:tr>
      <w:tr w14:paraId="69098EB8">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38E362B7">
            <w:r>
              <w:rPr>
                <w:rFonts w:ascii="Arial" w:hAnsi="Arial" w:eastAsia="Arial" w:cs="Arial"/>
                <w:b/>
                <w:bCs/>
                <w:sz w:val="20"/>
                <w:szCs w:val="20"/>
              </w:rPr>
              <w:t>django-wkhtmltopdf</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BB6A8A">
            <w:r>
              <w:rPr>
                <w:rFonts w:ascii="Arial" w:hAnsi="Arial" w:eastAsia="Arial" w:cs="Arial"/>
                <w:b w:val="0"/>
                <w:bCs w:val="0"/>
                <w:sz w:val="20"/>
                <w:szCs w:val="20"/>
              </w:rPr>
              <w:t>3.4.0</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A87825">
            <w:r>
              <w:rPr>
                <w:rFonts w:ascii="Arial" w:hAnsi="Arial" w:eastAsia="Arial" w:cs="Arial"/>
                <w:b w:val="0"/>
                <w:bCs w:val="0"/>
                <w:sz w:val="20"/>
                <w:szCs w:val="20"/>
              </w:rPr>
              <w:t>Generación del reporte PDF de la herramienta</w:t>
            </w:r>
          </w:p>
        </w:tc>
      </w:tr>
      <w:tr w14:paraId="4791630F">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00098E1B">
            <w:r>
              <w:rPr>
                <w:rFonts w:ascii="Arial" w:hAnsi="Arial" w:eastAsia="Arial" w:cs="Arial"/>
                <w:b/>
                <w:bCs/>
                <w:sz w:val="20"/>
                <w:szCs w:val="20"/>
              </w:rPr>
              <w:t>wkhtmltopdf</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E286E2">
            <w:r>
              <w:rPr>
                <w:rFonts w:ascii="Arial" w:hAnsi="Arial" w:eastAsia="Arial" w:cs="Arial"/>
                <w:b w:val="0"/>
                <w:bCs w:val="0"/>
                <w:sz w:val="20"/>
                <w:szCs w:val="20"/>
              </w:rPr>
              <w:t>0.12.5 (wkhtmltox)</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35EAC5">
            <w:r>
              <w:rPr>
                <w:rFonts w:ascii="Arial" w:hAnsi="Arial" w:eastAsia="Arial" w:cs="Arial"/>
                <w:b w:val="0"/>
                <w:bCs w:val="0"/>
                <w:sz w:val="20"/>
                <w:szCs w:val="20"/>
              </w:rPr>
              <w:t>Binario del motor de renderizado PDF (debe instalarse en el servidor)</w:t>
            </w:r>
          </w:p>
        </w:tc>
      </w:tr>
      <w:tr w14:paraId="572A5733">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3AC12C90">
            <w:r>
              <w:rPr>
                <w:rFonts w:ascii="Arial" w:hAnsi="Arial" w:eastAsia="Arial" w:cs="Arial"/>
                <w:b/>
                <w:bCs/>
                <w:sz w:val="20"/>
                <w:szCs w:val="20"/>
              </w:rPr>
              <w:t>django-ckeditor</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ACA79B">
            <w:r>
              <w:rPr>
                <w:rFonts w:ascii="Arial" w:hAnsi="Arial" w:eastAsia="Arial" w:cs="Arial"/>
                <w:b w:val="0"/>
                <w:bCs w:val="0"/>
                <w:sz w:val="20"/>
                <w:szCs w:val="20"/>
              </w:rPr>
              <w:t>6.5.1</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3F7DF5">
            <w:r>
              <w:rPr>
                <w:rFonts w:ascii="Arial" w:hAnsi="Arial" w:eastAsia="Arial" w:cs="Arial"/>
                <w:b w:val="0"/>
                <w:bCs w:val="0"/>
                <w:sz w:val="20"/>
                <w:szCs w:val="20"/>
              </w:rPr>
              <w:t>Editor de texto enriquecido para descripciones de especies y textos de la herramienta. Incluye ckeditor_uploader para subida de imágenes.</w:t>
            </w:r>
          </w:p>
        </w:tc>
      </w:tr>
      <w:tr w14:paraId="404D820C">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04C3024C">
            <w:r>
              <w:rPr>
                <w:rFonts w:ascii="Arial" w:hAnsi="Arial" w:eastAsia="Arial" w:cs="Arial"/>
                <w:b/>
                <w:bCs/>
                <w:sz w:val="20"/>
                <w:szCs w:val="20"/>
              </w:rPr>
              <w:t>WhiteNoise</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FFB148">
            <w:r>
              <w:rPr>
                <w:rFonts w:ascii="Arial" w:hAnsi="Arial" w:eastAsia="Arial" w:cs="Arial"/>
                <w:b w:val="0"/>
                <w:bCs w:val="0"/>
                <w:sz w:val="20"/>
                <w:szCs w:val="20"/>
              </w:rPr>
              <w:t>5.3.0</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111883">
            <w:r>
              <w:rPr>
                <w:rFonts w:ascii="Arial" w:hAnsi="Arial" w:eastAsia="Arial" w:cs="Arial"/>
                <w:b w:val="0"/>
                <w:bCs w:val="0"/>
                <w:sz w:val="20"/>
                <w:szCs w:val="20"/>
              </w:rPr>
              <w:t>Sirve los archivos estáticos en producción (gunicorn no sirve estáticos directamente)</w:t>
            </w:r>
          </w:p>
        </w:tc>
      </w:tr>
      <w:tr w14:paraId="462D195A">
        <w:tc>
          <w:tcPr>
            <w:tcBorders>
              <w:top w:val="single" w:color="CCCCCC" w:sz="0" w:space="0"/>
              <w:left w:val="single" w:color="CCCCCC" w:sz="0" w:space="0"/>
              <w:bottom w:val="single" w:color="CCCCCC" w:sz="0" w:space="0"/>
              <w:right w:val="single" w:color="CCCCCC" w:sz="0" w:space="0"/>
            </w:tcBorders>
            <w:shd w:val="clear" w:color="auto" w:fill="F2F2F2"/>
            <w:tcMar>
              <w:top w:w="60" w:type="dxa"/>
              <w:left w:w="100" w:type="dxa"/>
              <w:bottom w:w="60" w:type="dxa"/>
              <w:right w:w="100" w:type="dxa"/>
            </w:tcMar>
          </w:tcPr>
          <w:p w14:paraId="18D55284">
            <w:r>
              <w:rPr>
                <w:rFonts w:ascii="Arial" w:hAnsi="Arial" w:eastAsia="Arial" w:cs="Arial"/>
                <w:b/>
                <w:bCs/>
                <w:sz w:val="20"/>
                <w:szCs w:val="20"/>
              </w:rPr>
              <w:t>Select2</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893FFA">
            <w:r>
              <w:rPr>
                <w:rFonts w:ascii="Arial" w:hAnsi="Arial" w:eastAsia="Arial" w:cs="Arial"/>
                <w:b w:val="0"/>
                <w:bCs w:val="0"/>
                <w:sz w:val="20"/>
                <w:szCs w:val="20"/>
              </w:rPr>
              <w:t>4.1.0-rc.0 (CDN)</w:t>
            </w:r>
          </w:p>
        </w:tc>
        <w:tc>
          <w:tcPr>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E68C60">
            <w:r>
              <w:rPr>
                <w:rFonts w:ascii="Arial" w:hAnsi="Arial" w:eastAsia="Arial" w:cs="Arial"/>
                <w:b w:val="0"/>
                <w:bCs w:val="0"/>
                <w:sz w:val="20"/>
                <w:szCs w:val="20"/>
              </w:rPr>
              <w:t>Selectores de búsqueda en formularios de variables y referencias</w:t>
            </w:r>
          </w:p>
        </w:tc>
      </w:tr>
    </w:tbl>
    <w:p w14:paraId="7C8AF638">
      <w:pPr>
        <w:spacing w:before="0" w:after="80"/>
      </w:pPr>
    </w:p>
    <w:p w14:paraId="113BB03C">
      <w:pPr>
        <w:spacing w:before="60" w:after="60"/>
        <w:ind w:left="360"/>
      </w:pPr>
      <w:r>
        <w:rPr>
          <w:rFonts w:ascii="Arial" w:hAnsi="Arial" w:eastAsia="Arial" w:cs="Arial"/>
          <w:i/>
          <w:iCs/>
          <w:color w:val="555555"/>
          <w:sz w:val="20"/>
          <w:szCs w:val="20"/>
        </w:rPr>
        <w:t>Nota: Django 3.2 alcanzó fin de soporte (EOL) en abril 2024. Se recomienda planificar la actualización a Django 4.2 LTS o superior en un ciclo de mantenimiento futuro.</w:t>
      </w:r>
    </w:p>
    <w:p w14:paraId="37BB2CED">
      <w:pPr>
        <w:spacing w:before="0" w:after="300"/>
      </w:pPr>
    </w:p>
    <w:p w14:paraId="437B5AAF">
      <w:pPr>
        <w:pStyle w:val="2"/>
        <w:spacing w:before="300" w:after="150"/>
      </w:pPr>
      <w:r>
        <w:rPr>
          <w:rFonts w:ascii="Arial" w:hAnsi="Arial" w:eastAsia="Arial" w:cs="Arial"/>
          <w:b/>
          <w:bCs/>
          <w:sz w:val="28"/>
          <w:szCs w:val="28"/>
        </w:rPr>
        <w:t>2. Scripts de importación y utilidades</w:t>
      </w:r>
    </w:p>
    <w:p w14:paraId="7924EE2E">
      <w:pPr>
        <w:pStyle w:val="3"/>
        <w:spacing w:before="240" w:after="120"/>
        <w:rPr>
          <w:rFonts w:ascii="Arial" w:hAnsi="Arial" w:eastAsia="Arial" w:cs="Arial"/>
          <w:b/>
          <w:bCs/>
          <w:sz w:val="24"/>
          <w:szCs w:val="24"/>
        </w:rPr>
      </w:pPr>
      <w:r>
        <w:rPr>
          <w:rFonts w:ascii="Arial" w:hAnsi="Arial" w:eastAsia="Arial" w:cs="Arial"/>
          <w:b/>
          <w:bCs/>
          <w:sz w:val="24"/>
          <w:szCs w:val="24"/>
        </w:rPr>
        <w:t>importar_especies.py</w:t>
      </w:r>
    </w:p>
    <w:p w14:paraId="767B1507">
      <w:pPr>
        <w:spacing w:before="80" w:after="80"/>
        <w:rPr>
          <w:lang w:val="es-ES"/>
        </w:rPr>
      </w:pPr>
      <w:r>
        <w:rPr>
          <w:rFonts w:ascii="Arial" w:hAnsi="Arial" w:eastAsia="Arial" w:cs="Arial"/>
          <w:sz w:val="22"/>
          <w:szCs w:val="22"/>
        </w:rPr>
        <w:t xml:space="preserve">Importa los valores de las variables de cada especie junto con su referencia bibliográfica. Se deben suministrar uno o varios archivos .csv </w:t>
      </w:r>
      <w:r>
        <w:rPr>
          <w:lang w:val="es-ES"/>
        </w:rPr>
        <w:t xml:space="preserve">con toda la información. Es muy importante que estos archivos .csv tengan la misma estructura de los suministrados en los ejemplos y se encuentren ubicados en la misma carpeta dónde se encuentra el </w:t>
      </w:r>
      <w:r>
        <w:rPr>
          <w:rFonts w:hint="default"/>
          <w:lang w:val="en-US"/>
        </w:rPr>
        <w:t xml:space="preserve">script </w:t>
      </w:r>
      <w:r>
        <w:rPr>
          <w:b/>
          <w:bCs/>
          <w:lang w:val="es-ES"/>
        </w:rPr>
        <w:t>importar_especies.py</w:t>
      </w:r>
      <w:r>
        <w:rPr>
          <w:lang w:val="es-ES"/>
        </w:rPr>
        <w:t>.</w:t>
      </w:r>
    </w:p>
    <w:p w14:paraId="00556C32">
      <w:pPr>
        <w:spacing w:before="80" w:after="80"/>
      </w:pPr>
      <w:r>
        <w:rPr>
          <w:rFonts w:ascii="Arial" w:hAnsi="Arial" w:eastAsia="Arial" w:cs="Arial"/>
          <w:sz w:val="22"/>
          <w:szCs w:val="22"/>
        </w:rPr>
        <w:t>Ejecución:</w:t>
      </w:r>
    </w:p>
    <w:p w14:paraId="30BF60FC">
      <w:pPr>
        <w:spacing w:before="60" w:after="120"/>
        <w:ind w:left="720"/>
      </w:pPr>
      <w:r>
        <w:rPr>
          <w:rFonts w:ascii="Courier New" w:hAnsi="Courier New" w:eastAsia="Courier New" w:cs="Courier New"/>
          <w:sz w:val="20"/>
          <w:szCs w:val="20"/>
        </w:rPr>
        <w:t>python3 importar_especies.py</w:t>
      </w:r>
    </w:p>
    <w:p w14:paraId="211F8AF0">
      <w:pPr>
        <w:pStyle w:val="3"/>
        <w:spacing w:before="240" w:after="120"/>
      </w:pPr>
      <w:r>
        <w:rPr>
          <w:rFonts w:ascii="Arial" w:hAnsi="Arial" w:eastAsia="Arial" w:cs="Arial"/>
          <w:b/>
          <w:bCs/>
          <w:sz w:val="24"/>
          <w:szCs w:val="24"/>
        </w:rPr>
        <w:t>arbolsaf_distribución_variables.py</w:t>
      </w:r>
    </w:p>
    <w:p w14:paraId="433AC699">
      <w:pPr>
        <w:spacing w:before="80" w:after="80"/>
      </w:pPr>
      <w:r>
        <w:rPr>
          <w:rFonts w:ascii="Arial" w:hAnsi="Arial" w:eastAsia="Arial" w:cs="Arial"/>
          <w:sz w:val="22"/>
          <w:szCs w:val="22"/>
        </w:rPr>
        <w:t>Toma los valores del campo "valor general" y los distribuye hacia los campos correspondientes según el tipo de dato de la variable: "Valor numérico", "Valor texto", "Valor booleano" o la lista de "Valores cualitativos".</w:t>
      </w:r>
    </w:p>
    <w:p w14:paraId="109E434C">
      <w:pPr>
        <w:spacing w:before="80" w:after="80"/>
      </w:pPr>
      <w:r>
        <w:rPr>
          <w:rFonts w:ascii="Arial" w:hAnsi="Arial" w:eastAsia="Arial" w:cs="Arial"/>
          <w:sz w:val="22"/>
          <w:szCs w:val="22"/>
        </w:rPr>
        <w:t>Ejecución:</w:t>
      </w:r>
    </w:p>
    <w:p w14:paraId="41FF588B">
      <w:pPr>
        <w:spacing w:before="60" w:after="120"/>
        <w:ind w:left="720"/>
      </w:pPr>
      <w:r>
        <w:rPr>
          <w:rFonts w:ascii="Courier New" w:hAnsi="Courier New" w:eastAsia="Courier New" w:cs="Courier New"/>
          <w:sz w:val="20"/>
          <w:szCs w:val="20"/>
        </w:rPr>
        <w:t>python3 arbolsaf_distribución_variables.py</w:t>
      </w:r>
    </w:p>
    <w:p w14:paraId="35CDF78C">
      <w:pPr>
        <w:pStyle w:val="3"/>
        <w:spacing w:before="240" w:after="120"/>
      </w:pPr>
      <w:r>
        <w:rPr>
          <w:rFonts w:ascii="Arial" w:hAnsi="Arial" w:eastAsia="Arial" w:cs="Arial"/>
          <w:b/>
          <w:bCs/>
          <w:sz w:val="24"/>
          <w:szCs w:val="24"/>
        </w:rPr>
        <w:t>scripts/restore_db.sh</w:t>
      </w:r>
    </w:p>
    <w:p w14:paraId="08D730DF">
      <w:pPr>
        <w:spacing w:before="80" w:after="80"/>
      </w:pPr>
      <w:r>
        <w:rPr>
          <w:rFonts w:ascii="Arial" w:hAnsi="Arial" w:eastAsia="Arial" w:cs="Arial"/>
          <w:sz w:val="22"/>
          <w:szCs w:val="22"/>
        </w:rPr>
        <w:t>Script bash que automatiza de forma segura el proceso completo de restauración de la base de datos desde un dump SQL. Gestiona el backup de usuarios, la recreación de la BD, la carga del dump, la restauración de usuarios locales y el reinicio del servicio. Disponible en la carpeta scripts/ del repositorio.</w:t>
      </w:r>
    </w:p>
    <w:p w14:paraId="5357664C">
      <w:pPr>
        <w:spacing w:before="80" w:after="80"/>
      </w:pPr>
      <w:r>
        <w:rPr>
          <w:rFonts w:ascii="Arial" w:hAnsi="Arial" w:eastAsia="Arial" w:cs="Arial"/>
          <w:sz w:val="22"/>
          <w:szCs w:val="22"/>
        </w:rPr>
        <w:t>Uso en entorno local (desde Despliegue/):</w:t>
      </w:r>
    </w:p>
    <w:p w14:paraId="55FB9786">
      <w:pPr>
        <w:spacing w:before="60" w:after="60"/>
        <w:ind w:left="720"/>
      </w:pPr>
      <w:r>
        <w:rPr>
          <w:rFonts w:ascii="Courier New" w:hAnsi="Courier New" w:eastAsia="Courier New" w:cs="Courier New"/>
          <w:sz w:val="20"/>
          <w:szCs w:val="20"/>
        </w:rPr>
        <w:t>../scripts/restore_db.sh ../../assets/clonedb&lt;fecha&gt;.sql --env local --password &lt;pwd&gt;</w:t>
      </w:r>
    </w:p>
    <w:p w14:paraId="126CF2E6">
      <w:pPr>
        <w:spacing w:before="80" w:after="80"/>
      </w:pPr>
      <w:r>
        <w:rPr>
          <w:rFonts w:ascii="Arial" w:hAnsi="Arial" w:eastAsia="Arial" w:cs="Arial"/>
          <w:sz w:val="22"/>
          <w:szCs w:val="22"/>
        </w:rPr>
        <w:t>Uso en servidor de desarrollo:</w:t>
      </w:r>
    </w:p>
    <w:p w14:paraId="5BE1007C">
      <w:pPr>
        <w:spacing w:before="60" w:after="120"/>
        <w:ind w:left="720"/>
      </w:pPr>
      <w:r>
        <w:rPr>
          <w:rFonts w:ascii="Courier New" w:hAnsi="Courier New" w:eastAsia="Courier New" w:cs="Courier New"/>
          <w:sz w:val="20"/>
          <w:szCs w:val="20"/>
        </w:rPr>
        <w:t>./scripts/restore_db.sh clonedb&lt;fecha&gt;.sql --env dev --password &lt;pwd&gt;</w:t>
      </w:r>
    </w:p>
    <w:p w14:paraId="53684B4A">
      <w:pPr>
        <w:spacing w:before="60" w:after="60"/>
        <w:ind w:left="360"/>
      </w:pPr>
      <w:r>
        <w:rPr>
          <w:rFonts w:ascii="Arial" w:hAnsi="Arial" w:eastAsia="Arial" w:cs="Arial"/>
          <w:i/>
          <w:iCs/>
          <w:color w:val="555555"/>
          <w:sz w:val="20"/>
          <w:szCs w:val="20"/>
        </w:rPr>
        <w:t>El script pide confirmación antes de ejecutar cualquier operación destructiva.</w:t>
      </w:r>
    </w:p>
    <w:p w14:paraId="08B9EF5D">
      <w:pPr>
        <w:spacing w:before="0" w:after="300"/>
      </w:pPr>
    </w:p>
    <w:p w14:paraId="627A2A00">
      <w:pPr>
        <w:pStyle w:val="2"/>
        <w:spacing w:before="300" w:after="150"/>
      </w:pPr>
      <w:r>
        <w:rPr>
          <w:rFonts w:ascii="Arial" w:hAnsi="Arial" w:eastAsia="Arial" w:cs="Arial"/>
          <w:b/>
          <w:bCs/>
          <w:sz w:val="28"/>
          <w:szCs w:val="28"/>
        </w:rPr>
        <w:t>3. Campos computados (django-computedfields)</w:t>
      </w:r>
    </w:p>
    <w:p w14:paraId="797B69DE">
      <w:pPr>
        <w:spacing w:before="80" w:after="80"/>
      </w:pPr>
      <w:r>
        <w:rPr>
          <w:rFonts w:ascii="Arial" w:hAnsi="Arial" w:eastAsia="Arial" w:cs="Arial"/>
          <w:sz w:val="22"/>
          <w:szCs w:val="22"/>
        </w:rPr>
        <w:t>La herramienta requiere varios campos calculados sobre el modelo SpeciesModel usando la librería django-computedfields. El cálculo se ejecuta automáticamente al guardar una especie o sus variables, y también puede forzarse manualmente.</w:t>
      </w:r>
    </w:p>
    <w:p w14:paraId="2CE48504">
      <w:pPr>
        <w:spacing w:before="0" w:after="60"/>
      </w:pPr>
    </w:p>
    <w:p w14:paraId="00B47D53">
      <w:pPr>
        <w:pStyle w:val="16"/>
        <w:numPr>
          <w:ilvl w:val="0"/>
          <w:numId w:val="1"/>
        </w:numPr>
        <w:spacing w:before="60" w:after="60"/>
      </w:pPr>
      <w:r>
        <w:rPr>
          <w:rFonts w:ascii="Arial" w:hAnsi="Arial" w:eastAsia="Arial" w:cs="Arial"/>
          <w:sz w:val="22"/>
          <w:szCs w:val="22"/>
        </w:rPr>
        <w:t>valor_madera — Valor potencial de la especie para madera (0–3)</w:t>
      </w:r>
    </w:p>
    <w:p w14:paraId="265EC068">
      <w:pPr>
        <w:pStyle w:val="16"/>
        <w:numPr>
          <w:ilvl w:val="0"/>
          <w:numId w:val="1"/>
        </w:numPr>
        <w:spacing w:before="60" w:after="60"/>
      </w:pPr>
      <w:r>
        <w:rPr>
          <w:rFonts w:ascii="Arial" w:hAnsi="Arial" w:eastAsia="Arial" w:cs="Arial"/>
          <w:sz w:val="22"/>
          <w:szCs w:val="22"/>
        </w:rPr>
        <w:t>valor_fruta — Valor potencial como especie frutal (0–3)</w:t>
      </w:r>
    </w:p>
    <w:p w14:paraId="20FC0121">
      <w:pPr>
        <w:pStyle w:val="16"/>
        <w:numPr>
          <w:ilvl w:val="0"/>
          <w:numId w:val="1"/>
        </w:numPr>
        <w:spacing w:before="60" w:after="60"/>
      </w:pPr>
      <w:r>
        <w:rPr>
          <w:rFonts w:ascii="Arial" w:hAnsi="Arial" w:eastAsia="Arial" w:cs="Arial"/>
          <w:sz w:val="22"/>
          <w:szCs w:val="22"/>
        </w:rPr>
        <w:t>valor_otros_usos — Valor para otros usos (artesanía, medicinal, etc.) (0–3)</w:t>
      </w:r>
    </w:p>
    <w:p w14:paraId="3E9A68B9">
      <w:pPr>
        <w:pStyle w:val="16"/>
        <w:numPr>
          <w:ilvl w:val="0"/>
          <w:numId w:val="1"/>
        </w:numPr>
        <w:spacing w:before="60" w:after="60"/>
      </w:pPr>
      <w:r>
        <w:rPr>
          <w:rFonts w:ascii="Arial" w:hAnsi="Arial" w:eastAsia="Arial" w:cs="Arial"/>
          <w:sz w:val="22"/>
          <w:szCs w:val="22"/>
        </w:rPr>
        <w:t>valor_biodiversidad — Valor para biodiversidad y servicios ecosistémicos (0–3)</w:t>
      </w:r>
    </w:p>
    <w:p w14:paraId="41499E14">
      <w:pPr>
        <w:pStyle w:val="16"/>
        <w:numPr>
          <w:ilvl w:val="0"/>
          <w:numId w:val="1"/>
        </w:numPr>
        <w:spacing w:before="60" w:after="60"/>
      </w:pPr>
      <w:r>
        <w:rPr>
          <w:rFonts w:ascii="Arial" w:hAnsi="Arial" w:eastAsia="Arial" w:cs="Arial"/>
          <w:sz w:val="22"/>
          <w:szCs w:val="22"/>
        </w:rPr>
        <w:t>valor_suelo — Valor para mejora de suelos y fertilidad (0–3)</w:t>
      </w:r>
    </w:p>
    <w:p w14:paraId="229076A1">
      <w:pPr>
        <w:pStyle w:val="16"/>
        <w:numPr>
          <w:ilvl w:val="0"/>
          <w:numId w:val="1"/>
        </w:numPr>
        <w:spacing w:before="60" w:after="60"/>
      </w:pPr>
      <w:r>
        <w:rPr>
          <w:rFonts w:ascii="Arial" w:hAnsi="Arial" w:eastAsia="Arial" w:cs="Arial"/>
          <w:sz w:val="22"/>
          <w:szCs w:val="22"/>
        </w:rPr>
        <w:t>ivim — Índice de Valor de Importancia Multifuncional (suma de los anteriores, 0–18)</w:t>
      </w:r>
    </w:p>
    <w:p w14:paraId="778B5AEE">
      <w:pPr>
        <w:spacing w:before="0" w:after="120"/>
      </w:pPr>
    </w:p>
    <w:p w14:paraId="6796794C">
      <w:pPr>
        <w:spacing w:before="80" w:after="80"/>
      </w:pPr>
      <w:r>
        <w:rPr>
          <w:rFonts w:ascii="Arial" w:hAnsi="Arial" w:eastAsia="Arial" w:cs="Arial"/>
          <w:sz w:val="22"/>
          <w:szCs w:val="22"/>
        </w:rPr>
        <w:t>El código de estos cálculos se encuentra en arbolsaf/models.py. Un extracto está en los archivos adjuntos.</w:t>
      </w:r>
    </w:p>
    <w:p w14:paraId="5B56D53E">
      <w:pPr>
        <w:spacing w:before="0" w:after="120"/>
      </w:pPr>
    </w:p>
    <w:p w14:paraId="5F102D87">
      <w:pPr>
        <w:pStyle w:val="3"/>
        <w:spacing w:before="240" w:after="120"/>
      </w:pPr>
      <w:r>
        <w:rPr>
          <w:rFonts w:ascii="Arial" w:hAnsi="Arial" w:eastAsia="Arial" w:cs="Arial"/>
          <w:b/>
          <w:bCs/>
          <w:sz w:val="24"/>
          <w:szCs w:val="24"/>
        </w:rPr>
        <w:t>Comando updatedata</w:t>
      </w:r>
    </w:p>
    <w:p w14:paraId="4DA31127">
      <w:pPr>
        <w:spacing w:before="80" w:after="80"/>
      </w:pPr>
      <w:r>
        <w:rPr>
          <w:rFonts w:ascii="Arial" w:hAnsi="Arial" w:eastAsia="Arial" w:cs="Arial"/>
          <w:sz w:val="22"/>
          <w:szCs w:val="22"/>
        </w:rPr>
        <w:t>Después de restaurar la base de datos desde un dump o de modificar la lógica de cálculo en models.py, es obligatorio recalcular todos los campos computados:</w:t>
      </w:r>
    </w:p>
    <w:p w14:paraId="2A0EB31D">
      <w:pPr>
        <w:spacing w:before="60" w:after="60"/>
        <w:ind w:left="720"/>
      </w:pPr>
      <w:r>
        <w:rPr>
          <w:rFonts w:ascii="Courier New" w:hAnsi="Courier New" w:eastAsia="Courier New" w:cs="Courier New"/>
          <w:sz w:val="20"/>
          <w:szCs w:val="20"/>
        </w:rPr>
        <w:t>docker-compose exec web python manage.py updatedata</w:t>
      </w:r>
    </w:p>
    <w:p w14:paraId="6E93178A">
      <w:pPr>
        <w:spacing w:before="60" w:after="60"/>
        <w:ind w:left="360"/>
      </w:pPr>
      <w:r>
        <w:rPr>
          <w:rFonts w:ascii="Arial" w:hAnsi="Arial" w:eastAsia="Arial" w:cs="Arial"/>
          <w:i/>
          <w:iCs/>
          <w:color w:val="555555"/>
          <w:sz w:val="20"/>
          <w:szCs w:val="20"/>
        </w:rPr>
        <w:t>Si se omite este paso, los valores mostrados en la herramienta (IVIM, gráficos, filtros) pueden ser incorrectos o estar desactualizados respecto a la lógica actual del código.</w:t>
      </w:r>
    </w:p>
    <w:p w14:paraId="7AFDF138">
      <w:pPr>
        <w:spacing w:before="0" w:after="300"/>
      </w:pPr>
    </w:p>
    <w:p w14:paraId="324D804E">
      <w:pPr>
        <w:pStyle w:val="2"/>
        <w:spacing w:before="300" w:after="150"/>
      </w:pPr>
      <w:r>
        <w:rPr>
          <w:rFonts w:ascii="Arial" w:hAnsi="Arial" w:eastAsia="Arial" w:cs="Arial"/>
          <w:b/>
          <w:bCs/>
          <w:sz w:val="28"/>
          <w:szCs w:val="28"/>
        </w:rPr>
        <w:t>4. Sistema de autenticación y roles</w:t>
      </w:r>
    </w:p>
    <w:p w14:paraId="0377F614">
      <w:pPr>
        <w:spacing w:before="80" w:after="80"/>
      </w:pPr>
      <w:r>
        <w:rPr>
          <w:rFonts w:ascii="Arial" w:hAnsi="Arial" w:eastAsia="Arial" w:cs="Arial"/>
          <w:sz w:val="22"/>
          <w:szCs w:val="22"/>
        </w:rPr>
        <w:t>El acceso a la plataforma de datos (CRUD de especies y variables) está controlado por el sistema de autenticación de Django con dos grupos de usuario:</w:t>
      </w:r>
    </w:p>
    <w:p w14:paraId="74693D30">
      <w:pPr>
        <w:spacing w:before="0" w:after="60"/>
      </w:pPr>
    </w:p>
    <w:p w14:paraId="30EA67B8">
      <w:pPr>
        <w:pStyle w:val="16"/>
        <w:numPr>
          <w:ilvl w:val="0"/>
          <w:numId w:val="1"/>
        </w:numPr>
        <w:spacing w:before="60" w:after="60"/>
      </w:pPr>
      <w:r>
        <w:rPr>
          <w:rFonts w:ascii="Arial" w:hAnsi="Arial" w:eastAsia="Arial" w:cs="Arial"/>
          <w:b/>
          <w:bCs/>
          <w:sz w:val="22"/>
          <w:szCs w:val="22"/>
        </w:rPr>
        <w:t xml:space="preserve">visualizador — </w:t>
      </w:r>
      <w:r>
        <w:rPr>
          <w:rFonts w:ascii="Arial" w:hAnsi="Arial" w:eastAsia="Arial" w:cs="Arial"/>
          <w:sz w:val="22"/>
          <w:szCs w:val="22"/>
        </w:rPr>
        <w:t>visualizador</w:t>
      </w:r>
    </w:p>
    <w:p w14:paraId="672D609E">
      <w:pPr>
        <w:spacing w:before="60" w:after="60"/>
        <w:ind w:left="360"/>
      </w:pPr>
      <w:r>
        <w:rPr>
          <w:rFonts w:ascii="Arial" w:hAnsi="Arial" w:eastAsia="Arial" w:cs="Arial"/>
          <w:i/>
          <w:iCs/>
          <w:color w:val="555555"/>
          <w:sz w:val="20"/>
          <w:szCs w:val="20"/>
        </w:rPr>
        <w:t>Puede ver listados y detalle de especies, variables, referencias y tipos de variable. No puede crear ni editar.</w:t>
      </w:r>
    </w:p>
    <w:p w14:paraId="238A6B3A">
      <w:pPr>
        <w:pStyle w:val="16"/>
        <w:numPr>
          <w:ilvl w:val="0"/>
          <w:numId w:val="1"/>
        </w:numPr>
        <w:spacing w:before="60" w:after="60"/>
      </w:pPr>
      <w:r>
        <w:rPr>
          <w:rFonts w:ascii="Arial" w:hAnsi="Arial" w:eastAsia="Arial" w:cs="Arial"/>
          <w:b/>
          <w:bCs/>
          <w:sz w:val="22"/>
          <w:szCs w:val="22"/>
        </w:rPr>
        <w:t xml:space="preserve">editor — </w:t>
      </w:r>
      <w:r>
        <w:rPr>
          <w:rFonts w:ascii="Arial" w:hAnsi="Arial" w:eastAsia="Arial" w:cs="Arial"/>
          <w:sz w:val="22"/>
          <w:szCs w:val="22"/>
        </w:rPr>
        <w:t>editor</w:t>
      </w:r>
    </w:p>
    <w:p w14:paraId="57E67DF1">
      <w:pPr>
        <w:spacing w:before="60" w:after="60"/>
        <w:ind w:left="360"/>
      </w:pPr>
      <w:r>
        <w:rPr>
          <w:rFonts w:ascii="Arial" w:hAnsi="Arial" w:eastAsia="Arial" w:cs="Arial"/>
          <w:i/>
          <w:iCs/>
          <w:color w:val="555555"/>
          <w:sz w:val="20"/>
          <w:szCs w:val="20"/>
        </w:rPr>
        <w:t>Puede crear, editar y eliminar especies, variables, referencias y tipos de variable. También puede importar/exportar datos.</w:t>
      </w:r>
    </w:p>
    <w:p w14:paraId="1B28FF5A">
      <w:pPr>
        <w:spacing w:before="0" w:after="120"/>
      </w:pPr>
    </w:p>
    <w:p w14:paraId="57529866">
      <w:pPr>
        <w:spacing w:before="80" w:after="80"/>
      </w:pPr>
      <w:r>
        <w:rPr>
          <w:rFonts w:ascii="Arial" w:hAnsi="Arial" w:eastAsia="Arial" w:cs="Arial"/>
          <w:sz w:val="22"/>
          <w:szCs w:val="22"/>
        </w:rPr>
        <w:t>Los superusuarios de Django tienen acceso completo a todo, incluyendo el panel de administración (/admin/).</w:t>
      </w:r>
    </w:p>
    <w:p w14:paraId="5477DE28">
      <w:pPr>
        <w:spacing w:before="80" w:after="80"/>
      </w:pPr>
      <w:r>
        <w:rPr>
          <w:rFonts w:ascii="Arial" w:hAnsi="Arial" w:eastAsia="Arial" w:cs="Arial"/>
          <w:sz w:val="22"/>
          <w:szCs w:val="22"/>
        </w:rPr>
        <w:t>La herramienta de evaluación agroforestal (/arbolsaf/herramienta/) es de solo lectura y no requiere autenticación.</w:t>
      </w:r>
    </w:p>
    <w:p w14:paraId="1B90DC40">
      <w:pPr>
        <w:spacing w:before="0" w:after="300"/>
      </w:pPr>
    </w:p>
    <w:p w14:paraId="2996BA1E">
      <w:pPr>
        <w:pStyle w:val="2"/>
        <w:spacing w:before="300" w:after="150"/>
      </w:pPr>
      <w:r>
        <w:rPr>
          <w:rFonts w:ascii="Arial" w:hAnsi="Arial" w:eastAsia="Arial" w:cs="Arial"/>
          <w:b/>
          <w:bCs/>
          <w:sz w:val="28"/>
          <w:szCs w:val="28"/>
        </w:rPr>
        <w:t>5. Acceso Metabase</w:t>
      </w:r>
    </w:p>
    <w:p w14:paraId="7381815E">
      <w:pPr>
        <w:spacing w:before="80" w:after="80"/>
      </w:pPr>
      <w:r>
        <w:rPr>
          <w:rFonts w:ascii="Arial" w:hAnsi="Arial" w:eastAsia="Arial" w:cs="Arial"/>
          <w:sz w:val="22"/>
          <w:szCs w:val="22"/>
        </w:rPr>
        <w:t>Metabase es la herramienta de visualización y análisis de datos integrada. Se accede mediante:</w:t>
      </w:r>
    </w:p>
    <w:p w14:paraId="51F43CB6">
      <w:pPr>
        <w:spacing w:before="0" w:after="60"/>
      </w:pPr>
    </w:p>
    <w:p w14:paraId="0398B2EE">
      <w:pPr>
        <w:pStyle w:val="16"/>
        <w:numPr>
          <w:ilvl w:val="0"/>
          <w:numId w:val="1"/>
        </w:numPr>
        <w:spacing w:before="60" w:after="60"/>
      </w:pPr>
      <w:r>
        <w:rPr>
          <w:rFonts w:ascii="Arial" w:hAnsi="Arial" w:eastAsia="Arial" w:cs="Arial"/>
          <w:sz w:val="22"/>
          <w:szCs w:val="22"/>
        </w:rPr>
        <w:t>URL: https://arbolsaf.cifor-icraf.org/metabase/</w:t>
      </w:r>
    </w:p>
    <w:p w14:paraId="242A3DAF">
      <w:pPr>
        <w:pStyle w:val="16"/>
        <w:numPr>
          <w:ilvl w:val="0"/>
          <w:numId w:val="1"/>
        </w:numPr>
        <w:spacing w:before="60" w:after="60"/>
      </w:pPr>
      <w:r>
        <w:rPr>
          <w:rFonts w:ascii="Arial" w:hAnsi="Arial" w:eastAsia="Arial" w:cs="Arial"/>
          <w:sz w:val="22"/>
          <w:szCs w:val="22"/>
        </w:rPr>
        <w:t>Usuario: g.carreno@cifor-icraf.org</w:t>
      </w:r>
    </w:p>
    <w:p w14:paraId="0F179996">
      <w:pPr>
        <w:pStyle w:val="16"/>
        <w:numPr>
          <w:ilvl w:val="0"/>
          <w:numId w:val="1"/>
        </w:numPr>
        <w:spacing w:before="60" w:after="60"/>
      </w:pPr>
      <w:r>
        <w:rPr>
          <w:rFonts w:ascii="Arial" w:hAnsi="Arial" w:eastAsia="Arial" w:cs="Arial"/>
          <w:sz w:val="22"/>
          <w:szCs w:val="22"/>
        </w:rPr>
        <w:t>Contraseña: Icraf.2023</w:t>
      </w:r>
    </w:p>
    <w:p w14:paraId="6B127603">
      <w:pPr>
        <w:spacing w:before="0" w:after="120"/>
      </w:pPr>
    </w:p>
    <w:p w14:paraId="66572C92">
      <w:pPr>
        <w:spacing w:before="80" w:after="80"/>
      </w:pPr>
      <w:r>
        <w:rPr>
          <w:rFonts w:ascii="Arial" w:hAnsi="Arial" w:eastAsia="Arial" w:cs="Arial"/>
          <w:sz w:val="22"/>
          <w:szCs w:val="22"/>
        </w:rPr>
        <w:t>Documentación oficial: https://www.metabase.com/docs/latest/</w:t>
      </w:r>
    </w:p>
    <w:p w14:paraId="4291818F">
      <w:pPr>
        <w:spacing w:before="0" w:after="300"/>
      </w:pPr>
    </w:p>
    <w:p w14:paraId="1FA08CFC">
      <w:pPr>
        <w:pStyle w:val="2"/>
        <w:spacing w:before="300" w:after="150"/>
      </w:pPr>
      <w:r>
        <w:rPr>
          <w:rFonts w:ascii="Arial" w:hAnsi="Arial" w:eastAsia="Arial" w:cs="Arial"/>
          <w:b/>
          <w:bCs/>
          <w:sz w:val="28"/>
          <w:szCs w:val="28"/>
        </w:rPr>
        <w:t>6. Despliegue en servidores</w:t>
      </w:r>
    </w:p>
    <w:p w14:paraId="38D32964">
      <w:pPr>
        <w:spacing w:before="80" w:after="80"/>
      </w:pPr>
      <w:r>
        <w:rPr>
          <w:rFonts w:ascii="Arial" w:hAnsi="Arial" w:eastAsia="Arial" w:cs="Arial"/>
          <w:sz w:val="22"/>
          <w:szCs w:val="22"/>
        </w:rPr>
        <w:t>Aunque el sistema está diseñado para ser multiplataforma, se recomienda el despliegue en un servidor Ubuntu 22.04 utilizando Docker. El repositorio Git contiene el archivo DOC.md con los detalles completos del proceso de despliegue, incluyendo los archivos Docker y las variables de entorno necesarias.</w:t>
      </w:r>
    </w:p>
    <w:p w14:paraId="4F8AB6DB">
      <w:pPr>
        <w:spacing w:before="0" w:after="120"/>
      </w:pPr>
    </w:p>
    <w:p w14:paraId="2F9A19F1">
      <w:pPr>
        <w:pStyle w:val="3"/>
        <w:spacing w:before="240" w:after="120"/>
      </w:pPr>
      <w:r>
        <w:rPr>
          <w:rFonts w:ascii="Arial" w:hAnsi="Arial" w:eastAsia="Arial" w:cs="Arial"/>
          <w:b/>
          <w:bCs/>
          <w:sz w:val="24"/>
          <w:szCs w:val="24"/>
        </w:rPr>
        <w:t>Acceso FTP</w:t>
      </w:r>
    </w:p>
    <w:p w14:paraId="3849FCC9">
      <w:pPr>
        <w:pStyle w:val="16"/>
        <w:numPr>
          <w:ilvl w:val="0"/>
          <w:numId w:val="1"/>
        </w:numPr>
        <w:spacing w:before="60" w:after="60"/>
      </w:pPr>
      <w:r>
        <w:rPr>
          <w:rFonts w:ascii="Arial" w:hAnsi="Arial" w:eastAsia="Arial" w:cs="Arial"/>
          <w:sz w:val="22"/>
          <w:szCs w:val="22"/>
        </w:rPr>
        <w:t>Enlace: http://arbolsaf.cifor-icraf.org</w:t>
      </w:r>
    </w:p>
    <w:p w14:paraId="7DCD6215">
      <w:pPr>
        <w:pStyle w:val="16"/>
        <w:numPr>
          <w:ilvl w:val="0"/>
          <w:numId w:val="1"/>
        </w:numPr>
        <w:spacing w:before="60" w:after="60"/>
      </w:pPr>
      <w:r>
        <w:rPr>
          <w:rFonts w:ascii="Arial" w:hAnsi="Arial" w:eastAsia="Arial" w:cs="Arial"/>
          <w:sz w:val="22"/>
          <w:szCs w:val="22"/>
        </w:rPr>
        <w:t>Usuario: admin</w:t>
      </w:r>
    </w:p>
    <w:p w14:paraId="1FEFA409">
      <w:pPr>
        <w:pStyle w:val="16"/>
        <w:numPr>
          <w:ilvl w:val="0"/>
          <w:numId w:val="1"/>
        </w:numPr>
        <w:spacing w:before="60" w:after="60"/>
      </w:pPr>
      <w:r>
        <w:rPr>
          <w:rFonts w:ascii="Arial" w:hAnsi="Arial" w:eastAsia="Arial" w:cs="Arial"/>
          <w:sz w:val="22"/>
          <w:szCs w:val="22"/>
        </w:rPr>
        <w:t>Contraseña: Deneb.2020</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Liberation Serif">
    <w:altName w:val="苹方-简"/>
    <w:panose1 w:val="00000000000000000000"/>
    <w:charset w:val="00"/>
    <w:family w:val="swiss"/>
    <w:pitch w:val="default"/>
    <w:sig w:usb0="00000000" w:usb1="00000000" w:usb2="00000000" w:usb3="00000000" w:csb0="00040001" w:csb1="00000000"/>
  </w:font>
  <w:font w:name="Noto Serif CJK SC">
    <w:altName w:val="苹方-简"/>
    <w:panose1 w:val="00000000000000000000"/>
    <w:charset w:val="00"/>
    <w:family w:val="auto"/>
    <w:pitch w:val="default"/>
    <w:sig w:usb0="00000000" w:usb1="00000000" w:usb2="00000000" w:usb3="00000000" w:csb0="00040001" w:csb1="00000000"/>
  </w:font>
  <w:font w:name="Lohit Devanagari">
    <w:altName w:val="苹方-简"/>
    <w:panose1 w:val="00000000000000000000"/>
    <w:charset w:val="00"/>
    <w:family w:val="roman"/>
    <w:pitch w:val="default"/>
    <w:sig w:usb0="00000000" w:usb1="00000000" w:usb2="00000000" w:usb3="00000000" w:csb0="00040001" w:csb1="00000000"/>
  </w:font>
  <w:font w:name="Symbol">
    <w:altName w:val="Kingsoft Sign"/>
    <w:panose1 w:val="05050102010706020507"/>
    <w:charset w:val="00"/>
    <w:family w:val="roman"/>
    <w:pitch w:val="default"/>
    <w:sig w:usb0="00000000" w:usb1="00000000" w:usb2="00000000" w:usb3="00000000" w:csb0="80000000" w:csb1="00000000"/>
  </w:font>
  <w:font w:name="OpenSymbol">
    <w:altName w:val="苹方-简"/>
    <w:panose1 w:val="00000000000000000000"/>
    <w:charset w:val="00"/>
    <w:family w:val="auto"/>
    <w:pitch w:val="default"/>
    <w:sig w:usb0="00000000" w:usb1="00000000"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355E0C"/>
    <w:multiLevelType w:val="multilevel"/>
    <w:tmpl w:val="BB355E0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isplayBackgroundShape w:val="1"/>
  <w:documentProtection w:enforcement="0"/>
  <w:compat>
    <w:compatSetting w:name="compatibilityMode" w:uri="http://schemas.microsoft.com/office/word" w:val="15"/>
  </w:compat>
  <w:rsids>
    <w:rsidRoot w:val="00000000"/>
    <w:rsid w:val="7FDF101D"/>
    <w:rsid w:val="FFEE5F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Arian Milanes Garcia</cp:lastModifiedBy>
  <dcterms:modified xsi:type="dcterms:W3CDTF">2026-07-06T00:38:25Z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BF9561FA561AA9BA5F5B4B6AE6AFB70E_42</vt:lpwstr>
  </property>
</Properties>
</file>