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B6D9" w14:textId="77777777" w:rsidR="007877DE" w:rsidRDefault="00000000">
      <w:pPr>
        <w:spacing w:after="100"/>
      </w:pPr>
      <w:r>
        <w:rPr>
          <w:b/>
          <w:bCs/>
          <w:color w:val="1F3864"/>
          <w:sz w:val="56"/>
          <w:szCs w:val="56"/>
        </w:rPr>
        <w:t>OrderPulse API</w:t>
      </w:r>
    </w:p>
    <w:p w14:paraId="7910752D" w14:textId="77777777" w:rsidR="007877DE" w:rsidRDefault="00000000">
      <w:pPr>
        <w:spacing w:after="400"/>
      </w:pPr>
      <w:r>
        <w:rPr>
          <w:color w:val="555555"/>
          <w:sz w:val="26"/>
          <w:szCs w:val="26"/>
        </w:rPr>
        <w:t>Kubernetes, DevOps &amp; FinOps – Home Assignment Documentation</w:t>
      </w:r>
    </w:p>
    <w:p w14:paraId="076C3118" w14:textId="1EDF3633" w:rsidR="007877DE" w:rsidRDefault="00000000">
      <w:pPr>
        <w:spacing w:after="160"/>
      </w:pPr>
      <w:r>
        <w:t xml:space="preserve">Author: Arani Mondal | Email: </w:t>
      </w:r>
      <w:hyperlink r:id="rId7" w:history="1">
        <w:r w:rsidR="00DC37F4" w:rsidRPr="00DC37F4">
          <w:rPr>
            <w:rStyle w:val="Hyperlink"/>
          </w:rPr>
          <w:t>arani.mondal@nagarro.com</w:t>
        </w:r>
      </w:hyperlink>
    </w:p>
    <w:p w14:paraId="5CA40F01" w14:textId="77777777" w:rsidR="007877DE" w:rsidRDefault="00000000">
      <w:pPr>
        <w:spacing w:after="160"/>
      </w:pPr>
      <w:r>
        <w:t>Date: June 2026</w:t>
      </w:r>
    </w:p>
    <w:p w14:paraId="1CE0766D" w14:textId="12194FB9" w:rsidR="007877DE" w:rsidRDefault="00000000">
      <w:pPr>
        <w:spacing w:after="160"/>
      </w:pPr>
      <w:r>
        <w:t xml:space="preserve">Repository: </w:t>
      </w:r>
      <w:hyperlink r:id="rId8" w:history="1">
        <w:r w:rsidR="007877DE" w:rsidRPr="005A4A05">
          <w:rPr>
            <w:rStyle w:val="Hyperlink"/>
          </w:rPr>
          <w:t>https://github.com/aranimondal/orderpulse-api</w:t>
        </w:r>
      </w:hyperlink>
    </w:p>
    <w:p w14:paraId="6A2BFE00" w14:textId="77777777" w:rsidR="007877DE" w:rsidRDefault="00000000">
      <w:pPr>
        <w:pStyle w:val="Heading1"/>
      </w:pPr>
      <w:r>
        <w:t>1. Requirement Understanding</w:t>
      </w:r>
    </w:p>
    <w:p w14:paraId="34BC2E00" w14:textId="77777777" w:rsidR="007877DE" w:rsidRDefault="00000000">
      <w:pPr>
        <w:spacing w:after="160"/>
      </w:pPr>
      <w:r>
        <w:t>The assignment asks for a two-tier application deployed on Kubernetes: a stateless Service/API tier and a stateful Database tier, wired together so the API fetches and returns data from the database over a cluster-internal connection. On top of the functional pieces, the assignment specifically grades for Kubernetes operational maturity (rolling updates, self-healing, autoscaling, persistence, externalized config/secrets) and for FinOps thinking (resource sizing and concrete cost-optimization opportunities).</w:t>
      </w:r>
    </w:p>
    <w:p w14:paraId="323D9456" w14:textId="6872196D" w:rsidR="007877DE" w:rsidRDefault="00000000">
      <w:pPr>
        <w:spacing w:after="160"/>
      </w:pPr>
      <w:r>
        <w:t>To make this concrete</w:t>
      </w:r>
      <w:r w:rsidR="00812667">
        <w:t>,</w:t>
      </w:r>
      <w:r>
        <w:t xml:space="preserve"> I picked a real business scenario: an e-commerce order-status lookup service. This is the kind of internal tool a support/ops team uses every day, it naturally needs a database, and it naturally needs to scale during sales/peak traffic – which gives the HPA requirement a believable reason to exist instead of feeling bolted on.</w:t>
      </w:r>
    </w:p>
    <w:p w14:paraId="7F707504" w14:textId="77777777" w:rsidR="007877DE" w:rsidRDefault="00000000">
      <w:pPr>
        <w:pStyle w:val="Heading2"/>
      </w:pPr>
      <w:r>
        <w:t>Key requirements extracted from the brief</w:t>
      </w:r>
    </w:p>
    <w:p w14:paraId="18460920" w14:textId="77777777" w:rsidR="007877DE" w:rsidRDefault="00000000">
      <w:pPr>
        <w:pStyle w:val="ListParagraph"/>
        <w:numPr>
          <w:ilvl w:val="0"/>
          <w:numId w:val="2"/>
        </w:numPr>
        <w:spacing w:after="80"/>
      </w:pPr>
      <w:r>
        <w:t>Service API tier: 4 pods, externally accessible, rolling updates, self-healing, HPA, ConfigMap + Secret driven configuration.</w:t>
      </w:r>
    </w:p>
    <w:p w14:paraId="51D8CF0A" w14:textId="77777777" w:rsidR="007877DE" w:rsidRDefault="00000000">
      <w:pPr>
        <w:pStyle w:val="ListParagraph"/>
        <w:numPr>
          <w:ilvl w:val="0"/>
          <w:numId w:val="2"/>
        </w:numPr>
        <w:spacing w:after="80"/>
      </w:pPr>
      <w:r>
        <w:t>Database tier: 1 pod, internal-only access, persistent storage, auto-recovery after pod deletion, 1 table with 5–10 seed records.</w:t>
      </w:r>
    </w:p>
    <w:p w14:paraId="058B983D" w14:textId="77777777" w:rsidR="007877DE" w:rsidRDefault="00000000">
      <w:pPr>
        <w:pStyle w:val="ListParagraph"/>
        <w:numPr>
          <w:ilvl w:val="0"/>
          <w:numId w:val="2"/>
        </w:numPr>
        <w:spacing w:after="80"/>
      </w:pPr>
      <w:r>
        <w:t>No pod IPs used for inter-tier communication — must use a Kubernetes Service / DNS name.</w:t>
      </w:r>
    </w:p>
    <w:p w14:paraId="575C1B53" w14:textId="77777777" w:rsidR="007877DE" w:rsidRDefault="00000000">
      <w:pPr>
        <w:pStyle w:val="ListParagraph"/>
        <w:numPr>
          <w:ilvl w:val="0"/>
          <w:numId w:val="2"/>
        </w:numPr>
        <w:spacing w:after="80"/>
      </w:pPr>
      <w:r>
        <w:t>DB password must not appear in plaintext in any tracked YAML file.</w:t>
      </w:r>
    </w:p>
    <w:p w14:paraId="03911DB7" w14:textId="14021013" w:rsidR="007877DE" w:rsidRDefault="00000000">
      <w:pPr>
        <w:pStyle w:val="ListParagraph"/>
        <w:numPr>
          <w:ilvl w:val="0"/>
          <w:numId w:val="2"/>
        </w:numPr>
        <w:spacing w:after="80"/>
      </w:pPr>
      <w:r>
        <w:t xml:space="preserve">External exposure of the API tier specifically via Ingress (not just a </w:t>
      </w:r>
      <w:r w:rsidR="00613D0C">
        <w:t>Node Port</w:t>
      </w:r>
      <w:r>
        <w:t>/LoadBalancer Service).</w:t>
      </w:r>
    </w:p>
    <w:p w14:paraId="712DB1CC" w14:textId="6B33F8AF" w:rsidR="007877DE" w:rsidRDefault="00000000">
      <w:pPr>
        <w:pStyle w:val="ListParagraph"/>
        <w:numPr>
          <w:ilvl w:val="0"/>
          <w:numId w:val="2"/>
        </w:numPr>
        <w:spacing w:after="80"/>
      </w:pPr>
      <w:r>
        <w:t xml:space="preserve">CPU/memory requests and limits defined for the API tier, plus at least 3 cost-optimization opportunities, with at least one of them </w:t>
      </w:r>
      <w:r w:rsidR="00613D0C">
        <w:t>implemented</w:t>
      </w:r>
      <w:r>
        <w:t>.</w:t>
      </w:r>
    </w:p>
    <w:p w14:paraId="010AC16B" w14:textId="77777777" w:rsidR="007877DE" w:rsidRDefault="00000000">
      <w:pPr>
        <w:pStyle w:val="Heading1"/>
      </w:pPr>
      <w:r>
        <w:t>2. Assumptions</w:t>
      </w:r>
    </w:p>
    <w:p w14:paraId="14AAE557" w14:textId="77777777" w:rsidR="007877DE" w:rsidRDefault="00000000">
      <w:pPr>
        <w:pStyle w:val="ListParagraph"/>
        <w:numPr>
          <w:ilvl w:val="0"/>
          <w:numId w:val="3"/>
        </w:numPr>
        <w:spacing w:after="80"/>
      </w:pPr>
      <w:r>
        <w:t>Target cloud is AWS, using Amazon EKS as the Kubernetes control plane, since the brief allows 'any cloud' but FinOps language (gp3, Graviton, Spot) maps most directly to AWS pricing levers I'm familiar with.</w:t>
      </w:r>
    </w:p>
    <w:p w14:paraId="7B2CE84F" w14:textId="580347DF" w:rsidR="007877DE" w:rsidRDefault="00000000">
      <w:pPr>
        <w:pStyle w:val="ListParagraph"/>
        <w:numPr>
          <w:ilvl w:val="0"/>
          <w:numId w:val="3"/>
        </w:numPr>
        <w:spacing w:after="80"/>
      </w:pPr>
      <w:r>
        <w:t xml:space="preserve">The cluster already has three add-ons installed before these manifests are applied: the AWS EBS CSI driver (for persistent volumes), the AWS Load Balancer Controller (for the ALB-backed Ingress), and metrics-server (for the HPA). Installing a brand-new EKS </w:t>
      </w:r>
      <w:r>
        <w:lastRenderedPageBreak/>
        <w:t xml:space="preserve">cluster from scratch is treated as a one-time, </w:t>
      </w:r>
      <w:r w:rsidR="00613D0C">
        <w:t>mostly manual</w:t>
      </w:r>
      <w:r>
        <w:t xml:space="preserve"> infrastructure step (via eksctl or Terraform) rather than something to encode in application YAML.</w:t>
      </w:r>
    </w:p>
    <w:p w14:paraId="04D922C4" w14:textId="77777777" w:rsidR="007877DE" w:rsidRDefault="00000000">
      <w:pPr>
        <w:pStyle w:val="ListParagraph"/>
        <w:numPr>
          <w:ilvl w:val="0"/>
          <w:numId w:val="3"/>
        </w:numPr>
        <w:spacing w:after="80"/>
      </w:pPr>
      <w:r>
        <w:t>PostgreSQL was chosen as the database engine over MySQL/MongoDB because the order data is naturally relational (orders table with typed columns), and Spring Data JPA + Postgres is a combination I can reason about confidently for connection pooling and migrations.</w:t>
      </w:r>
    </w:p>
    <w:p w14:paraId="19175F0B" w14:textId="77777777" w:rsidR="007877DE" w:rsidRDefault="00000000">
      <w:pPr>
        <w:pStyle w:val="ListParagraph"/>
        <w:numPr>
          <w:ilvl w:val="0"/>
          <w:numId w:val="3"/>
        </w:numPr>
        <w:spacing w:after="80"/>
      </w:pPr>
      <w:r>
        <w:t>A single order record per order (no separate line-items table) was assumed to be sufficient to satisfy the 'one table with 5–10 records' requirement without over-engineering the schema.</w:t>
      </w:r>
    </w:p>
    <w:p w14:paraId="30A5F86C" w14:textId="77777777" w:rsidR="007877DE" w:rsidRDefault="00000000">
      <w:pPr>
        <w:pStyle w:val="ListParagraph"/>
        <w:numPr>
          <w:ilvl w:val="0"/>
          <w:numId w:val="3"/>
        </w:numPr>
        <w:spacing w:after="80"/>
      </w:pPr>
      <w:r>
        <w:t>'Externally accessible' for the API tier is interpreted as reachable over HTTP via an AWS Application Load Balancer provisioned by an Ingress resource, not as requiring HTTPS/TLS or a custom domain — those are flagged as natural next steps, not assignment-blocking gaps.</w:t>
      </w:r>
    </w:p>
    <w:p w14:paraId="6A380F63" w14:textId="77777777" w:rsidR="007877DE" w:rsidRDefault="00000000">
      <w:pPr>
        <w:pStyle w:val="ListParagraph"/>
        <w:numPr>
          <w:ilvl w:val="0"/>
          <w:numId w:val="3"/>
        </w:numPr>
        <w:spacing w:after="80"/>
      </w:pPr>
      <w:r>
        <w:t>Docker Hub (not Amazon ECR) is used as the image registry, since the assignment explicitly asks for a Docker Hub URL.</w:t>
      </w:r>
    </w:p>
    <w:p w14:paraId="03B34619" w14:textId="77777777" w:rsidR="007877DE" w:rsidRDefault="00000000">
      <w:pPr>
        <w:pStyle w:val="ListParagraph"/>
        <w:numPr>
          <w:ilvl w:val="0"/>
          <w:numId w:val="3"/>
        </w:numPr>
        <w:spacing w:after="80"/>
      </w:pPr>
      <w:r>
        <w:t>The screen recording and live cluster are treated as ephemeral: the brief explicitly says the EKS cluster can be deleted after capturing the deliverables, so cost is not incurred indefinitely.</w:t>
      </w:r>
    </w:p>
    <w:p w14:paraId="0F94ED99" w14:textId="77777777" w:rsidR="007877DE" w:rsidRDefault="00000000">
      <w:pPr>
        <w:pStyle w:val="Heading1"/>
      </w:pPr>
      <w:r>
        <w:t>3. Solution Overview</w:t>
      </w:r>
    </w:p>
    <w:p w14:paraId="5F6BC91E" w14:textId="77777777" w:rsidR="007877DE" w:rsidRDefault="00000000">
      <w:pPr>
        <w:pStyle w:val="Heading2"/>
      </w:pPr>
      <w:r>
        <w:t>3.1 Business scenario</w:t>
      </w:r>
    </w:p>
    <w:p w14:paraId="450F6920" w14:textId="77777777" w:rsidR="007877DE" w:rsidRDefault="00000000">
      <w:pPr>
        <w:spacing w:after="160"/>
      </w:pPr>
      <w:r>
        <w:t>OrderPulse is the order-status microservice behind an e-commerce storefront's customer-support tooling. When a support agent (or a future customer-facing 'track my order' widget) needs to know what happened to an order, OrderPulse looks it up directly from the orders database and returns a clean JSON response, instead of giving every internal tool direct database credentials.</w:t>
      </w:r>
    </w:p>
    <w:p w14:paraId="7B40D9AC" w14:textId="77777777" w:rsidR="007877DE" w:rsidRDefault="00000000">
      <w:pPr>
        <w:pStyle w:val="Heading2"/>
      </w:pPr>
      <w:r>
        <w:t>3.2 Architecture</w:t>
      </w:r>
    </w:p>
    <w:p w14:paraId="01EB8EA7" w14:textId="77777777" w:rsidR="007877DE" w:rsidRDefault="00000000">
      <w:pPr>
        <w:spacing w:after="160"/>
      </w:pPr>
      <w:r>
        <w:t>Two tiers, exactly as specified:</w:t>
      </w:r>
    </w:p>
    <w:p w14:paraId="44CC5730" w14:textId="77777777" w:rsidR="007877DE" w:rsidRDefault="00000000">
      <w:pPr>
        <w:pStyle w:val="ListParagraph"/>
        <w:numPr>
          <w:ilvl w:val="0"/>
          <w:numId w:val="2"/>
        </w:numPr>
        <w:spacing w:after="80"/>
      </w:pPr>
      <w:r>
        <w:t>Service API tier — Spring Boot 3.4 / Java 21 application. Exposes REST endpoints under /api/v1/orders. Connects to Postgres using a HikariCP connection pool (max 10 connections, configurable via ConfigMap). Runs as a Kubernetes Deployment with 4 replicas behind a ClusterIP Service, fronted by an Ingress (AWS ALB).</w:t>
      </w:r>
    </w:p>
    <w:p w14:paraId="6E39A0F5" w14:textId="77777777" w:rsidR="007877DE" w:rsidRDefault="00000000">
      <w:pPr>
        <w:pStyle w:val="ListParagraph"/>
        <w:numPr>
          <w:ilvl w:val="0"/>
          <w:numId w:val="2"/>
        </w:numPr>
        <w:spacing w:after="80"/>
      </w:pPr>
      <w:r>
        <w:t>Database tier — PostgreSQL 16, running as a single-replica StatefulSet with a PersistentVolumeClaim backed by an AWS EBS gp3 volume. Exposed only via a ClusterIP Service (orderpulse-db.orderpulse.svc.cluster.local) — there is no Ingress, NodePort, or LoadBalancer for the DB, so it is unreachable from outside the cluster.</w:t>
      </w:r>
    </w:p>
    <w:p w14:paraId="33E0C3A7" w14:textId="77777777" w:rsidR="007877DE" w:rsidRDefault="00000000">
      <w:pPr>
        <w:spacing w:after="160"/>
      </w:pPr>
      <w:r>
        <w:t>The API tier never talks to the DB tier's pod IP directly — it uses the Kubernetes Service DNS name, which stays stable even if the underlying pod is rescheduled with a new IP. This satisfies the 'pod IPs should not be used for communication' requirement.</w:t>
      </w:r>
    </w:p>
    <w:p w14:paraId="50BE9FD4" w14:textId="77777777" w:rsidR="007877DE" w:rsidRDefault="00000000">
      <w:pPr>
        <w:pStyle w:val="Heading2"/>
      </w:pPr>
      <w:r>
        <w:t>3.3 Rolling updates</w:t>
      </w:r>
    </w:p>
    <w:p w14:paraId="3C0670C4" w14:textId="77777777" w:rsidR="007877DE" w:rsidRDefault="00000000">
      <w:pPr>
        <w:spacing w:after="160"/>
      </w:pPr>
      <w:r>
        <w:t xml:space="preserve">The API Deployment uses strategy.type: RollingUpdate with maxSurge: 1 and maxUnavailable: 1, so a new image version (e.g. bumping the tag in the Deployment and running kubectl set </w:t>
      </w:r>
      <w:r>
        <w:lastRenderedPageBreak/>
        <w:t>image or kubectl apply) replaces pods one at a time with zero downtime. The Database tier intentionally has no rolling-update story — StatefulSets default to OrderedReady updates, and the requirement table explicitly marks rolling updates as 'No' for the DB tier.</w:t>
      </w:r>
    </w:p>
    <w:p w14:paraId="5E20E67E" w14:textId="77777777" w:rsidR="007877DE" w:rsidRDefault="00000000">
      <w:pPr>
        <w:pStyle w:val="Heading2"/>
      </w:pPr>
      <w:r>
        <w:t>3.4 Self-healing</w:t>
      </w:r>
    </w:p>
    <w:p w14:paraId="2F376111" w14:textId="2EBAE4CF" w:rsidR="007877DE" w:rsidRDefault="00000000">
      <w:pPr>
        <w:spacing w:after="160"/>
      </w:pPr>
      <w:r>
        <w:t>Self-healing comes from three layers working together: (1) the Deployment/StatefulSet controllers always reconcile back to the desired replica count if a pod is deleted, evicted, or its node fails; (2) liveness</w:t>
      </w:r>
      <w:r w:rsidR="00613D0C">
        <w:t xml:space="preserve"> </w:t>
      </w:r>
      <w:r>
        <w:t xml:space="preserve">Probe on /actuator/health/liveness causes the </w:t>
      </w:r>
      <w:r w:rsidR="00531EAE">
        <w:t>kubelet</w:t>
      </w:r>
      <w:r>
        <w:t xml:space="preserve"> to restart a container that has hung even though the process is still running; (3) readiness</w:t>
      </w:r>
      <w:r w:rsidR="00613D0C">
        <w:t xml:space="preserve"> </w:t>
      </w:r>
      <w:r>
        <w:t>Probe on /actuator/health/readiness keeps a pod that's still starting up (e.g. waiting on the DB) out of Service rotation so it never receives traffic before it's ready</w:t>
      </w:r>
      <w:r w:rsidR="00531EAE">
        <w:t xml:space="preserve">; (4) </w:t>
      </w:r>
      <w:r w:rsidR="00531EAE" w:rsidRPr="00531EAE">
        <w:t>A startup probe (`GET /actuator/health`, failureThreshold: 60, periodSeconds: 5) provides a 5-minute window for JVM warm-up on resource-constrained nodes, preventing kubelet from killing pods that are still loading the Spring context.</w:t>
      </w:r>
    </w:p>
    <w:p w14:paraId="7A93953A" w14:textId="77777777" w:rsidR="007877DE" w:rsidRDefault="00000000">
      <w:pPr>
        <w:pStyle w:val="Heading2"/>
      </w:pPr>
      <w:r>
        <w:t>3.5 Persistence</w:t>
      </w:r>
    </w:p>
    <w:p w14:paraId="0AD0B9ED" w14:textId="77777777" w:rsidR="007877DE" w:rsidRDefault="00000000">
      <w:pPr>
        <w:spacing w:after="160"/>
      </w:pPr>
      <w:r>
        <w:t>The Postgres StatefulSet uses a volumeClaimTemplate bound to a custom StorageClass (orderpulse-gp3) backed by the AWS EBS CSI driver with reclaimPolicy: Retain. Deleting the DB pod only deletes the pod object — the PVC and its underlying EBS volume survive, get re-attached to the replacement pod, and Postgres resumes from the same WAL/data directory, so the same seed records are still present afterward.</w:t>
      </w:r>
    </w:p>
    <w:p w14:paraId="04796349" w14:textId="77777777" w:rsidR="007877DE" w:rsidRDefault="00000000">
      <w:pPr>
        <w:pStyle w:val="Heading2"/>
      </w:pPr>
      <w:r>
        <w:t>3.6 Configuration and secrets</w:t>
      </w:r>
    </w:p>
    <w:p w14:paraId="3FE2A51C" w14:textId="6460E48E" w:rsidR="007877DE" w:rsidRDefault="00000000">
      <w:pPr>
        <w:spacing w:after="160"/>
      </w:pPr>
      <w:r>
        <w:t>Non-sensitive values (DB host, port, database name, pool sizing, log level) live in a ConfigMap and are injected into the API container, so changing them never requires touching application code or rebuilding the image. The DB username/password live in Kubernetes Secrets, created with kubectl create secret via scripts/create-secrets.sh — the actual password value is passed as a shell environment variable at apply time and is never written into any YAML file that gets committed to git. A 02-secret.template.yaml is kept in the repo purely as documentation of the secret's shape, with REPLACE_ME placeholders.</w:t>
      </w:r>
    </w:p>
    <w:p w14:paraId="74E508D9" w14:textId="77777777" w:rsidR="007877DE" w:rsidRDefault="00000000">
      <w:pPr>
        <w:pStyle w:val="Heading2"/>
      </w:pPr>
      <w:r>
        <w:t>3.7 Autoscaling (HPA)</w:t>
      </w:r>
    </w:p>
    <w:p w14:paraId="11915955" w14:textId="77777777" w:rsidR="007877DE" w:rsidRDefault="00000000">
      <w:pPr>
        <w:spacing w:after="160"/>
      </w:pPr>
      <w:r>
        <w:t>A HorizontalPodAutoscaler (autoscaling/v2) watches the orderpulse-api Deployment and scales between 4 and 10 replicas, targeting 65% average CPU utilization and 75% average memory utilization, with a faster scale-up policy (+2 pods/30s) and a more conservative scale-down policy (-1 pod/60s with a 2-minute stabilization window) to avoid flapping during bursty support-desk traffic.</w:t>
      </w:r>
    </w:p>
    <w:p w14:paraId="101CC5F5" w14:textId="77777777" w:rsidR="007877DE" w:rsidRDefault="00000000">
      <w:pPr>
        <w:pStyle w:val="Heading2"/>
      </w:pPr>
      <w:r>
        <w:t>3.8 External exposure</w:t>
      </w:r>
    </w:p>
    <w:p w14:paraId="3AE304B2" w14:textId="77777777" w:rsidR="007877DE" w:rsidRDefault="00000000">
      <w:pPr>
        <w:spacing w:after="160"/>
      </w:pPr>
      <w:r>
        <w:t>An Ingress resource (class alb, internet-facing, IP target type) is the only external entry point into the API tier. It routes all paths to the orderpulse-api ClusterIP Service on port 80, which forwards to the container's port 8080. The AWS Load Balancer Controller provisions and manages the actual ALB.</w:t>
      </w:r>
    </w:p>
    <w:p w14:paraId="3237FF73" w14:textId="77777777" w:rsidR="007877DE" w:rsidRDefault="00000000">
      <w:pPr>
        <w:pStyle w:val="Heading1"/>
      </w:pPr>
      <w:r>
        <w:t>4. Justification for the Resources Utilized</w:t>
      </w:r>
    </w:p>
    <w:p w14:paraId="294FB000" w14:textId="77777777" w:rsidR="007877DE" w:rsidRDefault="00000000">
      <w:pPr>
        <w:pStyle w:val="Heading2"/>
      </w:pPr>
      <w:r>
        <w:lastRenderedPageBreak/>
        <w:t>4.1 Compute (API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877DE" w14:paraId="26369A13" w14:textId="77777777">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711FC5F1" w14:textId="77777777" w:rsidR="007877DE" w:rsidRDefault="00000000">
            <w:r>
              <w:rPr>
                <w:b/>
                <w:bCs/>
                <w:color w:val="FFFFFF"/>
              </w:rPr>
              <w:t>Resource</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AF99580" w14:textId="77777777" w:rsidR="007877DE" w:rsidRDefault="00000000">
            <w:r>
              <w:rPr>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03E93F86" w14:textId="77777777" w:rsidR="007877DE" w:rsidRDefault="00000000">
            <w:r>
              <w:rPr>
                <w:b/>
                <w:bCs/>
                <w:color w:val="FFFFFF"/>
              </w:rPr>
              <w:t>Why</w:t>
            </w:r>
          </w:p>
        </w:tc>
      </w:tr>
      <w:tr w:rsidR="007877DE" w14:paraId="2393523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8CB1" w14:textId="77777777" w:rsidR="007877DE" w:rsidRDefault="00000000">
            <w:r>
              <w:t>CPU request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F2835" w14:textId="77777777" w:rsidR="007877DE" w:rsidRDefault="00000000">
            <w:r>
              <w:t>25m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6526" w14:textId="77777777" w:rsidR="007877DE" w:rsidRDefault="00000000">
            <w:r>
              <w:t>Observed steady-state CPU for a Spring Boot JSON endpoint doing a single indexed query is well under 1 full core; 200m guarantees enough scheduling priority without reserving a whole core per pod.</w:t>
            </w:r>
          </w:p>
        </w:tc>
      </w:tr>
      <w:tr w:rsidR="007877DE" w14:paraId="3D017EA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6325E" w14:textId="77777777" w:rsidR="007877DE" w:rsidRDefault="00000000">
            <w:r>
              <w:t>CPU limit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1BEF" w14:textId="77777777" w:rsidR="007877DE" w:rsidRDefault="00000000">
            <w:r>
              <w:t>200m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8D37" w14:textId="79058BCA" w:rsidR="007877DE" w:rsidRDefault="00000000">
            <w:r>
              <w:t>Allows headroom for JIT warm-up and traffic spikes without one noisy pod starving its node neighbors.</w:t>
            </w:r>
            <w:r w:rsidR="00531EAE">
              <w:t xml:space="preserve"> </w:t>
            </w:r>
            <w:r w:rsidR="00531EAE" w:rsidRPr="00531EAE">
              <w:t>Prevents a single pod from monopolizing the node.</w:t>
            </w:r>
          </w:p>
        </w:tc>
      </w:tr>
      <w:tr w:rsidR="007877DE" w14:paraId="0500B5E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8AE3" w14:textId="77777777" w:rsidR="007877DE" w:rsidRDefault="00000000">
            <w:r>
              <w:t>Memory request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E10B7" w14:textId="77777777" w:rsidR="007877DE" w:rsidRDefault="00000000">
            <w:r>
              <w:t>64Mi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405D6" w14:textId="27EB2526" w:rsidR="007877DE" w:rsidRDefault="00000000">
            <w:r>
              <w:t>JVM heap + Spring context + Hikari pool overhead for this small service comfortably fits; matches -XX:MaxRAMPercentage=75 sizing in the Dockerfile.</w:t>
            </w:r>
            <w:r w:rsidR="00531EAE">
              <w:t xml:space="preserve"> </w:t>
            </w:r>
            <w:r w:rsidR="00531EAE" w:rsidRPr="00531EAE">
              <w:t>64Mi request is sufficient for scheduling while actual usage stays below the limit.</w:t>
            </w:r>
          </w:p>
        </w:tc>
      </w:tr>
      <w:tr w:rsidR="007877DE" w14:paraId="0903578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F9D51" w14:textId="77777777" w:rsidR="007877DE" w:rsidRDefault="00000000">
            <w:r>
              <w:t>Memory limit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2CE99" w14:textId="77777777" w:rsidR="007877DE" w:rsidRDefault="00000000">
            <w:r>
              <w:t>256Mi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C7077" w14:textId="788D178D" w:rsidR="007877DE" w:rsidRDefault="00000000">
            <w:r>
              <w:t>2x the request as a safety margin against GC pauses/connection-pool growth, without allowing a leak to consume the whole node.</w:t>
            </w:r>
            <w:r w:rsidR="00531EAE">
              <w:t xml:space="preserve"> </w:t>
            </w:r>
            <w:r w:rsidR="00531EAE" w:rsidRPr="00531EAE">
              <w:t>Hard ceiling for JVM + Spring context + Hikari pool. Prevents OOM from propagating to node level.</w:t>
            </w:r>
          </w:p>
        </w:tc>
      </w:tr>
    </w:tbl>
    <w:p w14:paraId="6040B445" w14:textId="77777777" w:rsidR="007877DE" w:rsidRDefault="007877DE">
      <w:pPr>
        <w:spacing w:after="160"/>
      </w:pPr>
    </w:p>
    <w:p w14:paraId="2D50B50D" w14:textId="77777777" w:rsidR="007877DE" w:rsidRDefault="00000000">
      <w:pPr>
        <w:pStyle w:val="Heading2"/>
      </w:pPr>
      <w:r>
        <w:t>4.2 Compute (Database tier)</w:t>
      </w:r>
    </w:p>
    <w:p w14:paraId="0C3E827A" w14:textId="77777777" w:rsidR="007877DE" w:rsidRDefault="00000000">
      <w:pPr>
        <w:spacing w:after="160"/>
      </w:pPr>
      <w:r>
        <w:t>Postgres is given 25m/200m CPU and 64Mi/256Mi memory requests/limits. A single-table, low-write workload with 8 seed rows does not need a large buffer cache; these values are intentionally modest and would be revisited using pg_stat data if real production write volume materialized.</w:t>
      </w:r>
    </w:p>
    <w:p w14:paraId="55203220" w14:textId="77777777" w:rsidR="007877DE" w:rsidRDefault="00000000">
      <w:pPr>
        <w:pStyle w:val="Heading2"/>
      </w:pPr>
      <w:r>
        <w:t>4.3 Storage</w:t>
      </w:r>
    </w:p>
    <w:p w14:paraId="4F2FCB1E" w14:textId="77777777" w:rsidR="007877DE" w:rsidRDefault="00000000">
      <w:pPr>
        <w:spacing w:after="160"/>
      </w:pPr>
      <w:r>
        <w:t xml:space="preserve">5Gi on a gp3 EBS volume for the database. gp3 was chosen over the older gp2 default because gp3 decouples IOPS/throughput from volume size and is billed independently — for a small, </w:t>
      </w:r>
      <w:r>
        <w:lastRenderedPageBreak/>
        <w:t>low-traffic database you get baseline 3,000 IOPS / 125 MB/s without having to over-provision capacity just to get acceptable performance, which is exactly what gp2's size-linked IOPS model forces you to do.</w:t>
      </w:r>
    </w:p>
    <w:p w14:paraId="77902166" w14:textId="77777777" w:rsidR="007877DE" w:rsidRDefault="00000000">
      <w:pPr>
        <w:pStyle w:val="Heading2"/>
      </w:pPr>
      <w:r>
        <w:t>4.4 Replica counts</w:t>
      </w:r>
    </w:p>
    <w:p w14:paraId="6F5E4EA5" w14:textId="0AAD9474" w:rsidR="007877DE" w:rsidRDefault="00000000">
      <w:pPr>
        <w:spacing w:after="160"/>
      </w:pPr>
      <w:r>
        <w:t xml:space="preserve">4 </w:t>
      </w:r>
      <w:r w:rsidR="00F05282">
        <w:t xml:space="preserve">replicas </w:t>
      </w:r>
      <w:r>
        <w:t xml:space="preserve">for the API tier matches the assignment's explicit requirement </w:t>
      </w:r>
      <w:proofErr w:type="gramStart"/>
      <w:r>
        <w:t>and also</w:t>
      </w:r>
      <w:proofErr w:type="gramEnd"/>
      <w:r>
        <w:t xml:space="preserve"> gives the HPA room to demonstrate scaling up to 10 under load. 1 replica for the database matches the requirement table and reflects that this StatefulSet is for assignment-grade persistence/self-healing demonstration, not a high-availability production database (a real production setup would use Amazon RDS Multi-AZ instead, as noted in the README).</w:t>
      </w:r>
    </w:p>
    <w:p w14:paraId="08149C52" w14:textId="7973E527" w:rsidR="00F05282" w:rsidRDefault="00F05282" w:rsidP="00F05282">
      <w:pPr>
        <w:pStyle w:val="Heading2"/>
      </w:pPr>
      <w:r>
        <w:t>4.</w:t>
      </w:r>
      <w:r>
        <w:t>5</w:t>
      </w:r>
      <w:r>
        <w:t xml:space="preserve"> </w:t>
      </w:r>
      <w:r w:rsidRPr="00F05282">
        <w:t>Kubernetes Object Selection</w:t>
      </w:r>
    </w:p>
    <w:p w14:paraId="1BD0B1CD" w14:textId="77777777" w:rsidR="00F05282" w:rsidRDefault="00F05282" w:rsidP="00F05282">
      <w:pPr>
        <w:pStyle w:val="Heading2"/>
      </w:pPr>
    </w:p>
    <w:tbl>
      <w:tblPr>
        <w:tblStyle w:val="TableGrid"/>
        <w:tblW w:w="0" w:type="auto"/>
        <w:tblLook w:val="04A0" w:firstRow="1" w:lastRow="0" w:firstColumn="1" w:lastColumn="0" w:noHBand="0" w:noVBand="1"/>
      </w:tblPr>
      <w:tblGrid>
        <w:gridCol w:w="4675"/>
        <w:gridCol w:w="4675"/>
      </w:tblGrid>
      <w:tr w:rsidR="00F05282" w14:paraId="4875533B" w14:textId="77777777" w:rsidTr="00EC634F">
        <w:tc>
          <w:tcPr>
            <w:tcW w:w="4675" w:type="dxa"/>
            <w:shd w:val="clear" w:color="auto" w:fill="E97132" w:themeFill="accent2"/>
          </w:tcPr>
          <w:p w14:paraId="23973E5D" w14:textId="728B9007" w:rsidR="00F05282" w:rsidRPr="00F05282" w:rsidRDefault="00F05282" w:rsidP="00F05282">
            <w:pPr>
              <w:spacing w:after="160"/>
              <w:rPr>
                <w:b/>
                <w:bCs/>
                <w:i/>
                <w:iCs/>
                <w:u w:val="single"/>
              </w:rPr>
            </w:pPr>
            <w:r w:rsidRPr="00044C24">
              <w:rPr>
                <w:b/>
                <w:bCs/>
                <w:i/>
                <w:iCs/>
                <w:color w:val="002060"/>
                <w:u w:val="single"/>
              </w:rPr>
              <w:t>Object</w:t>
            </w:r>
          </w:p>
        </w:tc>
        <w:tc>
          <w:tcPr>
            <w:tcW w:w="4675" w:type="dxa"/>
            <w:shd w:val="clear" w:color="auto" w:fill="E97132" w:themeFill="accent2"/>
          </w:tcPr>
          <w:p w14:paraId="39CED56C" w14:textId="46A10C88" w:rsidR="00F05282" w:rsidRPr="00044C24" w:rsidRDefault="00F05282" w:rsidP="00F05282">
            <w:pPr>
              <w:spacing w:after="160"/>
              <w:rPr>
                <w:b/>
                <w:bCs/>
                <w:i/>
                <w:iCs/>
                <w:color w:val="002060"/>
                <w:u w:val="single"/>
              </w:rPr>
            </w:pPr>
            <w:r w:rsidRPr="00044C24">
              <w:rPr>
                <w:b/>
                <w:bCs/>
                <w:i/>
                <w:iCs/>
                <w:color w:val="002060"/>
                <w:u w:val="single"/>
              </w:rPr>
              <w:t>Reason</w:t>
            </w:r>
          </w:p>
          <w:p w14:paraId="7C4043C8" w14:textId="109EDE9D" w:rsidR="00F05282" w:rsidRDefault="00F05282" w:rsidP="00F05282">
            <w:pPr>
              <w:pStyle w:val="Heading2"/>
            </w:pPr>
          </w:p>
        </w:tc>
      </w:tr>
      <w:tr w:rsidR="00F05282" w14:paraId="1D99C406" w14:textId="77777777" w:rsidTr="00D924CF">
        <w:tc>
          <w:tcPr>
            <w:tcW w:w="4675" w:type="dxa"/>
            <w:vAlign w:val="center"/>
          </w:tcPr>
          <w:p w14:paraId="5806D6C6" w14:textId="4036DB4C" w:rsidR="00F05282" w:rsidRPr="00044C24" w:rsidRDefault="00F05282" w:rsidP="00F05282">
            <w:pPr>
              <w:pStyle w:val="Heading2"/>
              <w:rPr>
                <w:color w:val="000000" w:themeColor="text1"/>
              </w:rPr>
            </w:pPr>
            <w:r w:rsidRPr="00044C24">
              <w:rPr>
                <w:color w:val="000000" w:themeColor="text1"/>
                <w:sz w:val="20"/>
                <w:szCs w:val="20"/>
              </w:rPr>
              <w:t>Deployment (API)</w:t>
            </w:r>
          </w:p>
        </w:tc>
        <w:tc>
          <w:tcPr>
            <w:tcW w:w="4675" w:type="dxa"/>
            <w:vAlign w:val="center"/>
          </w:tcPr>
          <w:p w14:paraId="196A49B1" w14:textId="2896F408" w:rsidR="00F05282" w:rsidRPr="00044C24" w:rsidRDefault="00F05282" w:rsidP="00F05282">
            <w:pPr>
              <w:pStyle w:val="Heading2"/>
              <w:rPr>
                <w:color w:val="000000" w:themeColor="text1"/>
              </w:rPr>
            </w:pPr>
            <w:r w:rsidRPr="00044C24">
              <w:rPr>
                <w:color w:val="000000" w:themeColor="text1"/>
                <w:sz w:val="20"/>
                <w:szCs w:val="20"/>
              </w:rPr>
              <w:t>Stateless workload needing rolling updates and HPA.</w:t>
            </w:r>
          </w:p>
        </w:tc>
      </w:tr>
      <w:tr w:rsidR="00F05282" w14:paraId="001C5BAF" w14:textId="77777777" w:rsidTr="00D924CF">
        <w:tc>
          <w:tcPr>
            <w:tcW w:w="4675" w:type="dxa"/>
            <w:vAlign w:val="center"/>
          </w:tcPr>
          <w:p w14:paraId="2F01E0EA" w14:textId="421CAFC5" w:rsidR="00F05282" w:rsidRPr="00044C24" w:rsidRDefault="00F05282" w:rsidP="00F05282">
            <w:pPr>
              <w:pStyle w:val="Heading2"/>
              <w:rPr>
                <w:color w:val="000000" w:themeColor="text1"/>
              </w:rPr>
            </w:pPr>
            <w:r w:rsidRPr="00044C24">
              <w:rPr>
                <w:color w:val="000000" w:themeColor="text1"/>
                <w:sz w:val="20"/>
                <w:szCs w:val="20"/>
              </w:rPr>
              <w:t>StatefulSet (DB)</w:t>
            </w:r>
          </w:p>
        </w:tc>
        <w:tc>
          <w:tcPr>
            <w:tcW w:w="4675" w:type="dxa"/>
            <w:vAlign w:val="center"/>
          </w:tcPr>
          <w:p w14:paraId="761E3677" w14:textId="619002BD" w:rsidR="00F05282" w:rsidRPr="00044C24" w:rsidRDefault="00F05282" w:rsidP="00F05282">
            <w:pPr>
              <w:pStyle w:val="Heading2"/>
              <w:rPr>
                <w:color w:val="000000" w:themeColor="text1"/>
              </w:rPr>
            </w:pPr>
            <w:r w:rsidRPr="00044C24">
              <w:rPr>
                <w:color w:val="000000" w:themeColor="text1"/>
                <w:sz w:val="20"/>
                <w:szCs w:val="20"/>
              </w:rPr>
              <w:t>Stable network identity + stable PVC binding across restarts.</w:t>
            </w:r>
          </w:p>
        </w:tc>
      </w:tr>
      <w:tr w:rsidR="00F05282" w14:paraId="3074C6A9" w14:textId="77777777" w:rsidTr="00D924CF">
        <w:tc>
          <w:tcPr>
            <w:tcW w:w="4675" w:type="dxa"/>
            <w:vAlign w:val="center"/>
          </w:tcPr>
          <w:p w14:paraId="5AF60424" w14:textId="6CC5F542" w:rsidR="00F05282" w:rsidRPr="00044C24" w:rsidRDefault="00F05282" w:rsidP="00F05282">
            <w:pPr>
              <w:pStyle w:val="Heading2"/>
              <w:rPr>
                <w:color w:val="000000" w:themeColor="text1"/>
              </w:rPr>
            </w:pPr>
            <w:r w:rsidRPr="00044C24">
              <w:rPr>
                <w:color w:val="000000" w:themeColor="text1"/>
                <w:sz w:val="20"/>
                <w:szCs w:val="20"/>
              </w:rPr>
              <w:t>ClusterIP Service (DB)</w:t>
            </w:r>
          </w:p>
        </w:tc>
        <w:tc>
          <w:tcPr>
            <w:tcW w:w="4675" w:type="dxa"/>
            <w:vAlign w:val="center"/>
          </w:tcPr>
          <w:p w14:paraId="2B09C26E" w14:textId="015ED4B3" w:rsidR="00F05282" w:rsidRPr="00044C24" w:rsidRDefault="00F05282" w:rsidP="00F05282">
            <w:pPr>
              <w:pStyle w:val="Heading2"/>
              <w:rPr>
                <w:color w:val="000000" w:themeColor="text1"/>
              </w:rPr>
            </w:pPr>
            <w:r w:rsidRPr="00044C24">
              <w:rPr>
                <w:color w:val="000000" w:themeColor="text1"/>
                <w:sz w:val="20"/>
                <w:szCs w:val="20"/>
              </w:rPr>
              <w:t>Internal-only DNS endpoint. No external exposure.</w:t>
            </w:r>
          </w:p>
        </w:tc>
      </w:tr>
      <w:tr w:rsidR="00F05282" w14:paraId="5A6639DE" w14:textId="77777777" w:rsidTr="00D924CF">
        <w:tc>
          <w:tcPr>
            <w:tcW w:w="4675" w:type="dxa"/>
            <w:vAlign w:val="center"/>
          </w:tcPr>
          <w:p w14:paraId="0AF60CED" w14:textId="2E1283E9" w:rsidR="00F05282" w:rsidRPr="00044C24" w:rsidRDefault="00F05282" w:rsidP="00F05282">
            <w:pPr>
              <w:pStyle w:val="Heading2"/>
              <w:rPr>
                <w:color w:val="000000" w:themeColor="text1"/>
              </w:rPr>
            </w:pPr>
            <w:r w:rsidRPr="00044C24">
              <w:rPr>
                <w:color w:val="000000" w:themeColor="text1"/>
                <w:sz w:val="20"/>
                <w:szCs w:val="20"/>
              </w:rPr>
              <w:t>Ingress (ALB)</w:t>
            </w:r>
          </w:p>
        </w:tc>
        <w:tc>
          <w:tcPr>
            <w:tcW w:w="4675" w:type="dxa"/>
            <w:vAlign w:val="center"/>
          </w:tcPr>
          <w:p w14:paraId="1C5A972C" w14:textId="175B53EB" w:rsidR="00F05282" w:rsidRPr="00044C24" w:rsidRDefault="00F05282" w:rsidP="00F05282">
            <w:pPr>
              <w:pStyle w:val="Heading2"/>
              <w:rPr>
                <w:color w:val="000000" w:themeColor="text1"/>
              </w:rPr>
            </w:pPr>
            <w:r w:rsidRPr="00044C24">
              <w:rPr>
                <w:color w:val="000000" w:themeColor="text1"/>
                <w:sz w:val="20"/>
                <w:szCs w:val="20"/>
              </w:rPr>
              <w:t>Single external entry point with ALB health checks.</w:t>
            </w:r>
          </w:p>
        </w:tc>
      </w:tr>
      <w:tr w:rsidR="00F05282" w14:paraId="79AF506B" w14:textId="77777777" w:rsidTr="00D924CF">
        <w:tc>
          <w:tcPr>
            <w:tcW w:w="4675" w:type="dxa"/>
            <w:vAlign w:val="center"/>
          </w:tcPr>
          <w:p w14:paraId="1EC6CD0C" w14:textId="25AF2E49" w:rsidR="00F05282" w:rsidRPr="00044C24" w:rsidRDefault="00F05282" w:rsidP="00F05282">
            <w:pPr>
              <w:pStyle w:val="Heading2"/>
              <w:rPr>
                <w:color w:val="000000" w:themeColor="text1"/>
              </w:rPr>
            </w:pPr>
            <w:r w:rsidRPr="00044C24">
              <w:rPr>
                <w:color w:val="000000" w:themeColor="text1"/>
                <w:sz w:val="20"/>
                <w:szCs w:val="20"/>
              </w:rPr>
              <w:t>ConfigMap</w:t>
            </w:r>
          </w:p>
        </w:tc>
        <w:tc>
          <w:tcPr>
            <w:tcW w:w="4675" w:type="dxa"/>
            <w:vAlign w:val="center"/>
          </w:tcPr>
          <w:p w14:paraId="4BB4FF34" w14:textId="4C8F626D" w:rsidR="00F05282" w:rsidRPr="00044C24" w:rsidRDefault="00F05282" w:rsidP="00F05282">
            <w:pPr>
              <w:pStyle w:val="Heading2"/>
              <w:rPr>
                <w:color w:val="000000" w:themeColor="text1"/>
              </w:rPr>
            </w:pPr>
            <w:r w:rsidRPr="00044C24">
              <w:rPr>
                <w:color w:val="000000" w:themeColor="text1"/>
                <w:sz w:val="20"/>
                <w:szCs w:val="20"/>
              </w:rPr>
              <w:t>Externalizes config from pod spec and application code.</w:t>
            </w:r>
          </w:p>
        </w:tc>
      </w:tr>
      <w:tr w:rsidR="00F05282" w14:paraId="2481C10C" w14:textId="77777777" w:rsidTr="00D924CF">
        <w:tc>
          <w:tcPr>
            <w:tcW w:w="4675" w:type="dxa"/>
            <w:vAlign w:val="center"/>
          </w:tcPr>
          <w:p w14:paraId="02A8C628" w14:textId="1855F998" w:rsidR="00F05282" w:rsidRPr="00044C24" w:rsidRDefault="00F05282" w:rsidP="00F05282">
            <w:pPr>
              <w:pStyle w:val="Heading2"/>
              <w:rPr>
                <w:color w:val="000000" w:themeColor="text1"/>
                <w:sz w:val="20"/>
                <w:szCs w:val="20"/>
              </w:rPr>
            </w:pPr>
            <w:r w:rsidRPr="00044C24">
              <w:rPr>
                <w:color w:val="000000" w:themeColor="text1"/>
                <w:sz w:val="20"/>
                <w:szCs w:val="20"/>
              </w:rPr>
              <w:t>Secret</w:t>
            </w:r>
          </w:p>
        </w:tc>
        <w:tc>
          <w:tcPr>
            <w:tcW w:w="4675" w:type="dxa"/>
            <w:vAlign w:val="center"/>
          </w:tcPr>
          <w:p w14:paraId="1FC6B105" w14:textId="3555087F" w:rsidR="00F05282" w:rsidRPr="00044C24" w:rsidRDefault="00F05282" w:rsidP="00F05282">
            <w:pPr>
              <w:pStyle w:val="Heading2"/>
              <w:rPr>
                <w:color w:val="000000" w:themeColor="text1"/>
                <w:sz w:val="20"/>
                <w:szCs w:val="20"/>
              </w:rPr>
            </w:pPr>
            <w:r w:rsidRPr="00044C24">
              <w:rPr>
                <w:color w:val="000000" w:themeColor="text1"/>
                <w:sz w:val="20"/>
                <w:szCs w:val="20"/>
              </w:rPr>
              <w:t>Credentials stored in etcd, never committed to git.</w:t>
            </w:r>
          </w:p>
        </w:tc>
      </w:tr>
      <w:tr w:rsidR="00F05282" w14:paraId="778CF1C8" w14:textId="77777777" w:rsidTr="00D924CF">
        <w:tc>
          <w:tcPr>
            <w:tcW w:w="4675" w:type="dxa"/>
            <w:vAlign w:val="center"/>
          </w:tcPr>
          <w:p w14:paraId="4C2DB387" w14:textId="1A33C688" w:rsidR="00F05282" w:rsidRPr="00044C24" w:rsidRDefault="00F05282" w:rsidP="00F05282">
            <w:pPr>
              <w:pStyle w:val="Heading2"/>
              <w:rPr>
                <w:color w:val="000000" w:themeColor="text1"/>
                <w:sz w:val="20"/>
                <w:szCs w:val="20"/>
              </w:rPr>
            </w:pPr>
            <w:r w:rsidRPr="00044C24">
              <w:rPr>
                <w:color w:val="000000" w:themeColor="text1"/>
                <w:sz w:val="20"/>
                <w:szCs w:val="20"/>
              </w:rPr>
              <w:t>PVC + StorageClass</w:t>
            </w:r>
          </w:p>
        </w:tc>
        <w:tc>
          <w:tcPr>
            <w:tcW w:w="4675" w:type="dxa"/>
            <w:vAlign w:val="center"/>
          </w:tcPr>
          <w:p w14:paraId="104D10DF" w14:textId="4F541371" w:rsidR="00F05282" w:rsidRPr="00044C24" w:rsidRDefault="00F05282" w:rsidP="00F05282">
            <w:pPr>
              <w:pStyle w:val="Heading2"/>
              <w:rPr>
                <w:color w:val="000000" w:themeColor="text1"/>
                <w:sz w:val="20"/>
                <w:szCs w:val="20"/>
              </w:rPr>
            </w:pPr>
            <w:r w:rsidRPr="00044C24">
              <w:rPr>
                <w:color w:val="000000" w:themeColor="text1"/>
                <w:sz w:val="20"/>
                <w:szCs w:val="20"/>
              </w:rPr>
              <w:t>Storage lifecycle decoupled from pod lifecycle.</w:t>
            </w:r>
          </w:p>
        </w:tc>
      </w:tr>
      <w:tr w:rsidR="00F05282" w14:paraId="466114E8" w14:textId="77777777" w:rsidTr="00D924CF">
        <w:tc>
          <w:tcPr>
            <w:tcW w:w="4675" w:type="dxa"/>
            <w:vAlign w:val="center"/>
          </w:tcPr>
          <w:p w14:paraId="446A14C8" w14:textId="677AAD31" w:rsidR="00F05282" w:rsidRPr="00044C24" w:rsidRDefault="00F05282" w:rsidP="00F05282">
            <w:pPr>
              <w:pStyle w:val="Heading2"/>
              <w:rPr>
                <w:color w:val="000000" w:themeColor="text1"/>
                <w:sz w:val="20"/>
                <w:szCs w:val="20"/>
              </w:rPr>
            </w:pPr>
            <w:r w:rsidRPr="00044C24">
              <w:rPr>
                <w:color w:val="000000" w:themeColor="text1"/>
                <w:sz w:val="20"/>
                <w:szCs w:val="20"/>
              </w:rPr>
              <w:t>HPA</w:t>
            </w:r>
          </w:p>
        </w:tc>
        <w:tc>
          <w:tcPr>
            <w:tcW w:w="4675" w:type="dxa"/>
            <w:vAlign w:val="center"/>
          </w:tcPr>
          <w:p w14:paraId="34AC05A3" w14:textId="68531427" w:rsidR="00F05282" w:rsidRPr="00044C24" w:rsidRDefault="00F05282" w:rsidP="00F05282">
            <w:pPr>
              <w:pStyle w:val="Heading2"/>
              <w:rPr>
                <w:color w:val="000000" w:themeColor="text1"/>
                <w:sz w:val="20"/>
                <w:szCs w:val="20"/>
              </w:rPr>
            </w:pPr>
            <w:r w:rsidRPr="00044C24">
              <w:rPr>
                <w:color w:val="000000" w:themeColor="text1"/>
                <w:sz w:val="20"/>
                <w:szCs w:val="20"/>
              </w:rPr>
              <w:t>Scales on observed metrics, not static pod count.</w:t>
            </w:r>
          </w:p>
        </w:tc>
      </w:tr>
    </w:tbl>
    <w:p w14:paraId="01AC2EF0" w14:textId="77777777" w:rsidR="00F05282" w:rsidRDefault="00F05282" w:rsidP="00F05282">
      <w:pPr>
        <w:pStyle w:val="Heading2"/>
      </w:pPr>
    </w:p>
    <w:p w14:paraId="6AA095C0" w14:textId="77777777" w:rsidR="00F05282" w:rsidRDefault="00F05282">
      <w:pPr>
        <w:spacing w:after="160"/>
      </w:pPr>
    </w:p>
    <w:p w14:paraId="0FFC153E" w14:textId="77777777" w:rsidR="007877DE" w:rsidRDefault="00000000">
      <w:pPr>
        <w:pStyle w:val="Heading1"/>
      </w:pPr>
      <w:r>
        <w:lastRenderedPageBreak/>
        <w:t>5. FinOps: Cost Optimization Opportunities</w:t>
      </w:r>
    </w:p>
    <w:p w14:paraId="54C7A465" w14:textId="7C9A5AB3" w:rsidR="007877DE" w:rsidRDefault="00000000">
      <w:pPr>
        <w:spacing w:after="160"/>
      </w:pPr>
      <w:r>
        <w:t xml:space="preserve">Three concrete opportunities were identified, with the first one </w:t>
      </w:r>
      <w:r w:rsidR="00613D0C">
        <w:t>implemented</w:t>
      </w:r>
      <w:r>
        <w:t xml:space="preserve"> in the manifests in this repo:</w:t>
      </w:r>
    </w:p>
    <w:p w14:paraId="09FA8B5D" w14:textId="77777777" w:rsidR="007877DE" w:rsidRDefault="00000000">
      <w:pPr>
        <w:pStyle w:val="Heading2"/>
      </w:pPr>
      <w:r>
        <w:t>5.1 Right-sizing requests/limits from observed metrics (implemented)</w:t>
      </w:r>
    </w:p>
    <w:p w14:paraId="6BC12C00" w14:textId="0D28A26E" w:rsidR="007877DE" w:rsidRDefault="00000000">
      <w:pPr>
        <w:spacing w:after="160"/>
      </w:pPr>
      <w:r>
        <w:t xml:space="preserve">Rather than accepting initial conservative estimates, the API tier resources were iteratively </w:t>
      </w:r>
      <w:r w:rsidR="00613D0C">
        <w:t>right sized</w:t>
      </w:r>
      <w:r>
        <w:t>. The original values (200m/500m CPU, 256Mi/512Mi memory) were reduced to 25m/200m CPU and 64Mi/256Mi memory after observing actual pod consumption via kubectl top pod under realistic load, then adding a safety margin appropriate for the workload profile. Over-provisioned requests are one of the most common sources of wasted EKS spend, since Kubernetes bin-packs nodes based on requests, not actual usage — every unused 'reserved' core or GB is a core/GB of node capacity you're still paying for.</w:t>
      </w:r>
    </w:p>
    <w:p w14:paraId="6CC1E532" w14:textId="77777777" w:rsidR="007877DE" w:rsidRDefault="00000000">
      <w:pPr>
        <w:pStyle w:val="Heading2"/>
      </w:pPr>
      <w:r>
        <w:t>5.2 Lowering HPA minReplicas outside of grading hours</w:t>
      </w:r>
    </w:p>
    <w:p w14:paraId="6582B043" w14:textId="77777777" w:rsidR="007877DE" w:rsidRDefault="00000000">
      <w:pPr>
        <w:spacing w:after="160"/>
      </w:pPr>
      <w:r>
        <w:t>The assignment requires minReplicas: 4 so the requirement table's 'Number of pods = 4' is always demonstrably true. In a real (non-graded) deployment, I would drop minReplicas to 2 and rely on the HPA to scale up on demand — for a support-tool workload that's busiest during business hours, running 4 pods around the clock is the cost-equivalent of paying for 2x the compute you need most of the day.</w:t>
      </w:r>
    </w:p>
    <w:p w14:paraId="61B0F957" w14:textId="77777777" w:rsidR="007877DE" w:rsidRDefault="00000000">
      <w:pPr>
        <w:pStyle w:val="Heading2"/>
      </w:pPr>
      <w:r>
        <w:t>5.3 Moving worker nodes to AWS Graviton (arm64) instances</w:t>
      </w:r>
    </w:p>
    <w:p w14:paraId="5D5A7A3C" w14:textId="2834B6DC" w:rsidR="007877DE" w:rsidRDefault="00000000">
      <w:pPr>
        <w:spacing w:after="160"/>
      </w:pPr>
      <w:r>
        <w:t xml:space="preserve">EKS worker nodes for this workload were assumed to be standard x86_64 instances for compatibility ease during development. AWS Graviton (arm64) instances typically offer 20–40% better price-performance for general-purpose Java workloads, and Spring Boot/Eclipse both publish arm64 images, so the </w:t>
      </w:r>
      <w:r w:rsidR="00613D0C">
        <w:t>Docker file’s</w:t>
      </w:r>
      <w:r>
        <w:t xml:space="preserve"> base images (maven:3.9-eclipse-temurin-21 and eclipse-temurin:21-jre-alpine) would need no source changes to retarget — just a multi-arch image build and a node-group change.</w:t>
      </w:r>
    </w:p>
    <w:p w14:paraId="731044C2" w14:textId="77777777" w:rsidR="007877DE" w:rsidRDefault="00000000">
      <w:pPr>
        <w:pStyle w:val="Heading2"/>
      </w:pPr>
      <w:r>
        <w:t>Additional levers considered but not pursued in this assignment</w:t>
      </w:r>
    </w:p>
    <w:p w14:paraId="522AB512" w14:textId="45ADDB00" w:rsidR="007877DE" w:rsidRDefault="00000000">
      <w:pPr>
        <w:pStyle w:val="ListParagraph"/>
        <w:numPr>
          <w:ilvl w:val="0"/>
          <w:numId w:val="2"/>
        </w:numPr>
        <w:spacing w:after="80"/>
      </w:pPr>
      <w:r>
        <w:t xml:space="preserve">Scaling the database </w:t>
      </w:r>
      <w:r w:rsidR="00613D0C">
        <w:t>Stateful Set’s</w:t>
      </w:r>
      <w:r>
        <w:t xml:space="preserve"> node pool down outside business hours for non-prod environments using a </w:t>
      </w:r>
      <w:r w:rsidR="00613D0C">
        <w:t>Cronjob</w:t>
      </w:r>
      <w:r>
        <w:t xml:space="preserve"> or AWS Instance Scheduler.</w:t>
      </w:r>
    </w:p>
    <w:p w14:paraId="4B715146" w14:textId="77777777" w:rsidR="007877DE" w:rsidRDefault="00000000">
      <w:pPr>
        <w:pStyle w:val="ListParagraph"/>
        <w:numPr>
          <w:ilvl w:val="0"/>
          <w:numId w:val="2"/>
        </w:numPr>
        <w:spacing w:after="80"/>
      </w:pPr>
      <w:r>
        <w:t>Using Karpenter instead of the cluster autoscaler for faster, more cost-aware node provisioning.</w:t>
      </w:r>
    </w:p>
    <w:p w14:paraId="5547CD2F" w14:textId="77777777" w:rsidR="007877DE" w:rsidRDefault="00000000">
      <w:pPr>
        <w:pStyle w:val="ListParagraph"/>
        <w:numPr>
          <w:ilvl w:val="0"/>
          <w:numId w:val="2"/>
        </w:numPr>
        <w:spacing w:after="80"/>
      </w:pPr>
      <w:r>
        <w:t>S3 lifecycle policies for any exported logs/metrics to move cold data to Glacier.</w:t>
      </w:r>
    </w:p>
    <w:p w14:paraId="3E976D59" w14:textId="77777777" w:rsidR="007877DE" w:rsidRDefault="00000000">
      <w:pPr>
        <w:pStyle w:val="Heading1"/>
      </w:pPr>
      <w:r>
        <w:t>6. Deliverables Map</w:t>
      </w:r>
    </w:p>
    <w:p w14:paraId="524AD10A" w14:textId="77777777" w:rsidR="007877DE" w:rsidRDefault="00000000">
      <w:pPr>
        <w:spacing w:after="160"/>
      </w:pPr>
      <w:r>
        <w:t>For quick reference, here is where each required deliverable lives:</w:t>
      </w:r>
    </w:p>
    <w:p w14:paraId="1B424114" w14:textId="1D089B4E" w:rsidR="007877DE" w:rsidRDefault="00000000">
      <w:pPr>
        <w:pStyle w:val="ListParagraph"/>
        <w:numPr>
          <w:ilvl w:val="0"/>
          <w:numId w:val="2"/>
        </w:numPr>
        <w:spacing w:after="80"/>
      </w:pPr>
      <w:r>
        <w:t xml:space="preserve">Source code + all Kubernetes YAML + </w:t>
      </w:r>
      <w:r w:rsidR="00613D0C">
        <w:t>Docker file</w:t>
      </w:r>
      <w:r>
        <w:t>: GitHub repository (link on title page and in README.md).</w:t>
      </w:r>
    </w:p>
    <w:p w14:paraId="57C76AF0" w14:textId="51716ABF" w:rsidR="007877DE" w:rsidRDefault="00000000">
      <w:pPr>
        <w:pStyle w:val="ListParagraph"/>
        <w:numPr>
          <w:ilvl w:val="0"/>
          <w:numId w:val="2"/>
        </w:numPr>
        <w:spacing w:after="80"/>
      </w:pPr>
      <w:r>
        <w:t xml:space="preserve">README.md: </w:t>
      </w:r>
      <w:hyperlink r:id="rId9" w:history="1">
        <w:r w:rsidRPr="00DC37F4">
          <w:rPr>
            <w:rStyle w:val="Hyperlink"/>
          </w:rPr>
          <w:t>repo root</w:t>
        </w:r>
      </w:hyperlink>
      <w:r>
        <w:t xml:space="preserve"> — contains repo link, Docker Hub URL, live API URL instructions, and the demo checklist.</w:t>
      </w:r>
    </w:p>
    <w:sectPr w:rsidR="007877D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4CC7" w14:textId="77777777" w:rsidR="005C23F5" w:rsidRDefault="005C23F5">
      <w:r>
        <w:separator/>
      </w:r>
    </w:p>
  </w:endnote>
  <w:endnote w:type="continuationSeparator" w:id="0">
    <w:p w14:paraId="24D98A44" w14:textId="77777777" w:rsidR="005C23F5" w:rsidRDefault="005C2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58F9" w14:textId="77777777" w:rsidR="007877DE"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A4A0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0C2E" w14:textId="77777777" w:rsidR="005C23F5" w:rsidRDefault="005C23F5">
      <w:r>
        <w:separator/>
      </w:r>
    </w:p>
  </w:footnote>
  <w:footnote w:type="continuationSeparator" w:id="0">
    <w:p w14:paraId="0473767D" w14:textId="77777777" w:rsidR="005C23F5" w:rsidRDefault="005C2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D58C" w14:textId="77777777" w:rsidR="007877DE" w:rsidRDefault="00000000">
    <w:pPr>
      <w:jc w:val="right"/>
    </w:pPr>
    <w:r>
      <w:rPr>
        <w:color w:val="888888"/>
        <w:sz w:val="16"/>
        <w:szCs w:val="16"/>
      </w:rPr>
      <w:t>OrderPulse API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39CD"/>
    <w:multiLevelType w:val="hybridMultilevel"/>
    <w:tmpl w:val="348A0C36"/>
    <w:lvl w:ilvl="0" w:tplc="EDC0A0A2">
      <w:start w:val="1"/>
      <w:numFmt w:val="bullet"/>
      <w:lvlText w:val="•"/>
      <w:lvlJc w:val="left"/>
      <w:pPr>
        <w:ind w:left="720" w:hanging="360"/>
      </w:pPr>
    </w:lvl>
    <w:lvl w:ilvl="1" w:tplc="FCEED1DE">
      <w:numFmt w:val="decimal"/>
      <w:lvlText w:val=""/>
      <w:lvlJc w:val="left"/>
    </w:lvl>
    <w:lvl w:ilvl="2" w:tplc="B30A0E52">
      <w:numFmt w:val="decimal"/>
      <w:lvlText w:val=""/>
      <w:lvlJc w:val="left"/>
    </w:lvl>
    <w:lvl w:ilvl="3" w:tplc="B18E1AF6">
      <w:numFmt w:val="decimal"/>
      <w:lvlText w:val=""/>
      <w:lvlJc w:val="left"/>
    </w:lvl>
    <w:lvl w:ilvl="4" w:tplc="C36C8874">
      <w:numFmt w:val="decimal"/>
      <w:lvlText w:val=""/>
      <w:lvlJc w:val="left"/>
    </w:lvl>
    <w:lvl w:ilvl="5" w:tplc="60B804A2">
      <w:numFmt w:val="decimal"/>
      <w:lvlText w:val=""/>
      <w:lvlJc w:val="left"/>
    </w:lvl>
    <w:lvl w:ilvl="6" w:tplc="1618E94C">
      <w:numFmt w:val="decimal"/>
      <w:lvlText w:val=""/>
      <w:lvlJc w:val="left"/>
    </w:lvl>
    <w:lvl w:ilvl="7" w:tplc="B8B806FC">
      <w:numFmt w:val="decimal"/>
      <w:lvlText w:val=""/>
      <w:lvlJc w:val="left"/>
    </w:lvl>
    <w:lvl w:ilvl="8" w:tplc="4B4CF27C">
      <w:numFmt w:val="decimal"/>
      <w:lvlText w:val=""/>
      <w:lvlJc w:val="left"/>
    </w:lvl>
  </w:abstractNum>
  <w:abstractNum w:abstractNumId="1" w15:restartNumberingAfterBreak="0">
    <w:nsid w:val="48DC60FA"/>
    <w:multiLevelType w:val="hybridMultilevel"/>
    <w:tmpl w:val="583EA190"/>
    <w:lvl w:ilvl="0" w:tplc="9606F0E2">
      <w:start w:val="1"/>
      <w:numFmt w:val="decimal"/>
      <w:lvlText w:val="%1."/>
      <w:lvlJc w:val="left"/>
      <w:pPr>
        <w:ind w:left="720" w:hanging="360"/>
      </w:pPr>
    </w:lvl>
    <w:lvl w:ilvl="1" w:tplc="D0304886">
      <w:numFmt w:val="decimal"/>
      <w:lvlText w:val=""/>
      <w:lvlJc w:val="left"/>
    </w:lvl>
    <w:lvl w:ilvl="2" w:tplc="D51E9AF6">
      <w:numFmt w:val="decimal"/>
      <w:lvlText w:val=""/>
      <w:lvlJc w:val="left"/>
    </w:lvl>
    <w:lvl w:ilvl="3" w:tplc="5D364A7A">
      <w:numFmt w:val="decimal"/>
      <w:lvlText w:val=""/>
      <w:lvlJc w:val="left"/>
    </w:lvl>
    <w:lvl w:ilvl="4" w:tplc="BA2E1646">
      <w:numFmt w:val="decimal"/>
      <w:lvlText w:val=""/>
      <w:lvlJc w:val="left"/>
    </w:lvl>
    <w:lvl w:ilvl="5" w:tplc="D09EBC96">
      <w:numFmt w:val="decimal"/>
      <w:lvlText w:val=""/>
      <w:lvlJc w:val="left"/>
    </w:lvl>
    <w:lvl w:ilvl="6" w:tplc="519E9E48">
      <w:numFmt w:val="decimal"/>
      <w:lvlText w:val=""/>
      <w:lvlJc w:val="left"/>
    </w:lvl>
    <w:lvl w:ilvl="7" w:tplc="D7DE1FAA">
      <w:numFmt w:val="decimal"/>
      <w:lvlText w:val=""/>
      <w:lvlJc w:val="left"/>
    </w:lvl>
    <w:lvl w:ilvl="8" w:tplc="16447D74">
      <w:numFmt w:val="decimal"/>
      <w:lvlText w:val=""/>
      <w:lvlJc w:val="left"/>
    </w:lvl>
  </w:abstractNum>
  <w:abstractNum w:abstractNumId="2" w15:restartNumberingAfterBreak="0">
    <w:nsid w:val="5B8D7B56"/>
    <w:multiLevelType w:val="hybridMultilevel"/>
    <w:tmpl w:val="9CF61F52"/>
    <w:lvl w:ilvl="0" w:tplc="EC227992">
      <w:start w:val="1"/>
      <w:numFmt w:val="bullet"/>
      <w:lvlText w:val="●"/>
      <w:lvlJc w:val="left"/>
      <w:pPr>
        <w:ind w:left="720" w:hanging="360"/>
      </w:pPr>
    </w:lvl>
    <w:lvl w:ilvl="1" w:tplc="68E2FE5E">
      <w:start w:val="1"/>
      <w:numFmt w:val="bullet"/>
      <w:lvlText w:val="○"/>
      <w:lvlJc w:val="left"/>
      <w:pPr>
        <w:ind w:left="1440" w:hanging="360"/>
      </w:pPr>
    </w:lvl>
    <w:lvl w:ilvl="2" w:tplc="1CA2D6C6">
      <w:start w:val="1"/>
      <w:numFmt w:val="bullet"/>
      <w:lvlText w:val="■"/>
      <w:lvlJc w:val="left"/>
      <w:pPr>
        <w:ind w:left="2160" w:hanging="360"/>
      </w:pPr>
    </w:lvl>
    <w:lvl w:ilvl="3" w:tplc="EED62786">
      <w:start w:val="1"/>
      <w:numFmt w:val="bullet"/>
      <w:lvlText w:val="●"/>
      <w:lvlJc w:val="left"/>
      <w:pPr>
        <w:ind w:left="2880" w:hanging="360"/>
      </w:pPr>
    </w:lvl>
    <w:lvl w:ilvl="4" w:tplc="88AEE31E">
      <w:start w:val="1"/>
      <w:numFmt w:val="bullet"/>
      <w:lvlText w:val="○"/>
      <w:lvlJc w:val="left"/>
      <w:pPr>
        <w:ind w:left="3600" w:hanging="360"/>
      </w:pPr>
    </w:lvl>
    <w:lvl w:ilvl="5" w:tplc="B6D4841C">
      <w:start w:val="1"/>
      <w:numFmt w:val="bullet"/>
      <w:lvlText w:val="■"/>
      <w:lvlJc w:val="left"/>
      <w:pPr>
        <w:ind w:left="4320" w:hanging="360"/>
      </w:pPr>
    </w:lvl>
    <w:lvl w:ilvl="6" w:tplc="84203F68">
      <w:start w:val="1"/>
      <w:numFmt w:val="bullet"/>
      <w:lvlText w:val="●"/>
      <w:lvlJc w:val="left"/>
      <w:pPr>
        <w:ind w:left="5040" w:hanging="360"/>
      </w:pPr>
    </w:lvl>
    <w:lvl w:ilvl="7" w:tplc="FDC2A2DA">
      <w:start w:val="1"/>
      <w:numFmt w:val="bullet"/>
      <w:lvlText w:val="●"/>
      <w:lvlJc w:val="left"/>
      <w:pPr>
        <w:ind w:left="5760" w:hanging="360"/>
      </w:pPr>
    </w:lvl>
    <w:lvl w:ilvl="8" w:tplc="3182CADE">
      <w:start w:val="1"/>
      <w:numFmt w:val="bullet"/>
      <w:lvlText w:val="●"/>
      <w:lvlJc w:val="left"/>
      <w:pPr>
        <w:ind w:left="6480" w:hanging="360"/>
      </w:pPr>
    </w:lvl>
  </w:abstractNum>
  <w:num w:numId="1" w16cid:durableId="2064017488">
    <w:abstractNumId w:val="2"/>
    <w:lvlOverride w:ilvl="0">
      <w:startOverride w:val="1"/>
    </w:lvlOverride>
  </w:num>
  <w:num w:numId="2" w16cid:durableId="1485005363">
    <w:abstractNumId w:val="0"/>
    <w:lvlOverride w:ilvl="0">
      <w:startOverride w:val="1"/>
    </w:lvlOverride>
  </w:num>
  <w:num w:numId="3" w16cid:durableId="1222135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7DE"/>
    <w:rsid w:val="00006DF1"/>
    <w:rsid w:val="00044C24"/>
    <w:rsid w:val="00531EAE"/>
    <w:rsid w:val="005929D2"/>
    <w:rsid w:val="005A4A05"/>
    <w:rsid w:val="005C23F5"/>
    <w:rsid w:val="00613D0C"/>
    <w:rsid w:val="007877DE"/>
    <w:rsid w:val="00812667"/>
    <w:rsid w:val="008E0747"/>
    <w:rsid w:val="00DC37F4"/>
    <w:rsid w:val="00EC634F"/>
    <w:rsid w:val="00F05282"/>
    <w:rsid w:val="00F16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7EFF"/>
  <w15:docId w15:val="{B427C112-0A23-4846-AE9F-201BE093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A4A05"/>
    <w:rPr>
      <w:color w:val="605E5C"/>
      <w:shd w:val="clear" w:color="auto" w:fill="E1DFDD"/>
    </w:rPr>
  </w:style>
  <w:style w:type="table" w:styleId="TableGrid">
    <w:name w:val="Table Grid"/>
    <w:basedOn w:val="TableNormal"/>
    <w:uiPriority w:val="39"/>
    <w:rsid w:val="00F05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ranimondal/orderpulse-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rani.mondal@nagarr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ranimondal/orderpulse-api/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1987</Words>
  <Characters>11329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Arani Mondal</cp:lastModifiedBy>
  <cp:revision>34</cp:revision>
  <dcterms:created xsi:type="dcterms:W3CDTF">2026-06-23T04:58:00Z</dcterms:created>
  <dcterms:modified xsi:type="dcterms:W3CDTF">2026-06-25T13:50:00Z</dcterms:modified>
</cp:coreProperties>
</file>