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Workshop: Parallax con CSS Puro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Trabajo Práctico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Implementar parallax con CSS puro en un sitio web con la propiedad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background-attachment: fixed;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Agregar a tus sitios web uno de los efectos más utilizados de internet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/>
      </w:pPr>
      <w:r w:rsidDel="00000000" w:rsidR="00000000" w:rsidRPr="00000000">
        <w:rPr>
          <w:rtl w:val="0"/>
        </w:rPr>
        <w:t xml:space="preserve">Haber realizado los trabajos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Usar sólo CSS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el archivo a tu repositorio de Github.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/>
      </w:pPr>
      <w:r w:rsidDel="00000000" w:rsidR="00000000" w:rsidRPr="00000000">
        <w:rPr>
          <w:rtl w:val="0"/>
        </w:rPr>
        <w:t xml:space="preserve">Subir la resolución de tu trabajo  a tu repositorio de Github en la subcarpeta “Parallax TP11”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hyperlink r:id="rId5">
        <w:r w:rsidDel="00000000" w:rsidR="00000000" w:rsidRPr="00000000">
          <w:rPr>
            <w:sz w:val="32"/>
            <w:szCs w:val="32"/>
            <w:highlight w:val="white"/>
            <w:u w:val="single"/>
            <w:rtl w:val="0"/>
          </w:rPr>
          <w:t xml:space="preserve">https://www.youtube.com/watch?v=xRveT8RV_Oo</w:t>
        </w:r>
      </w:hyperlink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Efecto parallax con CSS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r w:rsidDel="00000000" w:rsidR="00000000" w:rsidRPr="00000000">
      <w:rPr>
        <w:sz w:val="22"/>
        <w:szCs w:val="22"/>
        <w:rtl w:val="0"/>
      </w:rPr>
      <w:t xml:space="preserve">coderhouse.com</w:t>
    </w:r>
  </w:p>
  <w:p w:rsidR="00000000" w:rsidDel="00000000" w:rsidP="00000000" w:rsidRDefault="00000000" w:rsidRPr="00000000">
    <w:pPr>
      <w:ind w:left="0" w:firstLine="0"/>
      <w:contextualSpacing w:val="0"/>
      <w:jc w:val="right"/>
    </w:pPr>
    <w:fldSimple w:instr="PAGE" w:fldLock="0" w:dirty="0">
      <w:r w:rsidDel="00000000" w:rsidR="00000000" w:rsidRPr="00000000">
        <w:rPr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highlight w:val="white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144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xRveT8RV_Oo" TargetMode="External"/><Relationship Id="rId6" Type="http://schemas.openxmlformats.org/officeDocument/2006/relationships/hyperlink" Target="http://www.neopixel.com.mx/articulos-neopixel/articulos-internet/1850-efecto-parallax-con-css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