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40"/>
          <w:szCs w:val="40"/>
        </w:rPr>
        <w:t xml:space="preserve">Urban Ghost Kitchen</w:t>
      </w:r>
    </w:p>
    <w:p>
      <w:pPr>
        <w:spacing w:after="200"/>
        <w:jc w:val="center"/>
      </w:pPr>
      <w:r>
        <w:rPr>
          <w:b/>
          <w:bCs/>
          <w:color w:val="1F4E79"/>
          <w:sz w:val="30"/>
          <w:szCs w:val="30"/>
        </w:rPr>
        <w:t xml:space="preserve">Data-Driven Business Insights Report</w:t>
      </w:r>
    </w:p>
    <w:p>
      <w:pPr>
        <w:spacing w:after="20"/>
        <w:jc w:val="center"/>
      </w:pPr>
      <w:r>
        <w:rPr>
          <w:sz w:val="20"/>
          <w:szCs w:val="20"/>
        </w:rPr>
        <w:t xml:space="preserve">Prepared by Arannayava Debnath</w:t>
      </w:r>
    </w:p>
    <w:p>
      <w:pPr>
        <w:spacing w:after="20"/>
        <w:jc w:val="center"/>
      </w:pPr>
      <w:r>
        <w:rPr>
          <w:color w:val="5A5A5A"/>
          <w:sz w:val="20"/>
          <w:szCs w:val="20"/>
        </w:rPr>
        <w:t xml:space="preserve">Data Analytics Portfolio Project</w:t>
      </w:r>
    </w:p>
    <w:p>
      <w:pPr>
        <w:spacing w:after="240"/>
        <w:jc w:val="center"/>
      </w:pPr>
      <w:r>
        <w:rPr>
          <w:color w:val="5A5A5A"/>
          <w:sz w:val="18"/>
          <w:szCs w:val="18"/>
        </w:rPr>
        <w:t xml:space="preserve">September 2026</w:t>
      </w:r>
    </w:p>
    <w:p>
      <w:pPr>
        <w:pBdr>
          <w:bottom w:val="single" w:color="1F4E79" w:sz="6"/>
        </w:pBdr>
        <w:spacing w:after="240"/>
      </w:pPr>
      <w:r>
        <w:t xml:space="preserve"/>
      </w:r>
    </w:p>
    <w:p>
      <w:pPr>
        <w:spacing w:after="280"/>
      </w:pPr>
      <w:r>
        <w:rPr>
          <w:b/>
          <w:bCs/>
        </w:rPr>
        <w:t xml:space="preserve">Scope: </w:t>
      </w:r>
      <w:r>
        <w:t xml:space="preserve">This report analyzes SQL-based query results covering Customer, Revenue, Order, Kitchen, Delivery, Menu/Category, Customer Segmentation, Cancellation/Refund, and Time-Based dimensions for the fictional ghost kitchen business Urban Ghost Kitchen. All figures are drawn directly from the provided query outputs; no numbers, trends, or causes are assumed beyond what the data supports.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1. Executive Summary</w:t>
      </w:r>
    </w:p>
    <w:p>
      <w:pPr>
        <w:spacing w:after="180"/>
        <w:ind w:left="360" w:hanging="360"/>
      </w:pPr>
      <w:r>
        <w:rPr>
          <w:b w:val="false"/>
          <w:bCs w:val="false"/>
        </w:rPr>
        <w:t xml:space="preserve">1.  </w:t>
      </w:r>
      <w:r>
        <w:rPr>
          <w:b/>
          <w:bCs/>
        </w:rPr>
        <w:t xml:space="preserve">Cancellations are heavily concentrated in a small number of kitchens.</w:t>
      </w:r>
      <w:r>
        <w:t xml:space="preserve"> Overall cancellation rate is 10.19% (2,038 of 20,000 orders), but four kitchens — KIT-017 (18.73%), KIT-009 (18.44%), KIT-001 (18.26%), and KIT-005 (16.93%) — run at roughly double the network average, while the next-highest kitchen (KIT-003) drops to 10.15%.</w:t>
      </w:r>
    </w:p>
    <w:p>
      <w:pPr>
        <w:spacing w:after="180"/>
        <w:ind w:left="360" w:hanging="360"/>
      </w:pPr>
      <w:r>
        <w:rPr>
          <w:b w:val="false"/>
          <w:bCs w:val="false"/>
        </w:rPr>
        <w:t xml:space="preserve">2.  </w:t>
      </w:r>
      <w:r>
        <w:rPr>
          <w:b/>
          <w:bCs/>
        </w:rPr>
        <w:t xml:space="preserve">Revenue is driven far more by price per item than by sales volume.</w:t>
      </w:r>
      <w:r>
        <w:t xml:space="preserve"> Order quantity across the 10 menu categories is tightly clustered (8,706–9,124 units, a ~5% spread), but category revenue ranges from ₹837,752 (Beverage) to ₹3,248,289 (Pizza) — a ~4x spread — explained almost entirely by average unit price (₹95.79 for Beverage vs ₹363.34 for Pizza).</w:t>
      </w:r>
    </w:p>
    <w:p>
      <w:pPr>
        <w:spacing w:after="180"/>
        <w:ind w:left="360" w:hanging="360"/>
      </w:pPr>
      <w:r>
        <w:rPr>
          <w:b w:val="false"/>
          <w:bCs w:val="false"/>
        </w:rPr>
        <w:t xml:space="preserve">3.  </w:t>
      </w:r>
      <w:r>
        <w:rPr>
          <w:b/>
          <w:bCs/>
        </w:rPr>
        <w:t xml:space="preserve">One kitchen (KIT-002) dominates order volume and revenue.</w:t>
      </w:r>
      <w:r>
        <w:t xml:space="preserve"> It handled 3,427 orders (17.1% of all orders) and ₹1,949,309.57 in revenue (16.9% of total revenue) — more than double the second-largest kitchen (KIT-025: 1,349 orders, ₹786,527.51).</w:t>
      </w:r>
    </w:p>
    <w:p>
      <w:pPr>
        <w:spacing w:after="180"/>
        <w:ind w:left="360" w:hanging="360"/>
      </w:pPr>
      <w:r>
        <w:rPr>
          <w:b w:val="false"/>
          <w:bCs w:val="false"/>
        </w:rPr>
        <w:t xml:space="preserve">4.  </w:t>
      </w:r>
      <w:r>
        <w:rPr>
          <w:b/>
          <w:bCs/>
        </w:rPr>
        <w:t xml:space="preserve">Short-distance deliveries cancel more often than long-distance ones.</w:t>
      </w:r>
      <w:r>
        <w:t xml:space="preserve"> Cancellation rate is 12.10% for "Short" distance orders vs 7.53% for "Long" and 6.69% for "Medium" — the opposite of what delivery-distance risk would typically predict.</w:t>
      </w:r>
    </w:p>
    <w:p>
      <w:pPr>
        <w:spacing w:after="180"/>
        <w:ind w:left="360" w:hanging="360"/>
      </w:pPr>
      <w:r>
        <w:rPr>
          <w:b w:val="false"/>
          <w:bCs w:val="false"/>
        </w:rPr>
        <w:t xml:space="preserve">5.  </w:t>
      </w:r>
      <w:r>
        <w:rPr>
          <w:b/>
          <w:bCs/>
        </w:rPr>
        <w:t xml:space="preserve">Premium customers show a split pattern: lowest cancellation, highest refund rate.</w:t>
      </w:r>
      <w:r>
        <w:t xml:space="preserve"> Premium cancellation rate (10.20%) sits between New (11.14%) and Regular (9.92%), but Premium has the highest refund rate at 4.52% vs 3.99% (Regular) and 3.23% (New).</w:t>
      </w:r>
    </w:p>
    <w:p>
      <w:pPr>
        <w:spacing w:after="180"/>
        <w:ind w:left="360" w:hanging="360"/>
      </w:pPr>
      <w:r>
        <w:rPr>
          <w:b w:val="false"/>
          <w:bCs w:val="false"/>
        </w:rPr>
        <w:t xml:space="preserve">6.  </w:t>
      </w:r>
      <w:r>
        <w:rPr>
          <w:b/>
          <w:bCs/>
        </w:rPr>
        <w:t xml:space="preserve">Peak demand is a tight, predictable evening window.</w:t>
      </w:r>
      <w:r>
        <w:t xml:space="preserve"> 18:00–21:00 accounts for 6,742 of 20,000 orders (33.7%), peaking at 20:00 with 2,215 orders — 22x the 3:00–4:00 AM trough (98–99 orders).</w:t>
      </w:r>
    </w:p>
    <w:p>
      <w:pPr>
        <w:spacing w:after="180"/>
        <w:ind w:left="360" w:hanging="360"/>
      </w:pPr>
      <w:r>
        <w:rPr>
          <w:b w:val="false"/>
          <w:bCs w:val="false"/>
        </w:rPr>
        <w:t xml:space="preserve">7.  </w:t>
      </w:r>
      <w:r>
        <w:rPr>
          <w:b/>
          <w:bCs/>
        </w:rPr>
        <w:t xml:space="preserve">Revenue is not customer-concentrated.</w:t>
      </w:r>
      <w:r>
        <w:t xml:space="preserve"> The single largest customer (CUS-00582, 276 orders) contributes only 1.36% of total revenue, and no customer in the top 20 exceeds that — indicating no single-customer dependency risk in the current data.</w:t>
      </w:r>
    </w:p>
    <w:p>
      <w:pPr>
        <w:spacing w:after="180"/>
        <w:ind w:left="360" w:hanging="360"/>
      </w:pPr>
      <w:r>
        <w:rPr>
          <w:b w:val="false"/>
          <w:bCs w:val="false"/>
        </w:rPr>
        <w:t xml:space="preserve">8.  </w:t>
      </w:r>
      <w:r>
        <w:rPr>
          <w:b/>
          <w:bCs/>
        </w:rPr>
        <w:t xml:space="preserve">Kitchens with the worst cancellation rates and kitchens with the worst refund rates are largely different kitchens.</w:t>
      </w:r>
      <w:r>
        <w:t xml:space="preserve"> Top cancellation offenders (KIT-017, KIT-009, KIT-001, KIT-005) do not overlap with top refund offenders (KIT-019: 5.99%, KIT-010: 5.81%, KIT-008: 5.52%, KIT-013: 5.04%), suggesting these are two separate operational problems, not one.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2. Detailed Business Insights</w:t>
      </w:r>
    </w:p>
    <w:tbl>
      <w:tblPr>
        <w:tblW w:type="dxa" w:w="1008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1500"/>
        <w:gridCol w:w="2600"/>
        <w:gridCol w:w="3560"/>
        <w:gridCol w:w="3560"/>
      </w:tblGrid>
      <w:tr>
        <w:trPr>
          <w:tblHeader/>
        </w:trPr>
        <w:tc>
          <w:tcPr>
            <w:tcW w:type="dxa" w:w="1500"/>
            <w:shd w:fill="1F4E7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2600"/>
            <w:shd w:fill="1F4E7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Finding</w:t>
            </w:r>
          </w:p>
        </w:tc>
        <w:tc>
          <w:tcPr>
            <w:tcW w:type="dxa" w:w="3560"/>
            <w:shd w:fill="1F4E7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tcW w:type="dxa" w:w="3560"/>
            <w:shd w:fill="1F4E7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Business Implication</w:t>
            </w:r>
          </w:p>
        </w:tc>
      </w:tr>
      <w:tr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Customer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Revenue base is not concentrated in a few customers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Top customer CUS-00582 contributes 1.36% of ₹11,507,673.68 total revenue; top 20 customers each contribute under 1.4%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Low dependency risk on any single customer; revenue stability doesn't hinge on retaining one account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Revenue</w:t>
            </w:r>
          </w:p>
        </w:tc>
        <w:tc>
          <w:tcPr>
            <w:tcW w:type="dxa" w:w="2600"/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Total revenue is ₹11,507,673.68, but 14.3% of it never converts to delivered revenue</w:t>
            </w:r>
          </w:p>
        </w:tc>
        <w:tc>
          <w:tcPr>
            <w:tcW w:type="dxa" w:w="3560"/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Revenue by status: Delivered ₹9,866,018.28 (85.7%), Cancelled ₹1,181,250.94 (10.3%), Refunded ₹460,404.46 (4.0%)</w:t>
            </w:r>
          </w:p>
        </w:tc>
        <w:tc>
          <w:tcPr>
            <w:tcW w:type="dxa" w:w="3560"/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Roughly ₹1.64M in booked order value is lost annually to cancellations/refunds — a direct leakage figure</w:t>
            </w:r>
          </w:p>
        </w:tc>
      </w:tr>
      <w:tr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Orders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Order status splits to 85.81% Delivered, 10.19% Cancelled, 4.00% Refunded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Orders by Status: Delivered 17,162 / Cancelled 2,038 / Refunded 800 of 20,000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 delivered rate is the baseline to track; a &gt;10% cancellation rate is a meaningful chunk of operational capacity spent on orders that don't complete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Kitchen</w:t>
            </w:r>
          </w:p>
        </w:tc>
        <w:tc>
          <w:tcPr>
            <w:tcW w:type="dxa" w:w="2600"/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Order and revenue volume are highly uneven across kitchens</w:t>
            </w:r>
          </w:p>
        </w:tc>
        <w:tc>
          <w:tcPr>
            <w:tcW w:type="dxa" w:w="3560"/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KIT-002: 3,427 orders / ₹1,949,309.57 revenue vs KIT-021: 342 orders (lowest tier) — a ~10x spread in order count across 25 kitchens</w:t>
            </w:r>
          </w:p>
        </w:tc>
        <w:tc>
          <w:tcPr>
            <w:tcW w:type="dxa" w:w="3560"/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Capacity planning and quality control need to be kitchen-specific, not network-wide, given this size disparity</w:t>
            </w:r>
          </w:p>
        </w:tc>
      </w:tr>
      <w:tr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Delivery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Delivery time scales with distance category, but two kitchens are outliers regardless of that pattern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Avg delivery time: Short 20.45 min, Medium 34.49 min, Long 57.81 min; but KIT-025 averages 41.50 min and KIT-009 averages 40.49 min overall, vs network average 29.31 min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These two kitchens likely have delivery-time issues independent of geography — worth investigating dispatch/staffing at KIT-025 and KIT-009 specifically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Menu/Category</w:t>
            </w:r>
          </w:p>
        </w:tc>
        <w:tc>
          <w:tcPr>
            <w:tcW w:type="dxa" w:w="2600"/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Revenue disparity across categories is driven by price, not by demand</w:t>
            </w:r>
          </w:p>
        </w:tc>
        <w:tc>
          <w:tcPr>
            <w:tcW w:type="dxa" w:w="3560"/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Order quantity range is narrow (8,706–9,124 units across categories) but revenue ranges from ₹837,752 (Beverage) to ₹3,248,288.52 (Pizza), tracking avg unit price (₹95.79 vs ₹363.34)</w:t>
            </w:r>
          </w:p>
        </w:tc>
        <w:tc>
          <w:tcPr>
            <w:tcW w:type="dxa" w:w="3560"/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Beverage and Dessert categories may be underpriced relative to their order volume, or Pizza's price point is what's carrying category-level revenue</w:t>
            </w:r>
          </w:p>
        </w:tc>
      </w:tr>
      <w:tr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Customer Segmentation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Segment revenue differences come from customer count and order frequency, not order value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AOV is nearly identical across segments (Premium ₹577.59, Regular ₹575.33, New ₹572.20 — under 1% spread), but avg customer spend differs sharply (Premium ₹19,720.55, Regular ₹12,278.32, New ₹6,597.31)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Segment value is a function of retention/frequency, not basket size — loyalty and repeat-order programs matter more than upsell here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Cancellation/Refund</w:t>
            </w:r>
          </w:p>
        </w:tc>
        <w:tc>
          <w:tcPr>
            <w:tcW w:type="dxa" w:w="2600"/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New customers cancel most; Premium customers refund most</w:t>
            </w:r>
          </w:p>
        </w:tc>
        <w:tc>
          <w:tcPr>
            <w:tcW w:type="dxa" w:w="3560"/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Cancellation rate: New 11.14%, Premium 10.20%, Regular 9.92%. Refund rate: Premium 4.52%, Regular 3.99%, New 3.23%</w:t>
            </w:r>
          </w:p>
        </w:tc>
        <w:tc>
          <w:tcPr>
            <w:tcW w:type="dxa" w:w="3560"/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New customers may be dropping orders early (onboarding friction), while Premium customers complete orders but seek refunds afterward (possible quality/expectation gap)</w:t>
            </w:r>
          </w:p>
        </w:tc>
      </w:tr>
      <w:tr>
        <w:tc>
          <w:tcPr>
            <w:tcW w:type="dxa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Time-Based</w:t>
            </w:r>
          </w:p>
        </w:tc>
        <w:tc>
          <w:tcPr>
            <w:tcW w:type="dxa" w:w="2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Demand is concentrated in a narrow evening band and skews toward weekends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Orders by hour peak at 20:00 (2,215) and 19:00 (2,096); Saturday (3,338) and Sunday (3,251) are the two highest days of week, each above the 2,620–2,842 weekday range</w:t>
            </w:r>
          </w:p>
        </w:tc>
        <w:tc>
          <w:tcPr>
            <w:tcW w:type="dxa" w:w="356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Staffing and kitchen capacity should be weighted toward the 18:00–21:00 window and weekends specifically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3. Key Performance Highlights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b/>
          <w:bCs/>
        </w:rPr>
        <w:t xml:space="preserve">Highest-performing customer:</w:t>
      </w:r>
      <w:r>
        <w:t xml:space="preserve"> CUS-00582 — 276 orders, ₹156,944.26 total spend (1.36% of total revenue), highest of any customer in the dataset.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b/>
          <w:bCs/>
        </w:rPr>
        <w:t xml:space="preserve">Highest-revenue kitchen:</w:t>
      </w:r>
      <w:r>
        <w:t xml:space="preserve"> KIT-002 — ₹1,949,309.57 (16.9% of total revenue), also highest order volume (3,427 orders).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b/>
          <w:bCs/>
        </w:rPr>
        <w:t xml:space="preserve">Highest-performing menu category (by revenue):</w:t>
      </w:r>
      <w:r>
        <w:t xml:space="preserve"> Pizza — ₹3,248,288.52, despite ranking only 4th of 10 in quantity sold (8,938 units).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b/>
          <w:bCs/>
        </w:rPr>
        <w:t xml:space="preserve">Top menu item:</w:t>
      </w:r>
      <w:r>
        <w:t xml:space="preserve"> Insufficient evidence — the "Top 10 Menu Items" results are all Pizza SKUs (Cheese Burst, Pepperoni, BBQ Chicken, Farmhouse, Paneer Tikka, Margherita), but every item is tied at just 5 units sold each. This indicates no single item has meaningfully higher demand than others; the "top" list reflects the highest tier of a very fragmented, long-tail catalog rather than one standout product.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b/>
          <w:bCs/>
        </w:rPr>
        <w:t xml:space="preserve">Peak ordering period:</w:t>
      </w:r>
      <w:r>
        <w:t xml:space="preserve"> 20:00 hour, 2,215 orders — the single busiest hour recorded; the broader 18:00–21:00 window accounts for 33.7% of all daily orders.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b/>
          <w:bCs/>
        </w:rPr>
        <w:t xml:space="preserve">Fastest delivery pattern:</w:t>
      </w:r>
      <w:r>
        <w:t xml:space="preserve"> KIT-011, 22.63 min average delivery time — fastest of all 25 kitchens.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b/>
          <w:bCs/>
        </w:rPr>
        <w:t xml:space="preserve">Slowest delivery pattern:</w:t>
      </w:r>
      <w:r>
        <w:t xml:space="preserve"> KIT-025, 41.50 min average delivery time — slowest of all 25 kitchens, and notably also the network's 3rd-highest order volume kitchen (1,349 orders).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b/>
          <w:bCs/>
        </w:rPr>
        <w:t xml:space="preserve">Highest cancellation area:</w:t>
      </w:r>
      <w:r>
        <w:t xml:space="preserve"> KIT-017 at kitchen level (18.73%); New customer segment at segment level (11.14%); Short-distance orders at distance level (12.10%).</w:t>
      </w:r>
    </w:p>
    <w:p>
      <w:pPr>
        <w:pStyle w:val="ListParagraph"/>
        <w:numPr>
          <w:ilvl w:val="0"/>
          <w:numId w:val="1"/>
        </w:numPr>
        <w:spacing w:after="140"/>
      </w:pPr>
      <w:r>
        <w:rPr>
          <w:b/>
          <w:bCs/>
        </w:rPr>
        <w:t xml:space="preserve">Highest refund area:</w:t>
      </w:r>
      <w:r>
        <w:t xml:space="preserve"> KIT-019 at kitchen level (5.99%); Premium customer segment at segment level (4.52%); Medium-distance orders at distance level (4.37%).</w:t>
      </w: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4. Operational Issues</w:t>
      </w:r>
    </w:p>
    <w:tbl>
      <w:tblPr>
        <w:tblW w:type="dxa" w:w="1008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3540"/>
        <w:gridCol w:w="3900"/>
        <w:gridCol w:w="3780"/>
      </w:tblGrid>
      <w:tr>
        <w:trPr>
          <w:tblHeader/>
        </w:trPr>
        <w:tc>
          <w:tcPr>
            <w:tcW w:type="dxa" w:w="3540"/>
            <w:shd w:fill="1F4E7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3900"/>
            <w:shd w:fill="1F4E7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tcW w:type="dxa" w:w="3780"/>
            <w:shd w:fill="1F4E7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Possible Business Impact</w:t>
            </w:r>
          </w:p>
        </w:tc>
      </w:tr>
      <w:tr>
        <w:tc>
          <w:tcPr>
            <w:tcW w:type="dxa" w:w="354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Four kitchens run cancellation rates far above network average</w:t>
            </w:r>
          </w:p>
        </w:tc>
        <w:tc>
          <w:tcPr>
            <w:tcW w:type="dxa" w:w="3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KIT-017 (18.73%), KIT-009 (18.44%), KIT-001 (18.26%), KIT-005 (16.93%) vs overall 10.19%, with a sharp drop to 10.15% at the next kitchen</w:t>
            </w:r>
          </w:p>
        </w:tc>
        <w:tc>
          <w:tcPr>
            <w:tcW w:type="dxa" w:w="37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These four kitchens alone account for a disproportionate share of the network's 2,038 cancelled orders; fixing them would move the overall rate materially</w:t>
            </w:r>
          </w:p>
        </w:tc>
      </w:tr>
      <w:tr>
        <w:tc>
          <w:tcPr>
            <w:tcW w:type="dxa" w:w="3540"/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KIT-025 and KIT-009 have unusually slow delivery times</w:t>
            </w:r>
          </w:p>
        </w:tc>
        <w:tc>
          <w:tcPr>
            <w:tcW w:type="dxa" w:w="3900"/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41.50 min and 40.49 min respectively vs network average of 29.31 min, and vs the fastest kitchen (KIT-011) at 22.63 min</w:t>
            </w:r>
          </w:p>
        </w:tc>
        <w:tc>
          <w:tcPr>
            <w:tcW w:type="dxa" w:w="3780"/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Slower delivery on high-volume kitchens (KIT-025 is 3rd by order count) risks customer dissatisfaction and could be feeding refund/cancellation behavior on future orders</w:t>
            </w:r>
          </w:p>
        </w:tc>
      </w:tr>
      <w:tr>
        <w:tc>
          <w:tcPr>
            <w:tcW w:type="dxa" w:w="354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Short-distance orders cancel more than longer-distance ones</w:t>
            </w:r>
          </w:p>
        </w:tc>
        <w:tc>
          <w:tcPr>
            <w:tcW w:type="dxa" w:w="3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Short: 12.10% cancellation vs Medium 6.69% and Long 7.53%</w:t>
            </w:r>
          </w:p>
        </w:tc>
        <w:tc>
          <w:tcPr>
            <w:tcW w:type="dxa" w:w="37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Counter to expectation; suggests the cancellation driver for short-distance orders is not delivery logistics but something else (e.g., order accuracy, speed expectations, or duplicate ordering) — Insufficient evidence to identify the specific cause from this data</w:t>
            </w:r>
          </w:p>
        </w:tc>
      </w:tr>
      <w:tr>
        <w:tc>
          <w:tcPr>
            <w:tcW w:type="dxa" w:w="3540"/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Customer record count mismatch</w:t>
            </w:r>
          </w:p>
        </w:tc>
        <w:tc>
          <w:tcPr>
            <w:tcW w:type="dxa" w:w="3900"/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Segment table shows 1,000 total customers (556+295+149), but customer/order-level tables (Customer Order Frequency, Revenue by Customer, etc.) list only 980 unique customer IDs</w:t>
            </w:r>
          </w:p>
        </w:tc>
        <w:tc>
          <w:tcPr>
            <w:tcW w:type="dxa" w:w="3780"/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Roughly 20 customers appear in the segmentation base but have no recorded orders in the order-level tables — a data completeness/join issue worth resolving before further segment-based revenue-per-customer calculations are trusted</w:t>
            </w:r>
          </w:p>
        </w:tc>
      </w:tr>
      <w:tr>
        <w:tc>
          <w:tcPr>
            <w:tcW w:type="dxa" w:w="354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Refund-prone kitchens differ entirely from cancellation-prone kitchens</w:t>
            </w:r>
          </w:p>
        </w:tc>
        <w:tc>
          <w:tcPr>
            <w:tcW w:type="dxa" w:w="3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Top cancellation kitchens (KIT-017, KIT-009, KIT-001, KIT-005) do not appear in the top refund-rate kitchens (KIT-019, KIT-010, KIT-008, KIT-013)</w:t>
            </w:r>
          </w:p>
        </w:tc>
        <w:tc>
          <w:tcPr>
            <w:tcW w:type="dxa" w:w="37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Confirms cancellation and refund issues need separate root-cause investigation — a single "kitchen quality" narrative doesn't fit both problems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5. Business Opportunities</w:t>
      </w:r>
    </w:p>
    <w:tbl>
      <w:tblPr>
        <w:tblW w:type="dxa" w:w="1008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2"/>
          <w:insideV w:val="single" w:color="CCCCCC" w:sz="2"/>
        </w:tblBorders>
      </w:tblPr>
      <w:tblGrid>
        <w:gridCol w:w="3540"/>
        <w:gridCol w:w="3900"/>
        <w:gridCol w:w="3780"/>
      </w:tblGrid>
      <w:tr>
        <w:trPr>
          <w:tblHeader/>
        </w:trPr>
        <w:tc>
          <w:tcPr>
            <w:tcW w:type="dxa" w:w="3540"/>
            <w:shd w:fill="1F4E7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Opportunity</w:t>
            </w:r>
          </w:p>
        </w:tc>
        <w:tc>
          <w:tcPr>
            <w:tcW w:type="dxa" w:w="3900"/>
            <w:shd w:fill="1F4E7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Supporting Evidence</w:t>
            </w:r>
          </w:p>
        </w:tc>
        <w:tc>
          <w:tcPr>
            <w:tcW w:type="dxa" w:w="3780"/>
            <w:shd w:fill="1F4E79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Suggested Business Action</w:t>
            </w:r>
          </w:p>
        </w:tc>
      </w:tr>
      <w:tr>
        <w:tc>
          <w:tcPr>
            <w:tcW w:type="dxa" w:w="354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Target the four worst-cancellation kitchens specifically</w:t>
            </w:r>
          </w:p>
        </w:tc>
        <w:tc>
          <w:tcPr>
            <w:tcW w:type="dxa" w:w="3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KIT-017, KIT-009, KIT-001, KIT-005 combined represent 3,788 orders and a cancellation rate roughly 1.7–1.9x the network average</w:t>
            </w:r>
          </w:p>
        </w:tc>
        <w:tc>
          <w:tcPr>
            <w:tcW w:type="dxa" w:w="37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Run a focused operational review (staffing, order acceptance process, inventory) at these four kitchens before any network-wide cancellation initiative</w:t>
            </w:r>
          </w:p>
        </w:tc>
      </w:tr>
      <w:tr>
        <w:tc>
          <w:tcPr>
            <w:tcW w:type="dxa" w:w="3540"/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Re-examine pricing on high-volume, low-revenue categories</w:t>
            </w:r>
          </w:p>
        </w:tc>
        <w:tc>
          <w:tcPr>
            <w:tcW w:type="dxa" w:w="3900"/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Beverage and Dessert have order counts near the category average (3,983 and 4,127 respectively) but the two lowest average unit prices (₹95.79 and ₹130.25) and lowest total revenue (₹837,752 and ₹1,153,364)</w:t>
            </w:r>
          </w:p>
        </w:tc>
        <w:tc>
          <w:tcPr>
            <w:tcW w:type="dxa" w:w="3780"/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Evaluate whether beverage/dessert pricing or bundling could lift revenue without needing to grow order volume, since demand for these categories is already comparable to higher-revenue categories</w:t>
            </w:r>
          </w:p>
        </w:tc>
      </w:tr>
      <w:tr>
        <w:tc>
          <w:tcPr>
            <w:tcW w:type="dxa" w:w="354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Reinforce weekend and evening capacity</w:t>
            </w:r>
          </w:p>
        </w:tc>
        <w:tc>
          <w:tcPr>
            <w:tcW w:type="dxa" w:w="3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Weekend order density is higher per day than weekday (6,589 weekend orders over 2 days/week vs 13,411 weekday orders over 5 days/week), and the 18:00–21:00 window alone carries 33.7% of daily order volume</w:t>
            </w:r>
          </w:p>
        </w:tc>
        <w:tc>
          <w:tcPr>
            <w:tcW w:type="dxa" w:w="37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Align staffing schedules and kitchen resourcing specifically to the weekend and evening peak rather than a flat daily allocation</w:t>
            </w:r>
          </w:p>
        </w:tc>
      </w:tr>
      <w:tr>
        <w:tc>
          <w:tcPr>
            <w:tcW w:type="dxa" w:w="3540"/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Investigate the New-customer cancellation gap</w:t>
            </w:r>
          </w:p>
        </w:tc>
        <w:tc>
          <w:tcPr>
            <w:tcW w:type="dxa" w:w="3900"/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New segment cancellation rate (11.14%) is the highest of the three segments, while New customers already have the lowest average spend (₹6,597.31)</w:t>
            </w:r>
          </w:p>
        </w:tc>
        <w:tc>
          <w:tcPr>
            <w:tcW w:type="dxa" w:w="3780"/>
            <w:shd w:fill="F2F2F2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first-order-experience or onboarding review could reduce early cancellations and improve conversion of New customers into repeat (Regular/Premium) customers</w:t>
            </w:r>
          </w:p>
        </w:tc>
      </w:tr>
      <w:tr>
        <w:tc>
          <w:tcPr>
            <w:tcW w:type="dxa" w:w="354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Reconcile the 20-customer data gap before deeper segment analysis</w:t>
            </w:r>
          </w:p>
        </w:tc>
        <w:tc>
          <w:tcPr>
            <w:tcW w:type="dxa" w:w="3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1,000 customers counted in segmentation vs 980 with recorded orders</w:t>
            </w:r>
          </w:p>
        </w:tc>
        <w:tc>
          <w:tcPr>
            <w:tcW w:type="dxa" w:w="378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Fix the underlying data/join issue so future customer-level revenue and frequency metrics are reliable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b/>
          <w:bCs/>
          <w:color w:val="1F4E79"/>
          <w:sz w:val="30"/>
          <w:szCs w:val="30"/>
        </w:rPr>
        <w:t xml:space="preserve">6. Final Business Takeaways</w:t>
      </w:r>
    </w:p>
    <w:p>
      <w:pPr>
        <w:spacing w:after="180"/>
        <w:ind w:left="360" w:hanging="360"/>
      </w:pPr>
      <w:r>
        <w:rPr>
          <w:b w:val="false"/>
          <w:bCs w:val="false"/>
        </w:rPr>
        <w:t xml:space="preserve">1.  </w:t>
      </w:r>
      <w:r>
        <w:t xml:space="preserve">The business's core financial leakage is concrete and measurable: </w:t>
      </w:r>
      <w:r>
        <w:rPr>
          <w:b/>
          <w:bCs/>
        </w:rPr>
        <w:t xml:space="preserve">₹1.64M (14.3% of total revenue) is tied up in cancelled or refunded orders</w:t>
      </w:r>
      <w:r>
        <w:t xml:space="preserve">, and the leakage is not evenly spread — it's concentrated in four specific kitchens.</w:t>
      </w:r>
    </w:p>
    <w:p>
      <w:pPr>
        <w:spacing w:after="180"/>
        <w:ind w:left="360" w:hanging="360"/>
      </w:pPr>
      <w:r>
        <w:rPr>
          <w:b w:val="false"/>
          <w:bCs w:val="false"/>
        </w:rPr>
        <w:t xml:space="preserve">2.  </w:t>
      </w:r>
      <w:r>
        <w:rPr>
          <w:b/>
          <w:bCs/>
        </w:rPr>
        <w:t xml:space="preserve">Menu revenue is a pricing story, not a demand story</w:t>
      </w:r>
      <w:r>
        <w:t xml:space="preserve"> — every category sells in roughly the same volume, so Pizza's revenue lead comes from its price point, not popularity, and lower-revenue categories have room to be repriced rather than needing volume growth.</w:t>
      </w:r>
    </w:p>
    <w:p>
      <w:pPr>
        <w:spacing w:after="180"/>
        <w:ind w:left="360" w:hanging="360"/>
      </w:pPr>
      <w:r>
        <w:rPr>
          <w:b w:val="false"/>
          <w:bCs w:val="false"/>
        </w:rPr>
        <w:t xml:space="preserve">3.  </w:t>
      </w:r>
      <w:r>
        <w:rPr>
          <w:b/>
          <w:bCs/>
        </w:rPr>
        <w:t xml:space="preserve">The business is not dependent on any single customer or kitchen for survival</w:t>
      </w:r>
      <w:r>
        <w:t xml:space="preserve">, but it is heavily reliant on one kitchen (KIT-002) for scale — any disruption there would have an outsized effect on total order volume and revenue.</w:t>
      </w:r>
    </w:p>
    <w:p>
      <w:pPr>
        <w:spacing w:after="180"/>
        <w:ind w:left="360" w:hanging="360"/>
      </w:pPr>
      <w:r>
        <w:rPr>
          <w:b w:val="false"/>
          <w:bCs w:val="false"/>
        </w:rPr>
        <w:t xml:space="preserve">4.  </w:t>
      </w:r>
      <w:r>
        <w:rPr>
          <w:b/>
          <w:bCs/>
        </w:rPr>
        <w:t xml:space="preserve">Cancellation and refund problems are two distinct issues</w:t>
      </w:r>
      <w:r>
        <w:t xml:space="preserve"> with different kitchen "offenders" and different customer segments most affected (New customers cancel more, Premium customers refund more) — they need separate diagnostic work, not a single fix.</w:t>
      </w:r>
    </w:p>
    <w:p>
      <w:pPr>
        <w:spacing w:after="180"/>
        <w:ind w:left="360" w:hanging="360"/>
      </w:pPr>
      <w:r>
        <w:rPr>
          <w:b w:val="false"/>
          <w:bCs w:val="false"/>
        </w:rPr>
        <w:t xml:space="preserve">5.  </w:t>
      </w:r>
      <w:r>
        <w:rPr>
          <w:b/>
          <w:bCs/>
        </w:rPr>
        <w:t xml:space="preserve">Demand is highly predictable in time</w:t>
      </w:r>
      <w:r>
        <w:t xml:space="preserve">: it peaks hard between 18:00–21:00 and on weekends. This is the single most reliable pattern in the entire dataset and should directly inform staffing and kitchen-capacity decisions.</w:t>
      </w:r>
    </w:p>
    <w:p>
      <w:pPr>
        <w:pBdr>
          <w:top w:val="single" w:color="CCCCCC" w:sz="4"/>
        </w:pBdr>
        <w:spacing w:after="100" w:before="300"/>
      </w:pPr>
      <w:r>
        <w:t xml:space="preserve"/>
      </w:r>
    </w:p>
    <w:p>
      <w:pPr>
        <w:spacing w:before="240"/>
      </w:pPr>
      <w:r>
        <w:rPr>
          <w:i/>
          <w:iCs/>
          <w:color w:val="5A5A5A"/>
          <w:sz w:val="18"/>
          <w:szCs w:val="18"/>
        </w:rPr>
        <w:t xml:space="preserve">Note: All figures above are drawn directly from the provided SQL query result exports. Where the data did not support a conclusion, this is explicitly marked as "Insufficient evidence."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color w:val="5A5A5A"/>
        <w:sz w:val="16"/>
        <w:szCs w:val="16"/>
      </w:rPr>
      <w:t xml:space="preserve">Urban Ghost Kitchen — Business Analysis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2026-09-26T18:49:47.916Z</dcterms:created>
  <dcterms:modified xsi:type="dcterms:W3CDTF">2026-09-26T18:49:47.928Z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