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Loti Fase 2 Estratégia e Posicionamento</w:t>
      </w:r>
    </w:p>
    <w:p>
      <w:pPr>
        <w:pStyle w:val="MutedLoti"/>
      </w:pPr>
      <w:r>
        <w:t>Consolidação para revisão  |  Versão 0.1  |  22 de outubro de 2026</w:t>
      </w:r>
    </w:p>
    <w:p>
      <w:r>
        <w:t>Status: proposta consolidada. A Fase 2 permanece aberta até a aprovação explícita de Gabriel; nenhuma decisão deste documento autoriza o início da Fase 3.</w:t>
      </w:r>
    </w:p>
    <w:p>
      <w:pPr>
        <w:pStyle w:val="Heading1"/>
      </w:pPr>
      <w:r>
        <w:t>Resumo executivo</w:t>
      </w:r>
    </w:p>
    <w:p>
      <w:r>
        <w:t>O Loti será apresentado como um ecossistema de ferramentas para importadores, com um gerenciador de compras como produto principal. Sua promessa mais importante é reunir e simplificar a organização de importações individuais e compartilhadas em um só lugar. Ferramentas gratuitas complementam a experiência e podem atrair pessoas que ainda não importaram.</w:t>
      </w:r>
    </w:p>
    <w:p>
      <w:r>
        <w:t>A estratégia inclui dois públicos, sem declarar um ICP vencedor antes de testá-los. Para quem já importa, a comunicação aborda links perdidos, produtos dispersos e planilhas bagunçadas. Para iniciantes absolutos, a porta de entrada proposta são simulações e ferramentas de custos. O resultado prioritário da primeira landing será o cadastro no gerenciador, acompanhado de indicadores de ativação e uso das ferramentas.</w:t>
      </w:r>
    </w:p>
    <w:p>
      <w:pPr>
        <w:pStyle w:val="Heading1"/>
      </w:pPr>
      <w:r>
        <w:t>1 Decisões consolidadas das rodadas</w:t>
      </w:r>
    </w:p>
    <w:tbl>
      <w:tblPr>
        <w:tblW w:type="auto" w:w="0"/>
        <w:jc w:val="center"/>
        <w:tblLayout w:type="fixed"/>
        <w:tblLook w:firstColumn="1" w:firstRow="1" w:lastColumn="0" w:lastRow="0" w:noHBand="0" w:noVBand="1" w:val="04A0"/>
      </w:tblPr>
      <w:tblGrid>
        <w:gridCol w:w="2275"/>
        <w:gridCol w:w="7430"/>
      </w:tblGrid>
      <w:tr>
        <w:trPr>
          <w:tblHeader w:val="true"/>
        </w:trPr>
        <w:tc>
          <w:tcPr>
            <w:tcW w:type="dxa" w:w="2275"/>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Dimensão</w:t>
            </w:r>
          </w:p>
        </w:tc>
        <w:tc>
          <w:tcPr>
            <w:tcW w:type="dxa" w:w="7430"/>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Diretriz decidida</w:t>
            </w:r>
          </w:p>
        </w:tc>
      </w:tr>
      <w:tr>
        <w:trPr>
          <w:cantSplit/>
        </w:trPr>
        <w:tc>
          <w:tcPr>
            <w:tcW w:type="dxa" w:w="2275"/>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Categoria</w:t>
            </w:r>
          </w:p>
        </w:tc>
        <w:tc>
          <w:tcPr>
            <w:tcW w:type="dxa" w:w="743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Ecossistema de ferramentas para importadores, com o gerenciador como núcleo.</w:t>
            </w:r>
          </w:p>
        </w:tc>
      </w:tr>
      <w:tr>
        <w:trPr>
          <w:cantSplit/>
        </w:trPr>
        <w:tc>
          <w:tcPr>
            <w:tcW w:type="dxa" w:w="2275"/>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Promessa central</w:t>
            </w:r>
          </w:p>
        </w:tc>
        <w:tc>
          <w:tcPr>
            <w:tcW w:type="dxa" w:w="743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Todas as importações organizadas em um lugar, com simplicidade.</w:t>
            </w:r>
          </w:p>
        </w:tc>
      </w:tr>
      <w:tr>
        <w:trPr>
          <w:cantSplit/>
        </w:trPr>
        <w:tc>
          <w:tcPr>
            <w:tcW w:type="dxa" w:w="2275"/>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Abrangência</w:t>
            </w:r>
          </w:p>
        </w:tc>
        <w:tc>
          <w:tcPr>
            <w:tcW w:type="dxa" w:w="743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Uso individual e compras compartilhadas; nenhuma dessas modalidades deve ser excluída.</w:t>
            </w:r>
          </w:p>
        </w:tc>
      </w:tr>
      <w:tr>
        <w:trPr>
          <w:cantSplit/>
        </w:trPr>
        <w:tc>
          <w:tcPr>
            <w:tcW w:type="dxa" w:w="2275"/>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Públicos</w:t>
            </w:r>
          </w:p>
        </w:tc>
        <w:tc>
          <w:tcPr>
            <w:tcW w:type="dxa" w:w="743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Manter iniciantes absolutos e pessoas que já importam; comparar resultados reais antes de definir prioridade de ICP.</w:t>
            </w:r>
          </w:p>
        </w:tc>
      </w:tr>
      <w:tr>
        <w:trPr>
          <w:cantSplit/>
        </w:trPr>
        <w:tc>
          <w:tcPr>
            <w:tcW w:type="dxa" w:w="2275"/>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Aquisição inicial</w:t>
            </w:r>
          </w:p>
        </w:tc>
        <w:tc>
          <w:tcPr>
            <w:tcW w:type="dxa" w:w="743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Comunidades de importação, grupos e indicações como canais pretendidos.</w:t>
            </w:r>
          </w:p>
        </w:tc>
      </w:tr>
      <w:tr>
        <w:trPr>
          <w:cantSplit/>
        </w:trPr>
        <w:tc>
          <w:tcPr>
            <w:tcW w:type="dxa" w:w="2275"/>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Ferramentas</w:t>
            </w:r>
          </w:p>
        </w:tc>
        <w:tc>
          <w:tcPr>
            <w:tcW w:type="dxa" w:w="743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Ao lançamento, o gerenciador e pelo menos algumas ferramentas gratuitas deverão estar efetivamente disponíveis.</w:t>
            </w:r>
          </w:p>
        </w:tc>
      </w:tr>
      <w:tr>
        <w:trPr>
          <w:cantSplit/>
        </w:trPr>
        <w:tc>
          <w:tcPr>
            <w:tcW w:type="dxa" w:w="2275"/>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Conversão</w:t>
            </w:r>
          </w:p>
        </w:tc>
        <w:tc>
          <w:tcPr>
            <w:tcW w:type="dxa" w:w="743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Prioridade para novos cadastros no gerenciador; ferramentas têm papel complementar.</w:t>
            </w:r>
          </w:p>
        </w:tc>
      </w:tr>
      <w:tr>
        <w:trPr>
          <w:cantSplit/>
        </w:trPr>
        <w:tc>
          <w:tcPr>
            <w:tcW w:type="dxa" w:w="2275"/>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Onboarding pretendido</w:t>
            </w:r>
          </w:p>
        </w:tc>
        <w:tc>
          <w:tcPr>
            <w:tcW w:type="dxa" w:w="743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Perguntar se a pessoa importa sozinha ou em grupo, sem impedir mudanças posteriores.</w:t>
            </w:r>
          </w:p>
        </w:tc>
      </w:tr>
      <w:tr>
        <w:trPr>
          <w:cantSplit/>
        </w:trPr>
        <w:tc>
          <w:tcPr>
            <w:tcW w:type="dxa" w:w="2275"/>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Limite da promessa</w:t>
            </w:r>
          </w:p>
        </w:tc>
        <w:tc>
          <w:tcPr>
            <w:tcW w:type="dxa" w:w="743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Organizar e simplificar a gestão; não afirmar que o Loti ensina a importar do zero.</w:t>
            </w:r>
          </w:p>
        </w:tc>
      </w:tr>
      <w:tr>
        <w:trPr>
          <w:cantSplit/>
        </w:trPr>
        <w:tc>
          <w:tcPr>
            <w:tcW w:type="dxa" w:w="2275"/>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Mensagem específica</w:t>
            </w:r>
          </w:p>
        </w:tc>
        <w:tc>
          <w:tcPr>
            <w:tcW w:type="dxa" w:w="743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Expressões sobre Excel ou planilhas bagunçadas são reservadas à comunicação de importadores frequentes.</w:t>
            </w:r>
          </w:p>
        </w:tc>
      </w:tr>
    </w:tbl>
    <w:p>
      <w:pPr>
        <w:spacing w:after="0"/>
      </w:pPr>
    </w:p>
    <w:p>
      <w:pPr>
        <w:pStyle w:val="Heading1"/>
      </w:pPr>
      <w:r>
        <w:t>2 Formulação proposta de posicionamento</w:t>
      </w:r>
    </w:p>
    <w:p>
      <w:r>
        <w:t>Declaração estratégica: Para pessoas que importam ou desejam começar a importar, o Loti é um ecossistema de organização que reúne favoritos, compras e custos em um gerenciador simples, acompanhado de ferramentas gratuitas úteis para decisões de importação. Diferentemente de controles espalhados em links, conversas e planilhas, o Loti centraliza informações em uma experiência coerente, tanto para uso individual quanto coletivo.</w:t>
      </w:r>
    </w:p>
    <w:p>
      <w:r>
        <w:rPr>
          <w:b/>
        </w:rPr>
        <w:t>Promessa principal proposta:</w:t>
      </w:r>
      <w:r>
        <w:t xml:space="preserve"> Suas importações, tudo em um só lugar.</w:t>
      </w:r>
    </w:p>
    <w:p>
      <w:r>
        <w:t>Essa é uma hipótese de mensagem para aprovar como direção estratégica, não o texto final da hero ou um slogan já escolhido.</w:t>
      </w:r>
    </w:p>
    <w:p>
      <w:pPr>
        <w:pStyle w:val="Heading1"/>
      </w:pPr>
      <w:r>
        <w:t>3 Públicos e caminhos de valor</w:t>
      </w:r>
    </w:p>
    <w:tbl>
      <w:tblPr>
        <w:tblW w:type="auto" w:w="0"/>
        <w:jc w:val="center"/>
        <w:tblLayout w:type="fixed"/>
        <w:tblLook w:firstColumn="1" w:firstRow="1" w:lastColumn="0" w:lastRow="0" w:noHBand="0" w:noVBand="1" w:val="04A0"/>
      </w:tblPr>
      <w:tblGrid>
        <w:gridCol w:w="1757"/>
        <w:gridCol w:w="3989"/>
        <w:gridCol w:w="3960"/>
      </w:tblGrid>
      <w:tr>
        <w:trPr>
          <w:tblHeader w:val="true"/>
        </w:trPr>
        <w:tc>
          <w:tcPr>
            <w:tcW w:type="dxa" w:w="1757"/>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Dimensão</w:t>
            </w:r>
          </w:p>
        </w:tc>
        <w:tc>
          <w:tcPr>
            <w:tcW w:type="dxa" w:w="3989"/>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Quem já importa</w:t>
            </w:r>
          </w:p>
        </w:tc>
        <w:tc>
          <w:tcPr>
            <w:tcW w:type="dxa" w:w="3960"/>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Quem nunca importou</w:t>
            </w:r>
          </w:p>
        </w:tc>
      </w:tr>
      <w:tr>
        <w:trPr>
          <w:cantSplit/>
        </w:trPr>
        <w:tc>
          <w:tcPr>
            <w:tcW w:type="dxa" w:w="175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Contexto</w:t>
            </w:r>
          </w:p>
        </w:tc>
        <w:tc>
          <w:tcPr>
            <w:tcW w:type="dxa" w:w="398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Já reúne links, produtos, preços e pedidos em diferentes meios.</w:t>
            </w:r>
          </w:p>
        </w:tc>
        <w:tc>
          <w:tcPr>
            <w:tcW w:type="dxa" w:w="396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Quer avaliar a viabilidade de uma primeira compra.</w:t>
            </w:r>
          </w:p>
        </w:tc>
      </w:tr>
      <w:tr>
        <w:trPr>
          <w:cantSplit/>
        </w:trPr>
        <w:tc>
          <w:tcPr>
            <w:tcW w:type="dxa" w:w="1757"/>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Dor ou pergunta inicial</w:t>
            </w:r>
          </w:p>
        </w:tc>
        <w:tc>
          <w:tcPr>
            <w:tcW w:type="dxa" w:w="3989"/>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Como deixar de perder favoritos e reorganizar informações?</w:t>
            </w:r>
          </w:p>
        </w:tc>
        <w:tc>
          <w:tcPr>
            <w:tcW w:type="dxa" w:w="396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Quanto pode custar e como planejar sem confusão?</w:t>
            </w:r>
          </w:p>
        </w:tc>
      </w:tr>
      <w:tr>
        <w:trPr>
          <w:cantSplit/>
        </w:trPr>
        <w:tc>
          <w:tcPr>
            <w:tcW w:type="dxa" w:w="175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Entrada proposta</w:t>
            </w:r>
          </w:p>
        </w:tc>
        <w:tc>
          <w:tcPr>
            <w:tcW w:type="dxa" w:w="398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Problema da desorganização; apresentação do gerenciador.</w:t>
            </w:r>
          </w:p>
        </w:tc>
        <w:tc>
          <w:tcPr>
            <w:tcW w:type="dxa" w:w="396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Ferramentas gratuitas de cálculo e simulação disponíveis.</w:t>
            </w:r>
          </w:p>
        </w:tc>
      </w:tr>
      <w:tr>
        <w:trPr>
          <w:cantSplit/>
        </w:trPr>
        <w:tc>
          <w:tcPr>
            <w:tcW w:type="dxa" w:w="1757"/>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Valor a comunicar</w:t>
            </w:r>
          </w:p>
        </w:tc>
        <w:tc>
          <w:tcPr>
            <w:tcW w:type="dxa" w:w="3989"/>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Centralização, clareza nos custos e acompanhamento recorrente.</w:t>
            </w:r>
          </w:p>
        </w:tc>
        <w:tc>
          <w:tcPr>
            <w:tcW w:type="dxa" w:w="3960"/>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Simplicidade, estimativas transparentes e organização desde o início.</w:t>
            </w:r>
          </w:p>
        </w:tc>
      </w:tr>
      <w:tr>
        <w:trPr>
          <w:cantSplit/>
        </w:trPr>
        <w:tc>
          <w:tcPr>
            <w:tcW w:type="dxa" w:w="175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Risco</w:t>
            </w:r>
          </w:p>
        </w:tc>
        <w:tc>
          <w:tcPr>
            <w:tcW w:type="dxa" w:w="398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Não enxergar ganho suficiente sobre a planilha atual.</w:t>
            </w:r>
          </w:p>
        </w:tc>
        <w:tc>
          <w:tcPr>
            <w:tcW w:type="dxa" w:w="3960"/>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Usar a ferramenta e sair sem necessidade imediata de gerenciar.</w:t>
            </w:r>
          </w:p>
        </w:tc>
      </w:tr>
    </w:tbl>
    <w:p>
      <w:pPr>
        <w:spacing w:after="0"/>
      </w:pPr>
    </w:p>
    <w:p>
      <w:r>
        <w:t>Hipótese de ICP: usuários que já importam e vivenciam fragmentação podem ter maior propensão ao cadastro imediato. Isso ainda não está validado e não estabelece exclusão ou prioridade definitiva. A decisão confirmada é manter os dois públicos e testá-los.</w:t>
      </w:r>
    </w:p>
    <w:p>
      <w:pPr>
        <w:pStyle w:val="Heading1"/>
      </w:pPr>
      <w:r>
        <w:t>4 Arquitetura de mensagem na estratégia</w:t>
      </w:r>
    </w:p>
    <w:p>
      <w:r>
        <w:t>Mensagem universal: Suas importações, tudo em um só lugar. É a ideia que deve sobreviver independentemente da familiaridade do visitante com importação.</w:t>
      </w:r>
    </w:p>
    <w:p>
      <w:r>
        <w:t>Ângulo para quem já importa: Chega de produtos perdidos e planilhas bagunçadas. A provocação sobre Excel é secundária e segmentada; o benefício real não depende do uso de planilhas.</w:t>
      </w:r>
    </w:p>
    <w:p>
      <w:r>
        <w:t>Ângulo para iniciantes: Entenda os custos antes de começar. A afirmação pressupõe que haja ferramentas adequadas, funcionais e apresentadas com suas limitações no lançamento.</w:t>
      </w:r>
    </w:p>
    <w:p>
      <w:r>
        <w:t>Hierarquia do portfólio: o gerenciador ocupa o papel central; ferramentas gratuitas agregam utilidade e ajudam na descoberta. O conjunto pertence à mesma marca Loti, sem sugerir plataformas ou assinaturas independentes.</w:t>
      </w:r>
    </w:p>
    <w:p>
      <w:r>
        <w:t>Esses enunciados são hipóteses de comunicação. Títulos, seção de hero, ordem de blocos, estética, 3D e motion pertencem às fases posteriores e não estão sendo definidos aqui.</w:t>
      </w:r>
    </w:p>
    <w:p>
      <w:pPr>
        <w:pStyle w:val="Heading1"/>
      </w:pPr>
      <w:r>
        <w:t>5 Conversão e medição</w:t>
      </w:r>
    </w:p>
    <w:tbl>
      <w:tblPr>
        <w:tblW w:type="auto" w:w="0"/>
        <w:jc w:val="center"/>
        <w:tblLayout w:type="fixed"/>
        <w:tblLook w:firstColumn="1" w:firstRow="1" w:lastColumn="0" w:lastRow="0" w:noHBand="0" w:noVBand="1" w:val="04A0"/>
      </w:tblPr>
      <w:tblGrid>
        <w:gridCol w:w="2347"/>
        <w:gridCol w:w="1987"/>
        <w:gridCol w:w="5371"/>
      </w:tblGrid>
      <w:tr>
        <w:trPr>
          <w:tblHeader w:val="true"/>
        </w:trPr>
        <w:tc>
          <w:tcPr>
            <w:tcW w:type="dxa" w:w="2347"/>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Indicador</w:t>
            </w:r>
          </w:p>
        </w:tc>
        <w:tc>
          <w:tcPr>
            <w:tcW w:type="dxa" w:w="1987"/>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Papel</w:t>
            </w:r>
          </w:p>
        </w:tc>
        <w:tc>
          <w:tcPr>
            <w:tcW w:type="dxa" w:w="5371"/>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Observação</w:t>
            </w:r>
          </w:p>
        </w:tc>
      </w:tr>
      <w:tr>
        <w:trPr>
          <w:cantSplit/>
        </w:trPr>
        <w:tc>
          <w:tcPr>
            <w:tcW w:type="dxa" w:w="234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Cadastro concluído</w:t>
            </w:r>
          </w:p>
        </w:tc>
        <w:tc>
          <w:tcPr>
            <w:tcW w:type="dxa" w:w="198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Meta primária</w:t>
            </w:r>
          </w:p>
        </w:tc>
        <w:tc>
          <w:tcPr>
            <w:tcW w:type="dxa" w:w="5371"/>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Medir novos usuários oriundos da landing.</w:t>
            </w:r>
          </w:p>
        </w:tc>
      </w:tr>
      <w:tr>
        <w:trPr>
          <w:cantSplit/>
        </w:trPr>
        <w:tc>
          <w:tcPr>
            <w:tcW w:type="dxa" w:w="2347"/>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Ativação no gerenciador</w:t>
            </w:r>
          </w:p>
        </w:tc>
        <w:tc>
          <w:tcPr>
            <w:tcW w:type="dxa" w:w="1987"/>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Indicador de qualidade</w:t>
            </w:r>
          </w:p>
        </w:tc>
        <w:tc>
          <w:tcPr>
            <w:tcW w:type="dxa" w:w="5371"/>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Definir o primeiro marco útil, como salvar um favorito ou iniciar uma compra.</w:t>
            </w:r>
          </w:p>
        </w:tc>
      </w:tr>
      <w:tr>
        <w:trPr>
          <w:cantSplit/>
        </w:trPr>
        <w:tc>
          <w:tcPr>
            <w:tcW w:type="dxa" w:w="234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Uso de ferramentas</w:t>
            </w:r>
          </w:p>
        </w:tc>
        <w:tc>
          <w:tcPr>
            <w:tcW w:type="dxa" w:w="198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Meta secundária</w:t>
            </w:r>
          </w:p>
        </w:tc>
        <w:tc>
          <w:tcPr>
            <w:tcW w:type="dxa" w:w="5371"/>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Distinguir visitas de interações efetivas.</w:t>
            </w:r>
          </w:p>
        </w:tc>
      </w:tr>
      <w:tr>
        <w:trPr>
          <w:cantSplit/>
        </w:trPr>
        <w:tc>
          <w:tcPr>
            <w:tcW w:type="dxa" w:w="2347"/>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Ferramenta até cadastro</w:t>
            </w:r>
          </w:p>
        </w:tc>
        <w:tc>
          <w:tcPr>
            <w:tcW w:type="dxa" w:w="1987"/>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Diagnóstico de jornada</w:t>
            </w:r>
          </w:p>
        </w:tc>
        <w:tc>
          <w:tcPr>
            <w:tcW w:type="dxa" w:w="5371"/>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Avaliar se a utilidade pontual produz interesse pelo gerenciador, sem bloquear uso aberto.</w:t>
            </w:r>
          </w:p>
        </w:tc>
      </w:tr>
      <w:tr>
        <w:trPr>
          <w:cantSplit/>
        </w:trPr>
        <w:tc>
          <w:tcPr>
            <w:tcW w:type="dxa" w:w="234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Conversão por perfil</w:t>
            </w:r>
          </w:p>
        </w:tc>
        <w:tc>
          <w:tcPr>
            <w:tcW w:type="dxa" w:w="1987"/>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Aprendizado de ICP</w:t>
            </w:r>
          </w:p>
        </w:tc>
        <w:tc>
          <w:tcPr>
            <w:tcW w:type="dxa" w:w="5371"/>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Comparar iniciantes absolutos e usuários que já importam, conforme declaração voluntária.</w:t>
            </w:r>
          </w:p>
        </w:tc>
      </w:tr>
    </w:tbl>
    <w:p>
      <w:pPr>
        <w:spacing w:after="0"/>
      </w:pPr>
    </w:p>
    <w:p>
      <w:r>
        <w:t>A taxa de cadastro, isoladamente, pode induzir a decisões ruins. A ativação deve funcionar como indicador de qualidade. Não há metas numéricas ou volumes aprovados nesta fase.</w:t>
      </w:r>
    </w:p>
    <w:p>
      <w:pPr>
        <w:pStyle w:val="Heading1"/>
        <w:pageBreakBefore/>
      </w:pPr>
      <w:r>
        <w:t>6 Hipóteses a validar com usuários</w:t>
      </w:r>
    </w:p>
    <w:p>
      <w:pPr>
        <w:pStyle w:val="ListBullet"/>
        <w:spacing w:after="40"/>
        <w:ind w:left="331" w:hanging="130"/>
      </w:pPr>
      <w:r>
        <w:t>H1: quem já importa entende mais rapidamente a dor de centralizar favoritos, compras e custos.</w:t>
      </w:r>
    </w:p>
    <w:p>
      <w:pPr>
        <w:pStyle w:val="ListBullet"/>
        <w:spacing w:after="40"/>
        <w:ind w:left="331" w:hanging="130"/>
      </w:pPr>
      <w:r>
        <w:t>H2: ferramentas gratuitas aumentam o interesse de iniciantes absolutos, mas geram menos cadastros imediatos.</w:t>
      </w:r>
    </w:p>
    <w:p>
      <w:pPr>
        <w:pStyle w:val="ListBullet"/>
        <w:spacing w:after="40"/>
        <w:ind w:left="331" w:hanging="130"/>
      </w:pPr>
      <w:r>
        <w:t>H3: o enquadramento de planilhas bagunçadas funciona melhor para importadores frequentes do que como mensagem universal.</w:t>
      </w:r>
    </w:p>
    <w:p>
      <w:pPr>
        <w:pStyle w:val="ListBullet"/>
        <w:spacing w:after="40"/>
        <w:ind w:left="331" w:hanging="130"/>
      </w:pPr>
      <w:r>
        <w:t>H4: a mesma promessa de centralização é compreendida por quem importa sozinho e em grupo.</w:t>
      </w:r>
    </w:p>
    <w:p>
      <w:pPr>
        <w:pStyle w:val="ListBullet"/>
        <w:spacing w:after="40"/>
        <w:ind w:left="331" w:hanging="130"/>
      </w:pPr>
      <w:r>
        <w:t>H5: o primeiro onboarding pode adaptar o contexto de uso sem limitar a pessoa à escolha inicial.</w:t>
      </w:r>
    </w:p>
    <w:p>
      <w:r>
        <w:t>Validação sugerida antes de fixar ICP: conversas curtas com pessoas dos dois perfis, obtidas nas comunidades e indicações já consideradas para aquisição; apresentação de mensagens alternativas, pergunta espontânea sobre o que o Loti resolve e registro de interesse em cadastro e uso. O desenho e o tamanho dessa pesquisa ainda precisam de aprovação própria se houver execução.</w:t>
      </w:r>
    </w:p>
    <w:p>
      <w:pPr>
        <w:pStyle w:val="Heading1"/>
      </w:pPr>
      <w:r>
        <w:t>7 Condições de lançamento e riscos</w:t>
      </w:r>
    </w:p>
    <w:tbl>
      <w:tblPr>
        <w:tblW w:type="auto" w:w="0"/>
        <w:jc w:val="center"/>
        <w:tblLayout w:type="fixed"/>
        <w:tblLook w:firstColumn="1" w:firstRow="1" w:lastColumn="0" w:lastRow="0" w:noHBand="0" w:noVBand="1" w:val="04A0"/>
      </w:tblPr>
      <w:tblGrid>
        <w:gridCol w:w="2102"/>
        <w:gridCol w:w="7603"/>
      </w:tblGrid>
      <w:tr>
        <w:trPr>
          <w:tblHeader w:val="true"/>
        </w:trPr>
        <w:tc>
          <w:tcPr>
            <w:tcW w:type="dxa" w:w="2102"/>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Tema</w:t>
            </w:r>
          </w:p>
        </w:tc>
        <w:tc>
          <w:tcPr>
            <w:tcW w:type="dxa" w:w="7603"/>
            <w:shd w:fill="243044"/>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r>
              <w:rPr>
                <w:b/>
                <w:color w:val="FFFFFF"/>
                <w:sz w:val="17"/>
              </w:rPr>
              <w:t>Tratamento estratégico</w:t>
            </w:r>
          </w:p>
        </w:tc>
      </w:tr>
      <w:tr>
        <w:trPr>
          <w:cantSplit/>
        </w:trPr>
        <w:tc>
          <w:tcPr>
            <w:tcW w:type="dxa" w:w="2102"/>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Cadastro público</w:t>
            </w:r>
          </w:p>
        </w:tc>
        <w:tc>
          <w:tcPr>
            <w:tcW w:type="dxa" w:w="7603"/>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Não publicar a landing aberta antes de o cadastro funcionar. Confirmar criação de grupo e o fluxo desejado de onboarding.</w:t>
            </w:r>
          </w:p>
        </w:tc>
      </w:tr>
      <w:tr>
        <w:trPr>
          <w:cantSplit/>
        </w:trPr>
        <w:tc>
          <w:tcPr>
            <w:tcW w:type="dxa" w:w="2102"/>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Disponibilidade</w:t>
            </w:r>
          </w:p>
        </w:tc>
        <w:tc>
          <w:tcPr>
            <w:tcW w:type="dxa" w:w="7603"/>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Só apresentar como disponível uma ferramenta que esteja funcional; futuras funcionalidades devem ser identificadas como futuras.</w:t>
            </w:r>
          </w:p>
        </w:tc>
      </w:tr>
      <w:tr>
        <w:trPr>
          <w:cantSplit/>
        </w:trPr>
        <w:tc>
          <w:tcPr>
            <w:tcW w:type="dxa" w:w="2102"/>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Simulações financeiras</w:t>
            </w:r>
          </w:p>
        </w:tc>
        <w:tc>
          <w:tcPr>
            <w:tcW w:type="dxa" w:w="7603"/>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Explicitar premissas, limites e caráter estimativo; evitar garantias de valores e resultados.</w:t>
            </w:r>
          </w:p>
        </w:tc>
      </w:tr>
      <w:tr>
        <w:trPr>
          <w:cantSplit/>
        </w:trPr>
        <w:tc>
          <w:tcPr>
            <w:tcW w:type="dxa" w:w="2102"/>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Clareza da conversão</w:t>
            </w:r>
          </w:p>
        </w:tc>
        <w:tc>
          <w:tcPr>
            <w:tcW w:type="dxa" w:w="7603"/>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Distinguir experimentar uma ferramenta de criar conta no gerenciador; dar primazia ao cadastro sem bloquear ferramentas declaradas abertas.</w:t>
            </w:r>
          </w:p>
        </w:tc>
      </w:tr>
      <w:tr>
        <w:trPr>
          <w:cantSplit/>
        </w:trPr>
        <w:tc>
          <w:tcPr>
            <w:tcW w:type="dxa" w:w="2102"/>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Prova de simplicidade</w:t>
            </w:r>
          </w:p>
        </w:tc>
        <w:tc>
          <w:tcPr>
            <w:tcW w:type="dxa" w:w="7603"/>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Testar entendimento com iniciantes; não tratar facilidade como fato demonstrado antes de validação.</w:t>
            </w:r>
          </w:p>
        </w:tc>
      </w:tr>
      <w:tr>
        <w:trPr>
          <w:cantSplit/>
        </w:trPr>
        <w:tc>
          <w:tcPr>
            <w:tcW w:type="dxa" w:w="2102"/>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Escopo do produto</w:t>
            </w:r>
          </w:p>
        </w:tc>
        <w:tc>
          <w:tcPr>
            <w:tcW w:type="dxa" w:w="7603"/>
            <w:shd w:fill="F5F7F9"/>
            <w:vAlign w:val="center"/>
            <w:tcMar>
              <w:top w:w="58" w:type="dxa"/>
              <w:bottom w:w="58" w:type="dxa"/>
              <w:left w:w="95" w:type="dxa"/>
              <w:right w:w="95" w:type="dxa"/>
            </w:tcMar>
            <w:tcBorders>
              <w:top w:val="single" w:sz="4" w:color="D9D9D9"/>
              <w:left w:val="single" w:sz="4" w:color="D9D9D9"/>
              <w:bottom w:val="single" w:sz="4" w:color="D9D9D9"/>
              <w:right w:val="single" w:sz="4" w:color="D9D9D9"/>
            </w:tcBorders>
          </w:tcPr>
          <w:p>
            <w:pPr>
              <w:spacing w:after="0" w:line="264" w:lineRule="auto"/>
            </w:pPr>
            <w:r>
              <w:rPr>
                <w:sz w:val="17"/>
              </w:rPr>
              <w:t>Não afirmar que o Loti executa compras, faz o desembaraço ou oferece formação completa sobre importação.</w:t>
            </w:r>
          </w:p>
        </w:tc>
      </w:tr>
    </w:tbl>
    <w:p>
      <w:pPr>
        <w:spacing w:after="0"/>
      </w:pPr>
    </w:p>
    <w:p>
      <w:pPr>
        <w:pStyle w:val="Heading1"/>
      </w:pPr>
      <w:r>
        <w:t>8 Limites entre fases</w:t>
      </w:r>
    </w:p>
    <w:p>
      <w:r>
        <w:t>Este documento encerra apenas a preparação da estratégia para revisão. Não define direção de arte, moodboards, cenas 3D, storyboard de scroll, arquitetura de conteúdo, wireframes, implementação, tecnologias ou alterações no produto existente. As preferências da Fase 1 por storytelling híbrido, animação pontual e objetos 3D continuam registradas como insumos para fases posteriores.</w:t>
      </w:r>
    </w:p>
    <w:p>
      <w:pPr>
        <w:pStyle w:val="Heading1"/>
      </w:pPr>
      <w:r>
        <w:t>9 Parecer e itens de revisão</w:t>
      </w:r>
    </w:p>
    <w:p>
      <w:r>
        <w:t>Recomendação: adotar centralização como essência da marca, gerenciador como produto principal, ferramentas gratuitas como porta de descoberta para iniciantes e mensagens específicas de planilhas para quem já importa. Manter ambos os públicos e decidir eventual prioridade por evidências posteriores.</w:t>
      </w:r>
    </w:p>
    <w:p>
      <w:r>
        <w:t>Antes de considerar a Fase 2 aprovada, confirmar:</w:t>
      </w:r>
    </w:p>
    <w:p>
      <w:pPr>
        <w:pStyle w:val="ListBullet"/>
        <w:spacing w:after="40"/>
        <w:ind w:left="331" w:hanging="130"/>
      </w:pPr>
      <w:r>
        <w:t>Se a declaração estratégica representa fielmente o Loti.</w:t>
      </w:r>
    </w:p>
    <w:p>
      <w:pPr>
        <w:pStyle w:val="ListBullet"/>
        <w:spacing w:after="40"/>
        <w:ind w:left="331" w:hanging="130"/>
      </w:pPr>
      <w:r>
        <w:t>Se a promessa principal proposta expressa a ideia que deve ser lembrada.</w:t>
      </w:r>
    </w:p>
    <w:p>
      <w:pPr>
        <w:pStyle w:val="ListBullet"/>
        <w:spacing w:after="40"/>
        <w:ind w:left="331" w:hanging="130"/>
      </w:pPr>
      <w:r>
        <w:t>Se a distinção entre decisões confirmadas e hipóteses está correta.</w:t>
      </w:r>
    </w:p>
    <w:p>
      <w:pPr>
        <w:pStyle w:val="ListBullet"/>
        <w:spacing w:after="40"/>
        <w:ind w:left="331" w:hanging="130"/>
      </w:pPr>
      <w:r>
        <w:t>Se os limites de produto e critérios de lançamento devem receber algum ajuste.</w:t>
      </w:r>
    </w:p>
    <w:p>
      <w:r>
        <w:t>Situação formal: Fase 2 aguardando revisão e aprovação explícita. A Fase 3 não está autorizada.</w:t>
      </w:r>
    </w:p>
    <w:sectPr w:rsidR="00FC693F" w:rsidRPr="0006063C" w:rsidSect="00034616">
      <w:footerReference w:type="default" r:id="rId9"/>
      <w:pgSz w:w="12240" w:h="15840"/>
      <w:pgMar w:top="994" w:right="1210" w:bottom="994"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37373"/>
        <w:sz w:val="16"/>
      </w:rPr>
      <w:t>Loti  |  Documento de trabalho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color w:val="1C1C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tedLoti">
    <w:name w:val="Muted Loti"/>
    <w:basedOn w:val="Normal"/>
    <w:pPr>
      <w:spacing w:after="200"/>
    </w:pPr>
    <w:rPr>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