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1 -->
  <w:body>
    <w:p w:rsidR="00A77B3E">
      <w:pPr>
        <w:pStyle w:val="TableOfContentsHeading"/>
      </w:pPr>
      <w:bookmarkStart w:id="0" w:name="TOC_PLACEHOLDER"/>
      <w:r>
        <w:t>Table of Contents</w:t>
      </w:r>
    </w:p>
    <w:p>
      <w:pPr>
        <w:pStyle w:val="TOC1"/>
        <w:tabs>
          <w:tab w:val="right" w:leader="dot" w:pos="9350"/>
        </w:tabs>
        <w:rPr>
          <w:rFonts w:ascii="Calibri" w:hAnsi="Calibri"/>
          <w:noProof/>
          <w:sz w:val="22"/>
        </w:rPr>
      </w:pPr>
      <w:r w:rsidR="00A77B3E">
        <w:fldChar w:fldCharType="begin"/>
      </w:r>
      <w:r w:rsidR="00A77B3E">
        <w:instrText>TOC \o "1-9" \h \z \u</w:instrText>
      </w:r>
      <w:r w:rsidR="00A77B3E">
        <w:fldChar w:fldCharType="separate"/>
      </w:r>
      <w:hyperlink w:anchor="_Toc256000028" w:history="1">
        <w:r>
          <w:rPr>
            <w:rStyle w:val="Hyperlink"/>
          </w:rPr>
          <w:t>2. RELATED WORK</w:t>
        </w:r>
        <w:r>
          <w:tab/>
        </w:r>
        <w:r>
          <w:fldChar w:fldCharType="begin"/>
        </w:r>
        <w:r>
          <w:instrText xml:space="preserve"> PAGEREF _Toc256000028 \h </w:instrText>
        </w:r>
        <w:r>
          <w:fldChar w:fldCharType="separate"/>
        </w:r>
        <w:r>
          <w:t>3</w:t>
        </w:r>
        <w:r>
          <w:fldChar w:fldCharType="end"/>
        </w:r>
      </w:hyperlink>
    </w:p>
    <w:p>
      <w:pPr>
        <w:pStyle w:val="TOC2"/>
        <w:tabs>
          <w:tab w:val="right" w:leader="dot" w:pos="9350"/>
        </w:tabs>
        <w:rPr>
          <w:rFonts w:ascii="Calibri" w:hAnsi="Calibri"/>
          <w:noProof/>
          <w:sz w:val="22"/>
        </w:rPr>
      </w:pPr>
      <w:hyperlink w:anchor="_Toc256000029" w:history="1">
        <w:r>
          <w:rPr>
            <w:rStyle w:val="Hyperlink"/>
          </w:rPr>
          <w:t>2.1 Popular Applications and Tools</w:t>
        </w:r>
        <w:r>
          <w:tab/>
        </w:r>
        <w:r>
          <w:fldChar w:fldCharType="begin"/>
        </w:r>
        <w:r>
          <w:instrText xml:space="preserve"> PAGEREF _Toc256000029 \h </w:instrText>
        </w:r>
        <w:r>
          <w:fldChar w:fldCharType="separate"/>
        </w:r>
        <w:r>
          <w:t>4</w:t>
        </w:r>
        <w:r>
          <w:fldChar w:fldCharType="end"/>
        </w:r>
      </w:hyperlink>
    </w:p>
    <w:p>
      <w:pPr>
        <w:pStyle w:val="TOC2"/>
        <w:tabs>
          <w:tab w:val="right" w:leader="dot" w:pos="9350"/>
        </w:tabs>
        <w:rPr>
          <w:rFonts w:ascii="Calibri" w:hAnsi="Calibri"/>
          <w:noProof/>
          <w:sz w:val="22"/>
        </w:rPr>
      </w:pPr>
      <w:hyperlink w:anchor="_Toc256000030" w:history="1">
        <w:r>
          <w:rPr>
            <w:rStyle w:val="Hyperlink"/>
          </w:rPr>
          <w:t>2.2 Recent Developments in Web-Based Graph Applications</w:t>
        </w:r>
        <w:r>
          <w:tab/>
        </w:r>
        <w:r>
          <w:fldChar w:fldCharType="begin"/>
        </w:r>
        <w:r>
          <w:instrText xml:space="preserve"> PAGEREF _Toc256000030 \h </w:instrText>
        </w:r>
        <w:r>
          <w:fldChar w:fldCharType="separate"/>
        </w:r>
        <w:r>
          <w:t>5</w:t>
        </w:r>
        <w:r>
          <w:fldChar w:fldCharType="end"/>
        </w:r>
      </w:hyperlink>
    </w:p>
    <w:p>
      <w:pPr>
        <w:pStyle w:val="TOC1"/>
        <w:tabs>
          <w:tab w:val="right" w:leader="dot" w:pos="9350"/>
        </w:tabs>
        <w:rPr>
          <w:rFonts w:ascii="Calibri" w:hAnsi="Calibri"/>
          <w:noProof/>
          <w:sz w:val="22"/>
        </w:rPr>
      </w:pPr>
      <w:hyperlink w:anchor="_Toc256000031" w:history="1">
        <w:r>
          <w:rPr>
            <w:rStyle w:val="Hyperlink"/>
          </w:rPr>
          <w:t>3. THEORETICAL BACKGROUND</w:t>
        </w:r>
        <w:r>
          <w:tab/>
        </w:r>
        <w:r>
          <w:fldChar w:fldCharType="begin"/>
        </w:r>
        <w:r>
          <w:instrText xml:space="preserve"> PAGEREF _Toc256000031 \h </w:instrText>
        </w:r>
        <w:r>
          <w:fldChar w:fldCharType="separate"/>
        </w:r>
        <w:r>
          <w:t>6</w:t>
        </w:r>
        <w:r>
          <w:fldChar w:fldCharType="end"/>
        </w:r>
      </w:hyperlink>
    </w:p>
    <w:p>
      <w:pPr>
        <w:pStyle w:val="TOC2"/>
        <w:tabs>
          <w:tab w:val="right" w:leader="dot" w:pos="9350"/>
        </w:tabs>
        <w:rPr>
          <w:rFonts w:ascii="Calibri" w:hAnsi="Calibri"/>
          <w:noProof/>
          <w:sz w:val="22"/>
        </w:rPr>
      </w:pPr>
      <w:hyperlink w:anchor="_Toc256000032" w:history="1">
        <w:r>
          <w:rPr>
            <w:rStyle w:val="Hyperlink"/>
          </w:rPr>
          <w:t>3.1 Graph Theory Fundamentals</w:t>
        </w:r>
        <w:r>
          <w:tab/>
        </w:r>
        <w:r>
          <w:fldChar w:fldCharType="begin"/>
        </w:r>
        <w:r>
          <w:instrText xml:space="preserve"> PAGEREF _Toc256000032 \h </w:instrText>
        </w:r>
        <w:r>
          <w:fldChar w:fldCharType="separate"/>
        </w:r>
        <w:r>
          <w:t>7</w:t>
        </w:r>
        <w:r>
          <w:fldChar w:fldCharType="end"/>
        </w:r>
      </w:hyperlink>
    </w:p>
    <w:p>
      <w:pPr>
        <w:pStyle w:val="TOC2"/>
        <w:tabs>
          <w:tab w:val="right" w:leader="dot" w:pos="9350"/>
        </w:tabs>
        <w:rPr>
          <w:rFonts w:ascii="Calibri" w:hAnsi="Calibri"/>
          <w:noProof/>
          <w:sz w:val="22"/>
        </w:rPr>
      </w:pPr>
      <w:hyperlink w:anchor="_Toc256000033" w:history="1">
        <w:r>
          <w:rPr>
            <w:rStyle w:val="Hyperlink"/>
          </w:rPr>
          <w:t>3.2 Graph Coloring Algorithms</w:t>
        </w:r>
        <w:r>
          <w:tab/>
        </w:r>
        <w:r>
          <w:fldChar w:fldCharType="begin"/>
        </w:r>
        <w:r>
          <w:instrText xml:space="preserve"> PAGEREF _Toc256000033 \h </w:instrText>
        </w:r>
        <w:r>
          <w:fldChar w:fldCharType="separate"/>
        </w:r>
        <w:r>
          <w:t>7</w:t>
        </w:r>
        <w:r>
          <w:fldChar w:fldCharType="end"/>
        </w:r>
      </w:hyperlink>
    </w:p>
    <w:p>
      <w:pPr>
        <w:pStyle w:val="TOC1"/>
        <w:tabs>
          <w:tab w:val="right" w:leader="dot" w:pos="9350"/>
        </w:tabs>
        <w:rPr>
          <w:rFonts w:ascii="Calibri" w:hAnsi="Calibri"/>
          <w:noProof/>
          <w:sz w:val="22"/>
        </w:rPr>
      </w:pPr>
      <w:hyperlink w:anchor="_Toc256000034" w:history="1">
        <w:r>
          <w:rPr>
            <w:rStyle w:val="Hyperlink"/>
          </w:rPr>
          <w:t>4. METHODOLOGY</w:t>
        </w:r>
        <w:r>
          <w:tab/>
        </w:r>
        <w:r>
          <w:fldChar w:fldCharType="begin"/>
        </w:r>
        <w:r>
          <w:instrText xml:space="preserve"> PAGEREF _Toc256000034 \h </w:instrText>
        </w:r>
        <w:r>
          <w:fldChar w:fldCharType="separate"/>
        </w:r>
        <w:r>
          <w:t>9</w:t>
        </w:r>
        <w:r>
          <w:fldChar w:fldCharType="end"/>
        </w:r>
      </w:hyperlink>
    </w:p>
    <w:p>
      <w:pPr>
        <w:pStyle w:val="TOC2"/>
        <w:tabs>
          <w:tab w:val="right" w:leader="dot" w:pos="9350"/>
        </w:tabs>
        <w:rPr>
          <w:rFonts w:ascii="Calibri" w:hAnsi="Calibri"/>
          <w:noProof/>
          <w:sz w:val="22"/>
        </w:rPr>
      </w:pPr>
      <w:hyperlink w:anchor="_Toc256000035" w:history="1">
        <w:r>
          <w:rPr>
            <w:rStyle w:val="Hyperlink"/>
          </w:rPr>
          <w:t>4.1 Experimental Design</w:t>
        </w:r>
        <w:r>
          <w:tab/>
        </w:r>
        <w:r>
          <w:fldChar w:fldCharType="begin"/>
        </w:r>
        <w:r>
          <w:instrText xml:space="preserve"> PAGEREF _Toc256000035 \h </w:instrText>
        </w:r>
        <w:r>
          <w:fldChar w:fldCharType="separate"/>
        </w:r>
        <w:r>
          <w:t>9</w:t>
        </w:r>
        <w:r>
          <w:fldChar w:fldCharType="end"/>
        </w:r>
      </w:hyperlink>
    </w:p>
    <w:p>
      <w:pPr>
        <w:pStyle w:val="TOC2"/>
        <w:tabs>
          <w:tab w:val="right" w:leader="dot" w:pos="9350"/>
        </w:tabs>
        <w:rPr>
          <w:rFonts w:ascii="Calibri" w:hAnsi="Calibri"/>
          <w:noProof/>
          <w:sz w:val="22"/>
        </w:rPr>
      </w:pPr>
      <w:hyperlink w:anchor="_Toc256000036" w:history="1">
        <w:r>
          <w:rPr>
            <w:rStyle w:val="Hyperlink"/>
          </w:rPr>
          <w:t>4.2 Puzzle Families and Graph Construction</w:t>
        </w:r>
        <w:r>
          <w:tab/>
        </w:r>
        <w:r>
          <w:fldChar w:fldCharType="begin"/>
        </w:r>
        <w:r>
          <w:instrText xml:space="preserve"> PAGEREF _Toc256000036 \h </w:instrText>
        </w:r>
        <w:r>
          <w:fldChar w:fldCharType="separate"/>
        </w:r>
        <w:r>
          <w:t>9</w:t>
        </w:r>
        <w:r>
          <w:fldChar w:fldCharType="end"/>
        </w:r>
      </w:hyperlink>
    </w:p>
    <w:p>
      <w:pPr>
        <w:pStyle w:val="TOC2"/>
        <w:tabs>
          <w:tab w:val="right" w:leader="dot" w:pos="9350"/>
        </w:tabs>
        <w:rPr>
          <w:rFonts w:ascii="Calibri" w:hAnsi="Calibri"/>
          <w:noProof/>
          <w:sz w:val="22"/>
        </w:rPr>
      </w:pPr>
      <w:hyperlink w:anchor="_Toc256000037" w:history="1">
        <w:r>
          <w:rPr>
            <w:rStyle w:val="Hyperlink"/>
          </w:rPr>
          <w:t>4.3 Algorithm Implementation</w:t>
        </w:r>
        <w:r>
          <w:tab/>
        </w:r>
        <w:r>
          <w:fldChar w:fldCharType="begin"/>
        </w:r>
        <w:r>
          <w:instrText xml:space="preserve"> PAGEREF _Toc256000037 \h </w:instrText>
        </w:r>
        <w:r>
          <w:fldChar w:fldCharType="separate"/>
        </w:r>
        <w:r>
          <w:t>10</w:t>
        </w:r>
        <w:r>
          <w:fldChar w:fldCharType="end"/>
        </w:r>
      </w:hyperlink>
    </w:p>
    <w:p>
      <w:pPr>
        <w:pStyle w:val="TOC2"/>
        <w:tabs>
          <w:tab w:val="right" w:leader="dot" w:pos="9350"/>
        </w:tabs>
        <w:rPr>
          <w:rFonts w:ascii="Calibri" w:hAnsi="Calibri"/>
          <w:noProof/>
          <w:sz w:val="22"/>
        </w:rPr>
      </w:pPr>
      <w:hyperlink w:anchor="_Toc256000038" w:history="1">
        <w:r>
          <w:rPr>
            <w:rStyle w:val="Hyperlink"/>
          </w:rPr>
          <w:t>4.4 Experimental Workflow</w:t>
        </w:r>
        <w:r>
          <w:tab/>
        </w:r>
        <w:r>
          <w:fldChar w:fldCharType="begin"/>
        </w:r>
        <w:r>
          <w:instrText xml:space="preserve"> PAGEREF _Toc256000038 \h </w:instrText>
        </w:r>
        <w:r>
          <w:fldChar w:fldCharType="separate"/>
        </w:r>
        <w:r>
          <w:t>10</w:t>
        </w:r>
        <w:r>
          <w:fldChar w:fldCharType="end"/>
        </w:r>
      </w:hyperlink>
    </w:p>
    <w:p>
      <w:pPr>
        <w:pStyle w:val="TOC2"/>
        <w:tabs>
          <w:tab w:val="right" w:leader="dot" w:pos="9350"/>
        </w:tabs>
        <w:rPr>
          <w:rFonts w:ascii="Calibri" w:hAnsi="Calibri"/>
          <w:noProof/>
          <w:sz w:val="22"/>
        </w:rPr>
      </w:pPr>
      <w:hyperlink w:anchor="_Toc256000039" w:history="1">
        <w:r>
          <w:rPr>
            <w:rStyle w:val="Hyperlink"/>
          </w:rPr>
          <w:t>4.5 Performance Metrics</w:t>
        </w:r>
        <w:r>
          <w:tab/>
        </w:r>
        <w:r>
          <w:fldChar w:fldCharType="begin"/>
        </w:r>
        <w:r>
          <w:instrText xml:space="preserve"> PAGEREF _Toc256000039 \h </w:instrText>
        </w:r>
        <w:r>
          <w:fldChar w:fldCharType="separate"/>
        </w:r>
        <w:r>
          <w:t>10</w:t>
        </w:r>
        <w:r>
          <w:fldChar w:fldCharType="end"/>
        </w:r>
      </w:hyperlink>
    </w:p>
    <w:p>
      <w:pPr>
        <w:pStyle w:val="TOC2"/>
        <w:tabs>
          <w:tab w:val="right" w:leader="dot" w:pos="9350"/>
        </w:tabs>
        <w:rPr>
          <w:rFonts w:ascii="Calibri" w:hAnsi="Calibri"/>
          <w:noProof/>
          <w:sz w:val="22"/>
        </w:rPr>
      </w:pPr>
      <w:hyperlink w:anchor="_Toc256000040" w:history="1">
        <w:r>
          <w:rPr>
            <w:rStyle w:val="Hyperlink"/>
          </w:rPr>
          <w:t>4.6 Visualization and Analysis</w:t>
        </w:r>
        <w:r>
          <w:tab/>
        </w:r>
        <w:r>
          <w:fldChar w:fldCharType="begin"/>
        </w:r>
        <w:r>
          <w:instrText xml:space="preserve"> PAGEREF _Toc256000040 \h </w:instrText>
        </w:r>
        <w:r>
          <w:fldChar w:fldCharType="separate"/>
        </w:r>
        <w:r>
          <w:t>11</w:t>
        </w:r>
        <w:r>
          <w:fldChar w:fldCharType="end"/>
        </w:r>
      </w:hyperlink>
    </w:p>
    <w:p>
      <w:pPr>
        <w:pStyle w:val="TOC1"/>
        <w:tabs>
          <w:tab w:val="right" w:leader="dot" w:pos="9350"/>
        </w:tabs>
        <w:rPr>
          <w:rFonts w:ascii="Calibri" w:hAnsi="Calibri"/>
          <w:noProof/>
          <w:sz w:val="22"/>
        </w:rPr>
      </w:pPr>
      <w:hyperlink w:anchor="_Toc256000041" w:history="1">
        <w:r>
          <w:rPr>
            <w:rStyle w:val="Hyperlink"/>
          </w:rPr>
          <w:t>References</w:t>
        </w:r>
        <w:r>
          <w:tab/>
        </w:r>
        <w:r>
          <w:fldChar w:fldCharType="begin"/>
        </w:r>
        <w:r>
          <w:instrText xml:space="preserve"> PAGEREF _Toc256000041 \h </w:instrText>
        </w:r>
        <w:r>
          <w:fldChar w:fldCharType="separate"/>
        </w:r>
        <w:r>
          <w:t>13</w:t>
        </w:r>
        <w:r>
          <w:fldChar w:fldCharType="end"/>
        </w:r>
      </w:hyperlink>
    </w:p>
    <w:p w:rsidR="00A77B3E">
      <w:pPr>
        <w:pStyle w:val="TableOfContentsHeading"/>
      </w:pPr>
      <w:r>
        <w:fldChar w:fldCharType="end"/>
      </w:r>
      <w:r>
        <w:br w:type="page"/>
      </w:r>
      <w:bookmarkEnd w:id="0"/>
    </w:p>
    <w:p>
      <w:r w:rsidR="00A77B3E">
        <w:rPr>
          <w:color w:val="000000"/>
        </w:rPr>
        <w:t xml:space="preserve">Vertex coloring is a fundamental concept in graph theory, which involves assigning colors to the vertices of a graph such that no two adjacent vertices share the same color. Formally, given a graph ( G = (V, E) , where ( V ) represents the set of vertices and ( E ) the set of edges connecting pairs of vertices, a proper vertex coloring ensures that for every edge ( (u, v) in E ), the colors assigned to vertices ( u </w:t>
      </w:r>
      <w:r>
        <w:t>)</w:t>
      </w:r>
      <w:r>
        <w:rPr>
          <w:color w:val="000000"/>
        </w:rPr>
        <w:t xml:space="preserve"> and ( v ) differ. The chromatic number of a graph is defined as the minimum number of colors required to achieve such a proper coloring. The Graph Coloring Problem (GCP), which seeks to determine this chromatic number, is known to be NP-hard, indicating its computational complexity and the absence of efficient algorithms for all cases </w:t>
      </w:r>
      <w:hyperlink w:anchor="584f6f0569343fc8803f51c403a29772_ref" w:history="1">
        <w:r>
          <w:rPr>
            <w:rFonts w:ascii="Times New Roman" w:eastAsia="Times New Roman" w:hAnsi="Times New Roman" w:cs="Times New Roman"/>
            <w:color w:val="0000EE"/>
            <w:u w:val="single" w:color="0000EE"/>
          </w:rPr>
          <w:t>[1]</w:t>
        </w:r>
      </w:hyperlink>
      <w:r>
        <w:rPr>
          <w:color w:val="000000"/>
        </w:rPr>
        <w:t xml:space="preserve">. The origins of graph coloring trace back to Francis Guthrie’s 1852 observation concerning the coloring of England’s counties, which led to the Four Color Theorem for planar graphs. Initially focused on planar graphs, the study of graph coloring has since expanded to encompass a broad range of graph classes and applications </w:t>
      </w:r>
      <w:hyperlink w:anchor="4303e0a06a963de48db70baeafabe468_ref" w:history="1">
        <w:r>
          <w:rPr>
            <w:rFonts w:ascii="Times New Roman" w:eastAsia="Times New Roman" w:hAnsi="Times New Roman" w:cs="Times New Roman"/>
            <w:color w:val="0000EE"/>
            <w:u w:val="single" w:color="0000EE"/>
          </w:rPr>
          <w:t>[2]</w:t>
        </w:r>
      </w:hyperlink>
      <w:r>
        <w:rPr>
          <w:color w:val="000000"/>
        </w:rPr>
        <w:t>.</w:t>
      </w:r>
    </w:p>
    <w:p/>
    <w:p>
      <w:r>
        <w:rPr>
          <w:color w:val="000000"/>
        </w:rPr>
        <w:t>The extensive interest in the Graph Coloring Problem is primarily attributed to its wide-ranging practical applications across various fields. In the realms of scheduling and planning, vertex coloring serves as a model for the allocation of limited resources or time slots to prevent conflicts. In radio frequency assignment, graph coloring is utilized to minimize interference between transmitters operating on adjacent frequencies. Similarly, computer register allocation employs coloring algorithms to efficiently assign variables to a limited number of CPU registers during program execution. Additionally, channel routing in VLSI design, printed circuit board testing, task allocation in parallel computing, and network design also leverage graph coloring techniques to optimize performance and resource utilization.</w:t>
      </w:r>
      <w:hyperlink w:anchor="055e439acda8392c83976f2d9e5cc6cb_ref" w:history="1">
        <w:r>
          <w:rPr>
            <w:rFonts w:ascii="Times New Roman" w:eastAsia="Times New Roman" w:hAnsi="Times New Roman" w:cs="Times New Roman"/>
            <w:color w:val="0000EE"/>
            <w:u w:val="single" w:color="0000EE"/>
          </w:rPr>
          <w:t>[3]</w:t>
        </w:r>
      </w:hyperlink>
      <w:r>
        <w:rPr>
          <w:color w:val="000000"/>
        </w:rPr>
        <w:t>. These varied applications underscore the importance of developing effective algorithms and tools to address the GCP in real-world scenarios.</w:t>
      </w:r>
    </w:p>
    <w:p/>
    <w:p>
      <w:r>
        <w:rPr>
          <w:color w:val="000000"/>
        </w:rPr>
        <w:t>With the emergence of web technologies, there is a growing demand for accessible and platform-independent tools that facilitate the study and application of graph coloring. Browser-based graph coloring applications offer significant advantages, including ease of access without the need for installation, cross-platform compatibility, and the capacity to reach a broader audience.</w:t>
      </w:r>
      <w:hyperlink w:anchor="b6ae91db357d3ebda5be53d2df7278f9_ref" w:history="1">
        <w:r>
          <w:rPr>
            <w:rFonts w:ascii="Times New Roman" w:eastAsia="Times New Roman" w:hAnsi="Times New Roman" w:cs="Times New Roman"/>
            <w:color w:val="0000EE"/>
            <w:u w:val="single" w:color="0000EE"/>
          </w:rPr>
          <w:t>[4]</w:t>
        </w:r>
      </w:hyperlink>
      <w:r>
        <w:rPr>
          <w:color w:val="000000"/>
        </w:rPr>
        <w:t xml:space="preserve">. </w:t>
      </w:r>
      <w:r>
        <w:rPr>
          <w:color w:val="000000"/>
        </w:rPr>
        <w:t>These tools are particularly beneficial in educational settings, where interactive visualization and experimentation can significantly enhance the comprehension of complex graph theory concepts. Despite this necessity, there exists a notable gap in the availability of comprehensive web-based graph coloring applications that not only facilitate graph creation but also allow for the comparison of various coloring algorithms. Addressing this gap is essential for both academic research and pedagogy.</w:t>
      </w:r>
      <w:hyperlink w:anchor="af9424a0bb713fe59e1084c2dfa6f7f6_ref" w:history="1">
        <w:r>
          <w:rPr>
            <w:rFonts w:ascii="Times New Roman" w:eastAsia="Times New Roman" w:hAnsi="Times New Roman" w:cs="Times New Roman"/>
            <w:color w:val="0000EE"/>
            <w:u w:val="single" w:color="0000EE"/>
          </w:rPr>
          <w:t>[5]</w:t>
        </w:r>
      </w:hyperlink>
      <w:r>
        <w:rPr>
          <w:color w:val="000000"/>
        </w:rPr>
        <w:t xml:space="preserve"> </w:t>
      </w:r>
      <w:r>
        <w:t>.</w:t>
      </w:r>
    </w:p>
    <w:p/>
    <w:p>
      <w:r>
        <w:rPr>
          <w:color w:val="000000"/>
        </w:rPr>
        <w:t>This paper introduces an innovative web-based graph coloring application that differentiates itself from existing solutions through several key advancements. Firstly, the application is fully accessible via web browsers, obviating the need for software installation and ensuring compatibility across various devices. Secondly, it provides dual modes of graph creation, enabling users to either manually construct graphs or generate random graphs with configurable parameters such as vertex count and edge density. Thirdly, the application incorporates three heuristic algorithms—Greedy, Welsh-Powell, and DSatur—to execute vertex coloring, offering comparative performance metrics, including the resulting chromatic number and execution time. This comprehensive approach facilitates both practical experimentation and a deeper understanding of algorithmic behavior.</w:t>
      </w:r>
      <w:hyperlink w:anchor="3c146f53260b3a7690c4abbe3a9b59cc_ref" w:history="1">
        <w:r>
          <w:rPr>
            <w:rFonts w:ascii="Times New Roman" w:eastAsia="Times New Roman" w:hAnsi="Times New Roman" w:cs="Times New Roman"/>
            <w:color w:val="0000EE"/>
            <w:u w:val="single" w:color="0000EE"/>
          </w:rPr>
          <w:t>[6]</w:t>
        </w:r>
      </w:hyperlink>
      <w:r>
        <w:rPr>
          <w:color w:val="000000"/>
        </w:rPr>
        <w:t>.</w:t>
      </w:r>
    </w:p>
    <w:p/>
    <w:p>
      <w:r>
        <w:rPr>
          <w:color w:val="000000"/>
        </w:rPr>
        <w:t>The primary objectives of this research are to develop an accessible and interactive web-based application utilizing Python and the Streamlit framework, to systematically compare the performance of three heuristic graph coloring algorithms across graphs of varying densities, and to create an educational platform that facilitates visualization and hands-on learning of graph theory principles. By enabling users to experiment with different graph structures and algorithms, the application aims to bridge the gap between theoretical understanding and practical implementation, thereby fostering a more engaging and effective learning experience.</w:t>
      </w:r>
    </w:p>
    <w:p/>
    <w:p>
      <w:r>
        <w:rPr>
          <w:color w:val="000000"/>
        </w:rPr>
        <w:t xml:space="preserve"> The remainder of this paper is organized as follows: Section 2 reviews related work and existing graph coloring tools, highlighting their features and limitations. Section 3 provides the theoretical background on graph structures and the heuristic algorithms employed. Section 4 details the methodology and system implementation of the proposed application. Section 5 presents experimental results and analysis, evaluating algorithm performance across various graph configurations. Finally, Section 6 concludes the paper and outlines directions for future research and development.</w:t>
      </w:r>
    </w:p>
    <w:p/>
    <w:p/>
    <w:p/>
    <w:p>
      <w:pPr>
        <w:pStyle w:val="Heading1"/>
      </w:pPr>
      <w:bookmarkStart w:id="1" w:name="_Toc256000028"/>
      <w:r>
        <w:t>2. RELATED WORK</w:t>
      </w:r>
      <w:bookmarkEnd w:id="1"/>
      <w:r>
        <w:t xml:space="preserve"> </w:t>
      </w:r>
    </w:p>
    <w:p/>
    <w:p>
      <w:r>
        <w:rPr>
          <w:color w:val="000000"/>
        </w:rPr>
        <w:t>Graph coloring is an important field in graph theory and computer science. Recent progress in methods for computing and visualizing graphs has expanded across platforms. These developments are used in social network analysis, transportation networks, biological networks, optimization problems, and educational applications. Web-based applications for analyzing and coloring graphs have become important for accessibility. Modern web technologies enable sophisticated graph analysis tools to run in browsers without complex installation, making them valuable for education and research.</w:t>
      </w:r>
    </w:p>
    <w:p/>
    <w:p>
      <w:pPr>
        <w:pStyle w:val="Heading2"/>
      </w:pPr>
      <w:bookmarkStart w:id="2" w:name="_Toc256000029"/>
      <w:r>
        <w:t>2.1 Popular Applications and Tools</w:t>
      </w:r>
      <w:bookmarkEnd w:id="2"/>
    </w:p>
    <w:p/>
    <w:p>
      <w:r>
        <w:rPr>
          <w:color w:val="000000"/>
        </w:rPr>
        <w:t>Graph visualization and analysis tools have become increasingly accessible across various domains, offering a range of capabilities from desktop applications to web-based solutions. Gephi, a robust open-source tool, excels in graph visualization and analysis [1]. As a desktop application, it offers extensive features for exploring and manipulating graph structures, including layout algorithms, statistical analysis tools, and visualization capabilities suitable for large-scale network analysis. However, its desktop-based nature limits accessibility and requires installation, which can be a barrier for casual users or educational settings. D3.js, a popular JavaScript library, is widely used for creating interactive data visualizations in web browsers [2]. Its flexibility and rendering capabilities make it ideal for graph visualization, allowing developers to bind data to the Document Object Model (DOM) and apply data-driven transformations to create interactive visualizations. Despite its excellent visualization capabilities, D3.js requires programming expertise and lacks built-in graph coloring algorithms. NetworkX is a comprehensive Python library designed for creating, manipulating, and studying complex networks and graphs [3]. It offers algorithms for graph analysis, including graph coloring heuristics, shortest path algorithms, centrality measures, and community detection methods. NetworkX is favored for its extensive functionality and well-documented API. However, it does not provide visualization capabilities and requires integration with other libraries like Matplotlib for graph rendering [4]. NetworkX applications typically run as standalone Python scripts rather than interactive web applications. Graphviz, an open-source graph visualization software package, provides tools for rendering graphs specified in the DOT language [5]. It excels at generating layouts for graphs and is particularly useful for visualizing hierarchical structures, flowcharts, and network diagrams. While Graphviz produces high-quality static visualizations, it lacks interactive features and graph coloring algorithms, focusing primarily on layout and rendering. Plotly, a Python library, offers interactive graphing capabilities, including network graph visualization [6]. It enables the creation of web-based visualizations for web applications or Jupyter notebooks. While Plotly provides interactivity and web compatibility, its graph analysis capabilities are limited compared to specialized graph libraries like NetworkX. Cytoscape is a platform for network visualization and analysis, initially developed for biological research but now used across many domains [7]. Although powerful for complex network analysis, Cytoscape requires installation and has a steeper learning curve compared to web-based alternatives.</w:t>
      </w:r>
    </w:p>
    <w:p/>
    <w:p>
      <w:pPr>
        <w:pStyle w:val="Heading2"/>
      </w:pPr>
      <w:bookmarkStart w:id="3" w:name="_Toc256000030"/>
      <w:r>
        <w:t>2.2 Recent Developments in Web-Based Graph Applications</w:t>
      </w:r>
      <w:bookmarkEnd w:id="3"/>
    </w:p>
    <w:p/>
    <w:p>
      <w:r>
        <w:rPr>
          <w:color w:val="000000"/>
        </w:rPr>
        <w:t>In recent years, significant advancements in web-based graph computing and visualization have emerged, driven by progress in web technologies and the growing demand for accessible analytical tools. Progressive Web Applications (PWAs) deliver application-like experiences through web browsers [8], offering offline functionality, enhanced performance, and cross-platform compatibility without the need for separate native applications. By incorporating PWA principles into graph analysis tools, accessibility and user experience are greatly improved. WebAssembly technology facilitates high-performance computation within web browsers, enabling the efficient execution of intensive graph algorithms in web applications [9]. This development reduces the performance gap between desktop and web-based graph tools, making complex algorithms like graph coloring feasible for browser-based implementations. Cloud-based architectures allow web applications to offload heavy computational tasks to server-side resources while maintaining responsive interfaces [10], which is particularly valuable for graph coloring on large graphs where computation time is substantial. However, server-based approaches can introduce latency and require reliable connectivity. Interactive visualization frameworks such as Streamlit have transformed data analysis web applications [11]. Streamlit empowers Python developers to create interactive web applications with minimal expertise, handling UI updates, state management, and user interactions, thereby reducing development time and complexity. By integrating Streamlit with Python libraries like NetworkX, Matplotlib, and Pandas, a compelling platform for graph analysis applications is created. Responsive design principles ensure usability across devices with varying screen sizes and capabilities [12], which is crucial for graph visualization, as display space significantly affects the user's ability to comprehend complex graph structures.</w:t>
      </w:r>
    </w:p>
    <w:p/>
    <w:p>
      <w:pPr>
        <w:rPr>
          <w:color w:val="000000"/>
        </w:rPr>
      </w:pPr>
      <w:r>
        <w:rPr>
          <w:color w:val="000000"/>
        </w:rPr>
        <w:t xml:space="preserve">[1] M. Bastian, S. Heymann, and M. Jacomy, "Gephi: An open source software </w:t>
      </w:r>
    </w:p>
    <w:p>
      <w:pPr>
        <w:rPr>
          <w:color w:val="000000"/>
        </w:rPr>
      </w:pPr>
      <w:r>
        <w:rPr>
          <w:color w:val="000000"/>
        </w:rPr>
        <w:t xml:space="preserve">    for exploring and manipulating networks," in Proc. Int. AAAI Conf. Web </w:t>
      </w:r>
    </w:p>
    <w:p>
      <w:pPr>
        <w:rPr>
          <w:color w:val="000000"/>
        </w:rPr>
      </w:pPr>
      <w:r>
        <w:rPr>
          <w:color w:val="000000"/>
        </w:rPr>
        <w:t xml:space="preserve">    Social Media, vol. 3, no. 1, 2009, pp. 361-362.</w:t>
      </w:r>
    </w:p>
    <w:p>
      <w:pPr>
        <w:rPr>
          <w:color w:val="000000"/>
        </w:rPr>
      </w:pPr>
    </w:p>
    <w:p>
      <w:pPr>
        <w:rPr>
          <w:color w:val="000000"/>
        </w:rPr>
      </w:pPr>
      <w:r>
        <w:rPr>
          <w:color w:val="000000"/>
        </w:rPr>
        <w:t xml:space="preserve">[2] M. Bostock, V. Ogievetsky, and J. Heer, "D3: Data-driven documents," </w:t>
      </w:r>
    </w:p>
    <w:p>
      <w:pPr>
        <w:rPr>
          <w:color w:val="000000"/>
        </w:rPr>
      </w:pPr>
      <w:r>
        <w:rPr>
          <w:color w:val="000000"/>
        </w:rPr>
        <w:t xml:space="preserve">    IEEE Trans. Vis. Comput. Graphics, vol. 17, no. 12, pp. 2301-2309, </w:t>
      </w:r>
    </w:p>
    <w:p>
      <w:pPr>
        <w:rPr>
          <w:color w:val="000000"/>
        </w:rPr>
      </w:pPr>
      <w:r>
        <w:rPr>
          <w:color w:val="000000"/>
        </w:rPr>
        <w:t xml:space="preserve">    Dec. 2011, doi: 10.1109/TVCG.2011.185.</w:t>
      </w:r>
    </w:p>
    <w:p>
      <w:pPr>
        <w:rPr>
          <w:color w:val="000000"/>
        </w:rPr>
      </w:pPr>
    </w:p>
    <w:p>
      <w:pPr>
        <w:rPr>
          <w:color w:val="000000"/>
        </w:rPr>
      </w:pPr>
      <w:r>
        <w:rPr>
          <w:color w:val="000000"/>
        </w:rPr>
        <w:t xml:space="preserve">[3] A. Hagberg, P. Swart, and D. S Chult, "Exploring network structure, </w:t>
      </w:r>
    </w:p>
    <w:p>
      <w:pPr>
        <w:rPr>
          <w:color w:val="000000"/>
        </w:rPr>
      </w:pPr>
      <w:r>
        <w:rPr>
          <w:color w:val="000000"/>
        </w:rPr>
        <w:t xml:space="preserve">    dynamics, and function using NetworkX," in Proc. 7th Python Sci. Conf. </w:t>
      </w:r>
    </w:p>
    <w:p>
      <w:pPr>
        <w:rPr>
          <w:color w:val="000000"/>
        </w:rPr>
      </w:pPr>
      <w:r>
        <w:rPr>
          <w:color w:val="000000"/>
        </w:rPr>
        <w:t xml:space="preserve">    (SciPy 2008), Pasadena, CA, USA, 2008, pp. 11-15.</w:t>
      </w:r>
    </w:p>
    <w:p>
      <w:pPr>
        <w:rPr>
          <w:color w:val="000000"/>
        </w:rPr>
      </w:pPr>
    </w:p>
    <w:p>
      <w:pPr>
        <w:rPr>
          <w:color w:val="000000"/>
        </w:rPr>
      </w:pPr>
      <w:r>
        <w:rPr>
          <w:color w:val="000000"/>
        </w:rPr>
        <w:t xml:space="preserve">[4] J. D. Hunter, "Matplotlib: A 2D graphics environment," Comput. Sci. Eng., </w:t>
      </w:r>
    </w:p>
    <w:p>
      <w:pPr>
        <w:rPr>
          <w:color w:val="000000"/>
        </w:rPr>
      </w:pPr>
      <w:r>
        <w:rPr>
          <w:color w:val="000000"/>
        </w:rPr>
        <w:t xml:space="preserve">    vol. 9, no. 3, pp. 90-95, May-Jun. 2007, doi: 10.1109/MCSE.2007.55.</w:t>
      </w:r>
    </w:p>
    <w:p>
      <w:pPr>
        <w:rPr>
          <w:color w:val="000000"/>
        </w:rPr>
      </w:pPr>
    </w:p>
    <w:p>
      <w:pPr>
        <w:rPr>
          <w:color w:val="000000"/>
        </w:rPr>
      </w:pPr>
      <w:r>
        <w:rPr>
          <w:color w:val="000000"/>
        </w:rPr>
        <w:t xml:space="preserve">[5] J. Ellson, E. Gansner, L. Koutsofios, S. C. North, and G. Woodhull, </w:t>
      </w:r>
    </w:p>
    <w:p>
      <w:pPr>
        <w:rPr>
          <w:color w:val="000000"/>
        </w:rPr>
      </w:pPr>
      <w:r>
        <w:rPr>
          <w:color w:val="000000"/>
        </w:rPr>
        <w:t xml:space="preserve">    "Graphviz—Open source graph drawing tools," in Graph Drawing. Berlin, </w:t>
      </w:r>
    </w:p>
    <w:p>
      <w:pPr>
        <w:rPr>
          <w:color w:val="000000"/>
        </w:rPr>
      </w:pPr>
      <w:r>
        <w:rPr>
          <w:color w:val="000000"/>
        </w:rPr>
        <w:t xml:space="preserve">    Germany: Springer, 2001, pp. 483-484.</w:t>
      </w:r>
    </w:p>
    <w:p>
      <w:pPr>
        <w:rPr>
          <w:color w:val="000000"/>
        </w:rPr>
      </w:pPr>
    </w:p>
    <w:p>
      <w:pPr>
        <w:rPr>
          <w:color w:val="000000"/>
        </w:rPr>
      </w:pPr>
      <w:r>
        <w:rPr>
          <w:color w:val="000000"/>
        </w:rPr>
        <w:t xml:space="preserve">[6] Plotly Technologies Inc., "Collaborative data science," Montreal, QC, </w:t>
      </w:r>
    </w:p>
    <w:p>
      <w:pPr>
        <w:rPr>
          <w:color w:val="000000"/>
        </w:rPr>
      </w:pPr>
      <w:r>
        <w:rPr>
          <w:color w:val="000000"/>
        </w:rPr>
        <w:t xml:space="preserve">    Canada, 2015. [Online]. Available: https://plot.ly</w:t>
      </w:r>
    </w:p>
    <w:p>
      <w:pPr>
        <w:rPr>
          <w:color w:val="000000"/>
        </w:rPr>
      </w:pPr>
    </w:p>
    <w:p>
      <w:pPr>
        <w:rPr>
          <w:color w:val="000000"/>
        </w:rPr>
      </w:pPr>
      <w:r>
        <w:rPr>
          <w:color w:val="000000"/>
        </w:rPr>
        <w:t xml:space="preserve">[7] P. Shannon et al., "Cytoscape: A software environment for integrated </w:t>
      </w:r>
    </w:p>
    <w:p>
      <w:pPr>
        <w:rPr>
          <w:color w:val="000000"/>
        </w:rPr>
      </w:pPr>
      <w:r>
        <w:rPr>
          <w:color w:val="000000"/>
        </w:rPr>
        <w:t xml:space="preserve">    models of biomolecular interaction networks," Genome Res., vol. 13, </w:t>
      </w:r>
    </w:p>
    <w:p>
      <w:pPr>
        <w:rPr>
          <w:color w:val="000000"/>
        </w:rPr>
      </w:pPr>
      <w:r>
        <w:rPr>
          <w:color w:val="000000"/>
        </w:rPr>
        <w:t xml:space="preserve">    no. 11, pp. 2498-2504, Nov. 2003, doi: 10.1101/gr.1239303.</w:t>
      </w:r>
    </w:p>
    <w:p>
      <w:pPr>
        <w:rPr>
          <w:color w:val="000000"/>
        </w:rPr>
      </w:pPr>
    </w:p>
    <w:p>
      <w:pPr>
        <w:rPr>
          <w:color w:val="000000"/>
        </w:rPr>
      </w:pPr>
      <w:r>
        <w:rPr>
          <w:color w:val="000000"/>
        </w:rPr>
        <w:t xml:space="preserve">[8] A. Biørn-Hansen, T. A. Majchrzak, and T. M. Grønli, "Progressive web </w:t>
      </w:r>
    </w:p>
    <w:p>
      <w:pPr>
        <w:rPr>
          <w:color w:val="000000"/>
        </w:rPr>
      </w:pPr>
      <w:r>
        <w:rPr>
          <w:color w:val="000000"/>
        </w:rPr>
        <w:t xml:space="preserve">    apps: The possible web-native unifier for mobile development," in Proc. </w:t>
      </w:r>
    </w:p>
    <w:p>
      <w:pPr>
        <w:rPr>
          <w:color w:val="000000"/>
        </w:rPr>
      </w:pPr>
      <w:r>
        <w:rPr>
          <w:color w:val="000000"/>
        </w:rPr>
        <w:t xml:space="preserve">    13th Int. Conf. Web Inf. Syst. Technol., Porto, Portugal, 2017, </w:t>
      </w:r>
    </w:p>
    <w:p>
      <w:pPr>
        <w:rPr>
          <w:color w:val="000000"/>
        </w:rPr>
      </w:pPr>
      <w:r>
        <w:rPr>
          <w:color w:val="000000"/>
        </w:rPr>
        <w:t xml:space="preserve">    pp. 344-351.</w:t>
      </w:r>
    </w:p>
    <w:p>
      <w:pPr>
        <w:rPr>
          <w:color w:val="000000"/>
        </w:rPr>
      </w:pPr>
    </w:p>
    <w:p>
      <w:pPr>
        <w:rPr>
          <w:color w:val="000000"/>
        </w:rPr>
      </w:pPr>
      <w:r>
        <w:rPr>
          <w:color w:val="000000"/>
        </w:rPr>
        <w:t xml:space="preserve">[9] A. Haas et al., "Bringing the web up to speed with WebAssembly," in </w:t>
      </w:r>
    </w:p>
    <w:p>
      <w:pPr>
        <w:rPr>
          <w:color w:val="000000"/>
        </w:rPr>
      </w:pPr>
      <w:r>
        <w:rPr>
          <w:color w:val="000000"/>
        </w:rPr>
        <w:t xml:space="preserve">    Proc. 38th ACM SIGPLAN Conf. Program. Lang. Design Implement., Barcelona, </w:t>
      </w:r>
    </w:p>
    <w:p>
      <w:pPr>
        <w:rPr>
          <w:color w:val="000000"/>
        </w:rPr>
      </w:pPr>
      <w:r>
        <w:rPr>
          <w:color w:val="000000"/>
        </w:rPr>
        <w:t xml:space="preserve">    Spain, Jun. 2017, pp. 185-200, doi: 10.1145/3062341.3062363.</w:t>
      </w:r>
    </w:p>
    <w:p>
      <w:pPr>
        <w:rPr>
          <w:color w:val="000000"/>
        </w:rPr>
      </w:pPr>
    </w:p>
    <w:p>
      <w:pPr>
        <w:rPr>
          <w:color w:val="000000"/>
        </w:rPr>
      </w:pPr>
      <w:r>
        <w:rPr>
          <w:color w:val="000000"/>
        </w:rPr>
        <w:t xml:space="preserve">[10] M. Armbrust et al., "A view of cloud computing," Commun. ACM, vol. 53, </w:t>
      </w:r>
    </w:p>
    <w:p>
      <w:pPr>
        <w:rPr>
          <w:color w:val="000000"/>
        </w:rPr>
      </w:pPr>
      <w:r>
        <w:rPr>
          <w:color w:val="000000"/>
        </w:rPr>
        <w:t xml:space="preserve">     no. 4, pp. 50-58, Apr. 2010, doi: 10.1145/1721654.1721672.</w:t>
      </w:r>
    </w:p>
    <w:p>
      <w:pPr>
        <w:rPr>
          <w:color w:val="000000"/>
        </w:rPr>
      </w:pPr>
    </w:p>
    <w:p>
      <w:pPr>
        <w:rPr>
          <w:color w:val="000000"/>
        </w:rPr>
      </w:pPr>
      <w:r>
        <w:rPr>
          <w:color w:val="000000"/>
        </w:rPr>
        <w:t xml:space="preserve">[11] Streamlit Inc., "Streamlit: The fastest way to build data apps," </w:t>
      </w:r>
    </w:p>
    <w:p>
      <w:pPr>
        <w:rPr>
          <w:color w:val="000000"/>
        </w:rPr>
      </w:pPr>
      <w:r>
        <w:rPr>
          <w:color w:val="000000"/>
        </w:rPr>
        <w:t xml:space="preserve">     San Francisco, CA, USA, 2019. [Online]. Available: https://streamlit.io</w:t>
      </w:r>
    </w:p>
    <w:p>
      <w:pPr>
        <w:rPr>
          <w:color w:val="000000"/>
        </w:rPr>
      </w:pPr>
    </w:p>
    <w:p>
      <w:pPr>
        <w:rPr>
          <w:color w:val="000000"/>
        </w:rPr>
      </w:pPr>
      <w:r>
        <w:rPr>
          <w:color w:val="000000"/>
        </w:rPr>
        <w:t xml:space="preserve">[12] E. Marcotte, Responsive Web Design. New York, NY, USA: A Book Apart, </w:t>
      </w:r>
    </w:p>
    <w:p>
      <w:r>
        <w:rPr>
          <w:color w:val="000000"/>
        </w:rPr>
        <w:t xml:space="preserve">     2011.</w:t>
      </w:r>
    </w:p>
    <w:p/>
    <w:p>
      <w:pPr>
        <w:pStyle w:val="Heading1"/>
      </w:pPr>
      <w:bookmarkStart w:id="4" w:name="_Toc256000031"/>
      <w:r>
        <w:t>3. THEORETICAL BACKGROUND</w:t>
      </w:r>
      <w:bookmarkEnd w:id="4"/>
    </w:p>
    <w:p/>
    <w:p>
      <w:pPr>
        <w:pStyle w:val="Heading2"/>
      </w:pPr>
      <w:bookmarkStart w:id="5" w:name="_Toc256000032"/>
      <w:r>
        <w:t>3.1 Graph Theory Fundamentals</w:t>
      </w:r>
      <w:bookmarkEnd w:id="5"/>
    </w:p>
    <w:p/>
    <w:p>
      <w:r>
        <w:rPr>
          <w:color w:val="000000"/>
        </w:rPr>
        <w:t>A graph is formally defined as G = (V, E), where V denotes the set of vertices and E represents the set of edges connecting pairs of vertices [13]. The chromatic number χ(G) signifies the minimum number of colors required to color all vertices such that no two adjacent vertices share the same color [14]. This problem is classified as NP-hard, rendering optimal solutions computationally intractable for large graphs [15]. Graph density D is calculated as D = 2|E|/(|V|(|V|-1)), with values ranging from 0 (sparse graphs) to 1 (complete graphs) [16].</w:t>
      </w:r>
    </w:p>
    <w:p/>
    <w:p>
      <w:pPr>
        <w:pStyle w:val="Heading2"/>
      </w:pPr>
      <w:bookmarkStart w:id="6" w:name="_Toc256000033"/>
      <w:r>
        <w:t>3.2 Graph Coloring Algorithms</w:t>
      </w:r>
      <w:bookmarkEnd w:id="6"/>
    </w:p>
    <w:p/>
    <w:p>
      <w:r>
        <w:rPr>
          <w:color w:val="000000"/>
        </w:rPr>
        <w:t xml:space="preserve">Graph coloring algorithms are generally divided into exact and heuristic methods [17]. Exact algorithms ensure optimal solutions but are marked by exponential time complexity, making them impractical for large-scale problems. On the other hand, heuristic algorithms, while not guaranteeing optimality, offer polynomial-time solutions that are more practical for real-world applications. This study implements six notable heuristic algorithms, each with distinct computational complexities and solution quality characteristics. </w:t>
      </w:r>
    </w:p>
    <w:p/>
    <w:p>
      <w:r>
        <w:rPr>
          <w:color w:val="000000"/>
        </w:rPr>
        <w:t xml:space="preserve">The Greedy algorithm processes vertices sequentially, assigning each vertex the smallest available color not used by its neighbors, achieving a linear time complexity of O(n + m) [18]. The Welsh-Powell algorithm enhances the Greedy approach by preprocessing vertices in descending order of degree before applying greedy coloring, with a complexity of O(n log n + m) [19]. </w:t>
      </w:r>
    </w:p>
    <w:p/>
    <w:p>
      <w:r>
        <w:rPr>
          <w:color w:val="000000"/>
        </w:rPr>
        <w:t xml:space="preserve">The DSatur algorithm, introduced by Brélaz [20], uses a dynamic strategy that prioritizes vertices with the highest saturation degree (the number of distinct colors used by neighbors), resulting in a complexity of O(n²) but offering superior solution quality. The Largest First algorithm sorts vertices by descending degree and applies sequential coloring with a complexity of O(n log n + m) [21]. </w:t>
      </w:r>
    </w:p>
    <w:p/>
    <w:p>
      <w:r>
        <w:rPr>
          <w:color w:val="000000"/>
        </w:rPr>
        <w:t>In contrast, the Smallest Last algorithm constructs the coloring order by iteratively removing minimum-degree vertices, achieving a complexity of O(n² + m) [22]. The Iterated Greedy algorithm performs k iterations of greedy coloring with different vertex orderings, selecting the best solution with a complexity of O(k(n + m)) [23]. Table 1 summarizes the computational complexity and characteristics of the six algorithms implemented in this study. As shown in the table, there is a clear trade-off between execution speed and solution quality, with Greedy offering the fastest performance and DSatur providing the best coloring quality among sequential algorithms.</w:t>
      </w:r>
    </w:p>
    <w:p/>
    <w:p>
      <w:r>
        <w:rPr>
          <w:b/>
          <w:color w:val="000000"/>
        </w:rPr>
        <w:t>Table 1. Complexity Comparison of Graph Coloring Algorithms</w:t>
      </w:r>
    </w:p>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gridCol w:w="1815"/>
        <w:gridCol w:w="1914"/>
        <w:gridCol w:w="2068"/>
        <w:gridCol w:w="182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p>
            <w:r>
              <w:t>Algorithm</w:t>
            </w:r>
          </w:p>
          <w:p/>
        </w:tc>
        <w:tc>
          <w:tcPr/>
          <w:p>
            <w:r>
              <w:t>Time Complexity</w:t>
            </w:r>
          </w:p>
          <w:p/>
        </w:tc>
        <w:tc>
          <w:tcPr/>
          <w:p>
            <w:r>
              <w:t>Space Complexity</w:t>
            </w:r>
          </w:p>
          <w:p/>
        </w:tc>
        <w:tc>
          <w:tcPr/>
          <w:p>
            <w:r>
              <w:t>Strategy</w:t>
            </w:r>
          </w:p>
          <w:p/>
        </w:tc>
        <w:tc>
          <w:tcPr/>
          <w:p>
            <w:r>
              <w:t>Solution Quality</w:t>
            </w:r>
          </w:p>
          <w:p/>
        </w:tc>
      </w:tr>
      <w:tr>
        <w:tblPrEx>
          <w:tblW w:w="5000" w:type="pct"/>
          <w:tblCellMar>
            <w:left w:w="108" w:type="dxa"/>
            <w:right w:w="108" w:type="dxa"/>
          </w:tblCellMar>
        </w:tblPrEx>
        <w:tc>
          <w:tcPr/>
          <w:p>
            <w:r>
              <w:t>Greedy</w:t>
            </w:r>
          </w:p>
          <w:p/>
        </w:tc>
        <w:tc>
          <w:tcPr/>
          <w:p>
            <w:r>
              <w:t>O(n + m)</w:t>
            </w:r>
          </w:p>
          <w:p/>
        </w:tc>
        <w:tc>
          <w:tcPr/>
          <w:p>
            <w:r>
              <w:t>O(n)</w:t>
            </w:r>
          </w:p>
          <w:p/>
        </w:tc>
        <w:tc>
          <w:tcPr/>
          <w:p>
            <w:r>
              <w:t>Sequential order</w:t>
            </w:r>
          </w:p>
          <w:p/>
        </w:tc>
        <w:tc>
          <w:tcPr/>
          <w:p>
            <w:r>
              <w:t>Low</w:t>
            </w:r>
          </w:p>
          <w:p/>
        </w:tc>
      </w:tr>
      <w:tr>
        <w:tblPrEx>
          <w:tblW w:w="5000" w:type="pct"/>
          <w:tblCellMar>
            <w:left w:w="108" w:type="dxa"/>
            <w:right w:w="108" w:type="dxa"/>
          </w:tblCellMar>
        </w:tblPrEx>
        <w:tc>
          <w:tcPr/>
          <w:p>
            <w:r>
              <w:t>Largest First</w:t>
            </w:r>
          </w:p>
          <w:p/>
        </w:tc>
        <w:tc>
          <w:tcPr/>
          <w:p>
            <w:r>
              <w:t>O(n log n + m)</w:t>
            </w:r>
          </w:p>
          <w:p/>
        </w:tc>
        <w:tc>
          <w:tcPr/>
          <w:p>
            <w:r>
              <w:t>O(n)</w:t>
            </w:r>
          </w:p>
          <w:p/>
        </w:tc>
        <w:tc>
          <w:tcPr/>
          <w:p>
            <w:r>
              <w:t>Degree descending</w:t>
            </w:r>
          </w:p>
          <w:p/>
        </w:tc>
        <w:tc>
          <w:tcPr/>
          <w:p>
            <w:r>
              <w:t>Medium</w:t>
            </w:r>
          </w:p>
          <w:p/>
        </w:tc>
      </w:tr>
      <w:tr>
        <w:tblPrEx>
          <w:tblW w:w="5000" w:type="pct"/>
          <w:tblCellMar>
            <w:left w:w="108" w:type="dxa"/>
            <w:right w:w="108" w:type="dxa"/>
          </w:tblCellMar>
        </w:tblPrEx>
        <w:tc>
          <w:tcPr/>
          <w:p>
            <w:r>
              <w:t>Welsh-Powell</w:t>
            </w:r>
          </w:p>
          <w:p/>
        </w:tc>
        <w:tc>
          <w:tcPr/>
          <w:p>
            <w:r>
              <w:t>O(n log n + m)</w:t>
            </w:r>
          </w:p>
          <w:p/>
        </w:tc>
        <w:tc>
          <w:tcPr/>
          <w:p>
            <w:r>
              <w:t>O(n)</w:t>
            </w:r>
          </w:p>
          <w:p/>
        </w:tc>
        <w:tc>
          <w:tcPr/>
          <w:p>
            <w:r>
              <w:t>Degree + grouping</w:t>
            </w:r>
          </w:p>
          <w:p/>
        </w:tc>
        <w:tc>
          <w:tcPr/>
          <w:p>
            <w:r>
              <w:t>Medium-High</w:t>
            </w:r>
          </w:p>
          <w:p/>
        </w:tc>
      </w:tr>
      <w:tr>
        <w:tblPrEx>
          <w:tblW w:w="5000" w:type="pct"/>
          <w:tblCellMar>
            <w:left w:w="108" w:type="dxa"/>
            <w:right w:w="108" w:type="dxa"/>
          </w:tblCellMar>
        </w:tblPrEx>
        <w:tc>
          <w:tcPr/>
          <w:p>
            <w:r>
              <w:t>Smallest Last</w:t>
            </w:r>
          </w:p>
          <w:p/>
        </w:tc>
        <w:tc>
          <w:tcPr/>
          <w:p>
            <w:r>
              <w:t>O(n² + m)</w:t>
            </w:r>
          </w:p>
          <w:p/>
        </w:tc>
        <w:tc>
          <w:tcPr/>
          <w:p>
            <w:r>
              <w:t>O(n + m)</w:t>
            </w:r>
          </w:p>
          <w:p/>
        </w:tc>
        <w:tc>
          <w:tcPr/>
          <w:p>
            <w:r>
              <w:t>Degree removal</w:t>
            </w:r>
          </w:p>
          <w:p/>
        </w:tc>
        <w:tc>
          <w:tcPr/>
          <w:p>
            <w:r>
              <w:t>Medium-High</w:t>
            </w:r>
          </w:p>
          <w:p/>
        </w:tc>
      </w:tr>
      <w:tr>
        <w:tblPrEx>
          <w:tblW w:w="5000" w:type="pct"/>
          <w:tblCellMar>
            <w:left w:w="108" w:type="dxa"/>
            <w:right w:w="108" w:type="dxa"/>
          </w:tblCellMar>
        </w:tblPrEx>
        <w:tc>
          <w:tcPr/>
          <w:p>
            <w:r>
              <w:t>DSatur</w:t>
            </w:r>
          </w:p>
          <w:p/>
        </w:tc>
        <w:tc>
          <w:tcPr/>
          <w:p>
            <w:r>
              <w:t>O(n²)</w:t>
            </w:r>
          </w:p>
          <w:p/>
        </w:tc>
        <w:tc>
          <w:tcPr/>
          <w:p>
            <w:r>
              <w:t>O(n)</w:t>
            </w:r>
          </w:p>
          <w:p/>
        </w:tc>
        <w:tc>
          <w:tcPr/>
          <w:p>
            <w:r>
              <w:t>Dynamic saturation</w:t>
            </w:r>
          </w:p>
          <w:p/>
        </w:tc>
        <w:tc>
          <w:tcPr/>
          <w:p>
            <w:r>
              <w:t>High</w:t>
            </w:r>
          </w:p>
          <w:p/>
        </w:tc>
      </w:tr>
      <w:tr>
        <w:tblPrEx>
          <w:tblW w:w="5000" w:type="pct"/>
          <w:tblCellMar>
            <w:left w:w="108" w:type="dxa"/>
            <w:right w:w="108" w:type="dxa"/>
          </w:tblCellMar>
        </w:tblPrEx>
        <w:tc>
          <w:tcPr/>
          <w:p>
            <w:r>
              <w:t>Iterated Greedy</w:t>
            </w:r>
          </w:p>
          <w:p/>
        </w:tc>
        <w:tc>
          <w:tcPr/>
          <w:p>
            <w:r>
              <w:t>O(k(n + m))</w:t>
            </w:r>
          </w:p>
          <w:p/>
        </w:tc>
        <w:tc>
          <w:tcPr/>
          <w:p>
            <w:r>
              <w:t>O(n)</w:t>
            </w:r>
          </w:p>
          <w:p/>
        </w:tc>
        <w:tc>
          <w:tcPr/>
          <w:p>
            <w:r>
              <w:t>Multiple iterations</w:t>
            </w:r>
          </w:p>
          <w:p/>
        </w:tc>
        <w:tc>
          <w:tcPr/>
          <w:p>
            <w:r>
              <w:t>Configurable</w:t>
            </w:r>
          </w:p>
          <w:p/>
        </w:tc>
      </w:tr>
    </w:tbl>
    <w:p/>
    <w:p>
      <w:r>
        <w:rPr>
          <w:i/>
          <w:color w:val="000000"/>
        </w:rPr>
        <w:t>Note: n = number of vertices, m = number of edges, k = number of iterations</w:t>
      </w:r>
    </w:p>
    <w:p/>
    <w:p>
      <w:r>
        <w:rPr>
          <w:color w:val="000000"/>
        </w:rPr>
        <w:t>[13] R. Diestel, Graph Theory, 5th ed. Berlin, Germany: Springer, 2017. [14] T. R. Jensen and B. Toft, Graph Coloring Problems. New York, NY, USA: Wiley-Interscience, 1995. [15] M. R. Garey and D. S. Johnson, Computers and Intractability: A Guide to the Theory of NP-Completeness. New York, NY, USA: W. H. Freeman, 1979. [16] F. T. Coleman and J. J. Moré, "Estimation of sparse Jacobian matrices and graph coloring problems," SIAM J. Numer. Anal., vol. 20, no. 1, pp. 187-209, Feb. 1983, doi: 10.1137/0720013. [17] R. M. R. Lewis, A Guide to Graph Colouring: Algorithms and Applications. Cham, Switzerland: Springer, 2016, doi: 10.1007/978-3-319-25730-3. [18] A. A. Zykov, "On some properties of linear complexes," Mat. Sbornik, vol. 24, no. 66, pp. 163-188, 1949. [19] D. J. A. Welsh and M. B. Powell, "An upper bound for the chromatic number of a graph and its application to timetabling problems," Comput. J., vol. 10, no. 1, pp. 85-86, May 1967, doi: 10.1093/comjnl/10.1.85. [20] D. Brélaz, "New methods to color the vertices of a graph," Commun. ACM, vol. 22, no. 4, pp. 251-256, Apr. 1979, doi: 10.1145/359094.359101. [21] D. W. Matula, G. Marble, and J. D. Isaacson, "Graph coloring algorithms," in Graph Theory and Computing, R. C. Read, Ed. New York, NY, USA: Academic Press, 1972, pp. 109-122. [22] D. W. Matula and L. L. Beck, "Smallest-last ordering and clustering and graph coloring algorithms," J. ACM, vol. 30, no. 3, pp. 417-427, Jul. 1983, doi: 10.1145/2402.322385. [23] A. Hertz and D. de Werra, "Using tabu search techniques for graph coloring," Computing, vol. 39, no. 4, pp. 345-351, Dec. 1987, doi: 10.1007/BF02239976.</w:t>
      </w:r>
    </w:p>
    <w:p/>
    <w:p>
      <w:pPr>
        <w:pStyle w:val="Heading1"/>
      </w:pPr>
      <w:bookmarkStart w:id="7" w:name="_Toc256000034"/>
      <w:r>
        <w:t>4. METHODOLOGY</w:t>
      </w:r>
      <w:bookmarkEnd w:id="7"/>
    </w:p>
    <w:p/>
    <w:p>
      <w:pPr>
        <w:pStyle w:val="Heading2"/>
      </w:pPr>
      <w:bookmarkStart w:id="8" w:name="_Toc256000035"/>
      <w:r>
        <w:t>4.1 Experimental Design</w:t>
      </w:r>
      <w:bookmarkEnd w:id="8"/>
    </w:p>
    <w:p/>
    <w:p>
      <w:r>
        <w:rPr>
          <w:color w:val="000000"/>
        </w:rPr>
        <w:t>This research implements a comprehensive benchmarking framework to evaluate graph coloring algorithms across diverse constraint satisfaction problems. The experimental design transforms seven puzzle families into graph coloring instances, enabling systematic performance comparison across varying problem structures, complexities, and sizes.</w:t>
      </w:r>
    </w:p>
    <w:p/>
    <w:p>
      <w:pPr>
        <w:pStyle w:val="Heading2"/>
      </w:pPr>
      <w:bookmarkStart w:id="9" w:name="_Toc256000036"/>
      <w:r>
        <w:t>4.2 Puzzle Families and Graph Construction</w:t>
      </w:r>
      <w:bookmarkEnd w:id="9"/>
    </w:p>
    <w:p/>
    <w:p>
      <w:r>
        <w:rPr>
          <w:color w:val="000000"/>
        </w:rPr>
        <w:t>Seven distinct families of puzzles serve as test cases, each showcasing unique graph characteristics and coloring constraints. Sudoku puzzles are evaluated across four difficulty levels (easy, medium, hard, expert) using standard 9×9 grids, where each cell is a vertex, and edges connect cells that must differ in value (same row, column, or 3×3 block) [26]. N-Queens problems are assessed with board sizes of 8×8, 16×16, and 32×32, with vertices representing board positions and edges connecting positions that conflict under the movement rules of a chess queen [27]. Latin Square puzzles are analyzed at three levels of sparsity (70%, 50%, and 35% pre-filled clues), with the graph structure enforcing uniqueness constraints within rows and columns [28]. Map Coloring instances involve configurations with 12, 18, and 24 regions, where vertices represent geographic regions and edges connect adjacent regions requiring different colors [29]. Futoshiki puzzles are evaluated with grid sizes of 5×5, 6×6, and 7×7, encoding both uniqueness constraints and inequality relationships between cells [30]. Kakuro puzzles are tested with grid dimensions of 8×8, 10×10, and 12×12, where vertices correspond to cells and edges represent sum constraints within continuous sequences [31]. Custom Random Graphs are generated with three density levels (sparse: 10%, medium: 30%, dense: 50%) to provide benchmark instances devoid of problem-specific structure.</w:t>
      </w:r>
    </w:p>
    <w:p/>
    <w:p>
      <w:pPr>
        <w:pStyle w:val="Heading2"/>
      </w:pPr>
      <w:bookmarkStart w:id="10" w:name="_Toc256000037"/>
      <w:r>
        <w:t>4.3 Algorithm Implementation</w:t>
      </w:r>
      <w:bookmarkEnd w:id="10"/>
    </w:p>
    <w:p/>
    <w:p>
      <w:r>
        <w:rPr>
          <w:color w:val="000000"/>
        </w:rPr>
        <w:t>Eight graph coloring algorithms are implemented and evaluated: Greedy, DSatur, Welsh-Powell, Smallest Last, Largest First, Iterated Greedy, Tabu Search, and Deep Q-Network (DQN). These algorithms are all implemented in Python, utilizing the NetworkX library for graph manipulation [3] and NumPy for numerical operations [32]. The Streamlit framework is employed to provide a web-based interface for executing and visualizing experiments [11].</w:t>
      </w:r>
    </w:p>
    <w:p/>
    <w:p>
      <w:pPr>
        <w:pStyle w:val="Heading2"/>
      </w:pPr>
      <w:bookmarkStart w:id="11" w:name="_Toc256000038"/>
      <w:r>
        <w:t>4.4 Experimental Workflow</w:t>
      </w:r>
      <w:bookmarkEnd w:id="11"/>
    </w:p>
    <w:p/>
    <w:p>
      <w:r>
        <w:rPr>
          <w:color w:val="000000"/>
        </w:rPr>
        <w:t>The experimental methodology is structured into a systematic three-phase framework: Phase 1: Instance Generation - For each combination of puzzle family and difficulty level, multiple instances are generated using various random seeds to ensure the results are reproducible and statistically valid. Each puzzle is transformed into its graph representation G = (V, E), with metadata such as vertex count |V|, edge count |E|, graph density D, and average vertex degree being documented. Phase 2: Algorithm Execution - All eight algorithms are executed on each graph instance. During each execution, the following metrics are recorded: (1) execution time in seconds, measured with high-precision timing functions; (2) the number of colors used in the final solution; (3) solution validity, verified by checking all edge constraints; and (4) error tracking for algorithm failures or timeouts. Phase 3: Data Collection and Analysis - Results are aggregated at two levels. Raw data capturing individual algorithm-instance combinations are stored in CSV format. Summary statistics, including mean, standard deviation, minimum, and maximum values across instances, are calculated for each puzzle family, difficulty level, and algorithm combination.</w:t>
      </w:r>
    </w:p>
    <w:p/>
    <w:p>
      <w:pPr>
        <w:pStyle w:val="Heading2"/>
      </w:pPr>
      <w:bookmarkStart w:id="12" w:name="_Toc256000039"/>
      <w:r>
        <w:t>4.5 Performance Metrics</w:t>
      </w:r>
      <w:bookmarkEnd w:id="12"/>
    </w:p>
    <w:p/>
    <w:p>
      <w:r>
        <w:rPr>
          <w:color w:val="000000"/>
        </w:rPr>
        <w:t>Algorithm performance is assessed using three principal metrics: Solution Quality, Computational Efficiency, and Solution Correctness. Solution Quality is quantified by the number of colors utilized, with lower values signifying superior performance. This metric is normalized against known theoretical lower bounds, such as 9 colors for Sudoku and n colors for the N-Queens problem. Computational Efficiency is evaluated through measurements of execution time, with all experiments conducted on identical hardware specifications to ensure comparability. Solution Correctness is verified by ensuring that all coloring constraints are satisfied, with edge validation confirming that no two adjacent vertices share the same color.</w:t>
      </w:r>
    </w:p>
    <w:p/>
    <w:p>
      <w:pPr>
        <w:pStyle w:val="Heading2"/>
      </w:pPr>
      <w:bookmarkStart w:id="13" w:name="_Toc256000040"/>
      <w:r>
        <w:t>4.6 Visualization and Analysis</w:t>
      </w:r>
      <w:bookmarkEnd w:id="13"/>
    </w:p>
    <w:p/>
    <w:p>
      <w:r>
        <w:rPr>
          <w:color w:val="000000"/>
        </w:rPr>
        <w:t>The experimental results are elucidated through three distinct visualization methodologies. Firstly, Color Usage Charts employ bar graphs to compare the number of colors utilized by each algorithm across various puzzle families, thereby facilitating a direct comparison of quality. Secondly, Runtime Analysis is depicted through line graphs that illustrate execution time trends as problem complexity escalates, thereby revealing the scalability characteristics of the algorithms. Thirdly, Efficiency Plots integrate solution quality and execution time within scatter plots, thereby identifying Pareto-optimal algorithms that effectively balance both objectives. Additionally, statistical analysis encompasses pairwise algorithm comparisons utilizing appropriate significance tests, with confidence intervals calculated to evaluate the reliability of the results.</w:t>
      </w:r>
    </w:p>
    <w:p/>
    <w:p>
      <w:pPr>
        <w:rPr>
          <w:color w:val="000000"/>
        </w:rPr>
      </w:pPr>
      <w:r>
        <w:rPr>
          <w:color w:val="000000"/>
        </w:rPr>
        <w:t xml:space="preserve">[24] F. Glover, "Tabu search—Part I," ORSA J. Comput., vol. 1, no. 3, </w:t>
      </w:r>
    </w:p>
    <w:p>
      <w:pPr>
        <w:rPr>
          <w:color w:val="000000"/>
        </w:rPr>
      </w:pPr>
      <w:r>
        <w:rPr>
          <w:color w:val="000000"/>
        </w:rPr>
        <w:t xml:space="preserve">     pp. 190-206, 1989, doi: 10.1287/ijoc.1.3.190.</w:t>
      </w:r>
    </w:p>
    <w:p>
      <w:pPr>
        <w:rPr>
          <w:color w:val="000000"/>
        </w:rPr>
      </w:pPr>
    </w:p>
    <w:p>
      <w:pPr>
        <w:rPr>
          <w:color w:val="000000"/>
        </w:rPr>
      </w:pPr>
      <w:r>
        <w:rPr>
          <w:color w:val="000000"/>
        </w:rPr>
        <w:t xml:space="preserve">[25] V. Mnih et al., "Human-level control through deep reinforcement </w:t>
      </w:r>
    </w:p>
    <w:p>
      <w:pPr>
        <w:rPr>
          <w:color w:val="000000"/>
        </w:rPr>
      </w:pPr>
      <w:r>
        <w:rPr>
          <w:color w:val="000000"/>
        </w:rPr>
        <w:t xml:space="preserve">     learning," Nature, vol. 518, no. 7540, pp. 529-533, Feb. 2015, </w:t>
      </w:r>
    </w:p>
    <w:p>
      <w:pPr>
        <w:rPr>
          <w:color w:val="000000"/>
        </w:rPr>
      </w:pPr>
      <w:r>
        <w:rPr>
          <w:color w:val="000000"/>
        </w:rPr>
        <w:t xml:space="preserve">     doi: 10.1038/nature14236.</w:t>
      </w:r>
    </w:p>
    <w:p>
      <w:pPr>
        <w:rPr>
          <w:color w:val="000000"/>
        </w:rPr>
      </w:pPr>
    </w:p>
    <w:p>
      <w:pPr>
        <w:rPr>
          <w:color w:val="000000"/>
        </w:rPr>
      </w:pPr>
      <w:r>
        <w:rPr>
          <w:color w:val="000000"/>
        </w:rPr>
        <w:t xml:space="preserve">[26] T. Yato and T. Seta, "Complexity and completeness of finding another </w:t>
      </w:r>
    </w:p>
    <w:p>
      <w:pPr>
        <w:rPr>
          <w:color w:val="000000"/>
        </w:rPr>
      </w:pPr>
      <w:r>
        <w:rPr>
          <w:color w:val="000000"/>
        </w:rPr>
        <w:t xml:space="preserve">     solution and its application to puzzles," IEICE Trans. Fundamentals </w:t>
      </w:r>
    </w:p>
    <w:p>
      <w:pPr>
        <w:rPr>
          <w:color w:val="000000"/>
        </w:rPr>
      </w:pPr>
      <w:r>
        <w:rPr>
          <w:color w:val="000000"/>
        </w:rPr>
        <w:t xml:space="preserve">     Electron. Commun. Comput. Sci., vol. E86-A, no. 5, pp. 1052-1060, </w:t>
      </w:r>
    </w:p>
    <w:p>
      <w:pPr>
        <w:rPr>
          <w:color w:val="000000"/>
        </w:rPr>
      </w:pPr>
      <w:r>
        <w:rPr>
          <w:color w:val="000000"/>
        </w:rPr>
        <w:t xml:space="preserve">     May 2003.</w:t>
      </w:r>
    </w:p>
    <w:p>
      <w:pPr>
        <w:rPr>
          <w:color w:val="000000"/>
        </w:rPr>
      </w:pPr>
    </w:p>
    <w:p>
      <w:pPr>
        <w:rPr>
          <w:color w:val="000000"/>
        </w:rPr>
      </w:pPr>
      <w:r>
        <w:rPr>
          <w:color w:val="000000"/>
        </w:rPr>
        <w:t xml:space="preserve">[27] I. Gent and I. Lynce, "A SAT encoding for the social golfer problem," </w:t>
      </w:r>
    </w:p>
    <w:p>
      <w:pPr>
        <w:rPr>
          <w:color w:val="000000"/>
        </w:rPr>
      </w:pPr>
      <w:r>
        <w:rPr>
          <w:color w:val="000000"/>
        </w:rPr>
        <w:t xml:space="preserve">     in Proc. IJCAI Workshop Modelling Solving Probl. Constraints, 2005.</w:t>
      </w:r>
    </w:p>
    <w:p>
      <w:pPr>
        <w:rPr>
          <w:color w:val="000000"/>
        </w:rPr>
      </w:pPr>
    </w:p>
    <w:p>
      <w:pPr>
        <w:rPr>
          <w:color w:val="000000"/>
        </w:rPr>
      </w:pPr>
      <w:r>
        <w:rPr>
          <w:color w:val="000000"/>
        </w:rPr>
        <w:t xml:space="preserve">[28] C. J. Colbourn and J. H. Dinitz, Handbook of Combinatorial Designs, </w:t>
      </w:r>
    </w:p>
    <w:p>
      <w:pPr>
        <w:rPr>
          <w:color w:val="000000"/>
        </w:rPr>
      </w:pPr>
      <w:r>
        <w:rPr>
          <w:color w:val="000000"/>
        </w:rPr>
        <w:t xml:space="preserve">     2nd ed. Boca Raton, FL, USA: Chapman &amp; Hall/CRC, 2006.</w:t>
      </w:r>
    </w:p>
    <w:p>
      <w:pPr>
        <w:rPr>
          <w:color w:val="000000"/>
        </w:rPr>
      </w:pPr>
    </w:p>
    <w:p>
      <w:pPr>
        <w:rPr>
          <w:color w:val="000000"/>
        </w:rPr>
      </w:pPr>
      <w:r>
        <w:rPr>
          <w:color w:val="000000"/>
        </w:rPr>
        <w:t xml:space="preserve">[29] D. de Werra, "An introduction to timetabling," Eur. J. Oper. Res., </w:t>
      </w:r>
    </w:p>
    <w:p>
      <w:pPr>
        <w:rPr>
          <w:color w:val="000000"/>
        </w:rPr>
      </w:pPr>
      <w:r>
        <w:rPr>
          <w:color w:val="000000"/>
        </w:rPr>
        <w:t xml:space="preserve">     vol. 19, no. 2, pp. 151-162, 1985, </w:t>
      </w:r>
    </w:p>
    <w:p>
      <w:pPr>
        <w:rPr>
          <w:color w:val="000000"/>
        </w:rPr>
      </w:pPr>
      <w:r>
        <w:rPr>
          <w:color w:val="000000"/>
        </w:rPr>
        <w:t xml:space="preserve">     doi: 10.1016/0377-2217(85)90167-5.</w:t>
      </w:r>
    </w:p>
    <w:p>
      <w:pPr>
        <w:rPr>
          <w:color w:val="000000"/>
        </w:rPr>
      </w:pPr>
    </w:p>
    <w:p>
      <w:pPr>
        <w:rPr>
          <w:color w:val="000000"/>
        </w:rPr>
      </w:pPr>
      <w:r>
        <w:rPr>
          <w:color w:val="000000"/>
        </w:rPr>
        <w:t xml:space="preserve">[30] H. Simonis, "Sudoku as a constraint problem," in Proc. 4th Int. </w:t>
      </w:r>
    </w:p>
    <w:p>
      <w:pPr>
        <w:rPr>
          <w:color w:val="000000"/>
        </w:rPr>
      </w:pPr>
      <w:r>
        <w:rPr>
          <w:color w:val="000000"/>
        </w:rPr>
        <w:t xml:space="preserve">     Workshop Modelling Reformulating Constraint Satisfaction Probl., </w:t>
      </w:r>
    </w:p>
    <w:p>
      <w:pPr>
        <w:rPr>
          <w:color w:val="000000"/>
        </w:rPr>
      </w:pPr>
      <w:r>
        <w:rPr>
          <w:color w:val="000000"/>
        </w:rPr>
        <w:t xml:space="preserve">     2005, pp. 13-27.</w:t>
      </w:r>
    </w:p>
    <w:p>
      <w:pPr>
        <w:rPr>
          <w:color w:val="000000"/>
        </w:rPr>
      </w:pPr>
    </w:p>
    <w:p>
      <w:pPr>
        <w:rPr>
          <w:color w:val="000000"/>
        </w:rPr>
      </w:pPr>
      <w:r>
        <w:rPr>
          <w:color w:val="000000"/>
        </w:rPr>
        <w:t xml:space="preserve">[31] T. Mantere and J. Koljonen, "Solving and rating Sudoku puzzles with </w:t>
      </w:r>
    </w:p>
    <w:p>
      <w:pPr>
        <w:rPr>
          <w:color w:val="000000"/>
        </w:rPr>
      </w:pPr>
      <w:r>
        <w:rPr>
          <w:color w:val="000000"/>
        </w:rPr>
        <w:t xml:space="preserve">     genetic algorithms," in Computational Intelligence. Berlin, Germany: </w:t>
      </w:r>
    </w:p>
    <w:p>
      <w:pPr>
        <w:rPr>
          <w:color w:val="000000"/>
        </w:rPr>
      </w:pPr>
      <w:r>
        <w:rPr>
          <w:color w:val="000000"/>
        </w:rPr>
        <w:t xml:space="preserve">     Springer, 2008, pp. 86-104.</w:t>
      </w:r>
    </w:p>
    <w:p>
      <w:pPr>
        <w:rPr>
          <w:color w:val="000000"/>
        </w:rPr>
      </w:pPr>
    </w:p>
    <w:p>
      <w:pPr>
        <w:rPr>
          <w:color w:val="000000"/>
        </w:rPr>
      </w:pPr>
      <w:r>
        <w:rPr>
          <w:color w:val="000000"/>
        </w:rPr>
        <w:t xml:space="preserve">[32] C. R. Harris et al., "Array programming with NumPy," Nature, vol. 585, </w:t>
      </w:r>
    </w:p>
    <w:p>
      <w:r>
        <w:rPr>
          <w:color w:val="000000"/>
        </w:rPr>
        <w:t xml:space="preserve">     no. 7825, pp. 357-362, Sep. 2020, doi: 10.1038/s41586-020-2649-2.</w:t>
      </w:r>
    </w:p>
    <w:p>
      <w:pPr>
        <w:pStyle w:val="Heading1"/>
        <w:jc w:val="left"/>
      </w:pPr>
      <w:r>
        <w:br w:type="page"/>
      </w:r>
      <w:bookmarkStart w:id="14" w:name="_Toc256000041"/>
      <w:r>
        <w:t>References</w:t>
      </w:r>
      <w:bookmarkEnd w:id="14"/>
    </w:p>
    <w:p>
      <w:bookmarkStart w:id="15" w:name="584f6f0569343fc8803f51c403a29772_ref"/>
      <w:r>
        <w:rPr>
          <w:rFonts w:ascii="Times New Roman" w:eastAsia="Times New Roman" w:hAnsi="Times New Roman" w:cs="Times New Roman"/>
        </w:rPr>
        <w:t>[1] A. Z. Ijaz, T. Ali Khan, R. H. Ali, N. Ali, and T. Laique, “Solving Graph Coloring Problem via Graph Neural Network (GNN),” Institute Of Electrical Electronics Engineers, Nov. 2022, pp. 178–183. doi: 10.1109/icet56601.2022.10004654.</w:t>
      </w:r>
    </w:p>
    <w:p>
      <w:bookmarkEnd w:id="15"/>
    </w:p>
    <w:p>
      <w:bookmarkStart w:id="16" w:name="4303e0a06a963de48db70baeafabe468_ref"/>
      <w:r>
        <w:rPr>
          <w:rFonts w:ascii="Times New Roman" w:eastAsia="Times New Roman" w:hAnsi="Times New Roman" w:cs="Times New Roman"/>
        </w:rPr>
        <w:t xml:space="preserve">[2] A. Dey, S. G. Quek, G. Selvachandran, L. H. Son, and P. K. K. Kumar, “New Concepts on Vertex and Edge Coloring of Simple Vague Graphs,” </w:t>
      </w:r>
      <w:r>
        <w:rPr>
          <w:rFonts w:ascii="Times New Roman" w:eastAsia="Times New Roman" w:hAnsi="Times New Roman" w:cs="Times New Roman"/>
          <w:i/>
          <w:iCs/>
        </w:rPr>
        <w:t>Symmetry</w:t>
      </w:r>
      <w:r>
        <w:rPr>
          <w:rFonts w:ascii="Times New Roman" w:eastAsia="Times New Roman" w:hAnsi="Times New Roman" w:cs="Times New Roman"/>
        </w:rPr>
        <w:t>, vol. 10, no. 9, p. 373, Sept. 2018, doi: 10.3390/sym10090373.</w:t>
      </w:r>
    </w:p>
    <w:p>
      <w:bookmarkEnd w:id="16"/>
    </w:p>
    <w:p>
      <w:bookmarkStart w:id="17" w:name="055e439acda8392c83976f2d9e5cc6cb_ref"/>
      <w:r>
        <w:rPr>
          <w:rFonts w:ascii="Times New Roman" w:eastAsia="Times New Roman" w:hAnsi="Times New Roman" w:cs="Times New Roman"/>
        </w:rPr>
        <w:t xml:space="preserve">[3] Y. Fu, Z. Wang, Z. Li, and G. Tian, “Parallel machine scheduling with dynamic resource allocation via a master–slave genetic algorithm,” </w:t>
      </w:r>
      <w:r>
        <w:rPr>
          <w:rFonts w:ascii="Times New Roman" w:eastAsia="Times New Roman" w:hAnsi="Times New Roman" w:cs="Times New Roman"/>
          <w:i/>
          <w:iCs/>
        </w:rPr>
        <w:t>IEEJ Transactions Elec Engng</w:t>
      </w:r>
      <w:r>
        <w:rPr>
          <w:rFonts w:ascii="Times New Roman" w:eastAsia="Times New Roman" w:hAnsi="Times New Roman" w:cs="Times New Roman"/>
        </w:rPr>
        <w:t>, vol. 13, no. 5, pp. 748–756, Jan. 2018, doi: 10.1002/tee.22625.</w:t>
      </w:r>
    </w:p>
    <w:p>
      <w:bookmarkEnd w:id="17"/>
    </w:p>
    <w:p>
      <w:bookmarkStart w:id="18" w:name="b6ae91db357d3ebda5be53d2df7278f9_ref"/>
      <w:r>
        <w:rPr>
          <w:rFonts w:ascii="Times New Roman" w:eastAsia="Times New Roman" w:hAnsi="Times New Roman" w:cs="Times New Roman"/>
        </w:rPr>
        <w:t xml:space="preserve">[4] P. Weis, L. Smetanka, M. Vereš, and S. Hrček, “Interactive Application as a Teaching Aid in Mechanical Engineering,” </w:t>
      </w:r>
      <w:r>
        <w:rPr>
          <w:rFonts w:ascii="Times New Roman" w:eastAsia="Times New Roman" w:hAnsi="Times New Roman" w:cs="Times New Roman"/>
          <w:i/>
          <w:iCs/>
        </w:rPr>
        <w:t>Computers</w:t>
      </w:r>
      <w:r>
        <w:rPr>
          <w:rFonts w:ascii="Times New Roman" w:eastAsia="Times New Roman" w:hAnsi="Times New Roman" w:cs="Times New Roman"/>
        </w:rPr>
        <w:t>, vol. 13, no. 7, p. 170, July 2024, doi: 10.3390/computers13070170.</w:t>
      </w:r>
    </w:p>
    <w:p>
      <w:bookmarkEnd w:id="18"/>
    </w:p>
    <w:p>
      <w:bookmarkStart w:id="19" w:name="af9424a0bb713fe59e1084c2dfa6f7f6_ref"/>
      <w:r>
        <w:rPr>
          <w:rFonts w:ascii="Times New Roman" w:eastAsia="Times New Roman" w:hAnsi="Times New Roman" w:cs="Times New Roman"/>
        </w:rPr>
        <w:t xml:space="preserve">[5] L. Yuan, X. Lin, W. Zhang, L. Chang, and L. Qin, “Effective and efficient dynamic graph coloring,” </w:t>
      </w:r>
      <w:r>
        <w:rPr>
          <w:rFonts w:ascii="Times New Roman" w:eastAsia="Times New Roman" w:hAnsi="Times New Roman" w:cs="Times New Roman"/>
          <w:i/>
          <w:iCs/>
        </w:rPr>
        <w:t>Proc. VLDB Endow.</w:t>
      </w:r>
      <w:r>
        <w:rPr>
          <w:rFonts w:ascii="Times New Roman" w:eastAsia="Times New Roman" w:hAnsi="Times New Roman" w:cs="Times New Roman"/>
        </w:rPr>
        <w:t>, vol. 11, no. 3, pp. 338–351, Nov. 2017, doi: 10.14778/3157794.3157802.</w:t>
      </w:r>
    </w:p>
    <w:p>
      <w:bookmarkEnd w:id="19"/>
    </w:p>
    <w:p>
      <w:bookmarkStart w:id="20" w:name="3c146f53260b3a7690c4abbe3a9b59cc_ref"/>
      <w:r>
        <w:rPr>
          <w:rFonts w:ascii="Times New Roman" w:eastAsia="Times New Roman" w:hAnsi="Times New Roman" w:cs="Times New Roman"/>
        </w:rPr>
        <w:t xml:space="preserve">[6] A. Saeed, A. Zahoor, M. Gondal, and A. Husnain, “A Comparative Study of Cat Swarm Algorithm for Graph Coloring Problem: Convergence Analysis and Performance Evaluation,” </w:t>
      </w:r>
      <w:r>
        <w:rPr>
          <w:rFonts w:ascii="Times New Roman" w:eastAsia="Times New Roman" w:hAnsi="Times New Roman" w:cs="Times New Roman"/>
          <w:i/>
          <w:iCs/>
        </w:rPr>
        <w:t>IJIRCST</w:t>
      </w:r>
      <w:r>
        <w:rPr>
          <w:rFonts w:ascii="Times New Roman" w:eastAsia="Times New Roman" w:hAnsi="Times New Roman" w:cs="Times New Roman"/>
        </w:rPr>
        <w:t>, vol. 12, no. 4, pp. 1–9, July 2024, doi: 10.55524/ijircst.2024.12.4.1.</w:t>
      </w:r>
    </w:p>
    <w:p>
      <w:bookmarkEnd w:id="20"/>
    </w:p>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ableOfContentsHeading">
    <w:name w:val="TableOfContentsHeading"/>
    <w:pPr>
      <w:spacing w:after="200"/>
      <w:jc w:val="center"/>
    </w:pPr>
    <w:rPr>
      <w:b/>
      <w:sz w:val="32"/>
    </w:rPr>
  </w:style>
  <w:style w:type="paragraph" w:styleId="TOC1">
    <w:name w:val="toc 1"/>
    <w:basedOn w:val="Normal"/>
    <w:next w:val="Normal"/>
    <w:autoRedefine/>
    <w:rsid w:val="00805BCE"/>
  </w:style>
  <w:style w:type="character" w:styleId="Hyperlink">
    <w:name w:val="Hyperlink"/>
    <w:basedOn w:val="DefaultParagraphFont"/>
    <w:rsid w:val="00EF7B96"/>
    <w:rPr>
      <w:color w:val="0000FF"/>
      <w:u w:val="single"/>
    </w:rPr>
  </w:style>
  <w:style w:type="paragraph" w:styleId="TOC2">
    <w:name w:val="toc 2"/>
    <w:basedOn w:val="Normal"/>
    <w:next w:val="Normal"/>
    <w:autoRedefine/>
    <w:rsid w:val="00805BCE"/>
    <w:pPr>
      <w:ind w:left="240"/>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