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SIMATS ENGINEERING</w:t>
      </w:r>
    </w:p>
    <w:p w:rsidR="00000000" w:rsidDel="00000000" w:rsidP="00000000" w:rsidRDefault="00000000" w:rsidRPr="00000000" w14:paraId="00000002">
      <w:pPr>
        <w:jc w:val="center"/>
        <w:rPr>
          <w:b w:val="1"/>
        </w:rPr>
      </w:pPr>
      <w:r w:rsidDel="00000000" w:rsidR="00000000" w:rsidRPr="00000000">
        <w:rPr>
          <w:b w:val="1"/>
          <w:rtl w:val="0"/>
        </w:rPr>
        <w:t xml:space="preserve">ASSESSMENT TOOL 1</w:t>
      </w:r>
    </w:p>
    <w:p w:rsidR="00000000" w:rsidDel="00000000" w:rsidP="00000000" w:rsidRDefault="00000000" w:rsidRPr="00000000" w14:paraId="00000003">
      <w:pPr>
        <w:jc w:val="center"/>
        <w:rPr>
          <w:b w:val="1"/>
        </w:rPr>
      </w:pPr>
      <w:r w:rsidDel="00000000" w:rsidR="00000000" w:rsidRPr="00000000">
        <w:rPr>
          <w:b w:val="1"/>
          <w:rtl w:val="0"/>
        </w:rPr>
        <w:t xml:space="preserve">COURSE NAME:COMPUTER NETWORKS</w:t>
      </w:r>
    </w:p>
    <w:p w:rsidR="00000000" w:rsidDel="00000000" w:rsidP="00000000" w:rsidRDefault="00000000" w:rsidRPr="00000000" w14:paraId="00000004">
      <w:pPr>
        <w:jc w:val="center"/>
        <w:rPr>
          <w:b w:val="1"/>
        </w:rPr>
      </w:pPr>
      <w:r w:rsidDel="00000000" w:rsidR="00000000" w:rsidRPr="00000000">
        <w:rPr>
          <w:b w:val="1"/>
          <w:rtl w:val="0"/>
        </w:rPr>
        <w:t xml:space="preserve">COURSE CODE: CSA0706</w:t>
      </w:r>
    </w:p>
    <w:p w:rsidR="00000000" w:rsidDel="00000000" w:rsidP="00000000" w:rsidRDefault="00000000" w:rsidRPr="00000000" w14:paraId="00000005">
      <w:pPr>
        <w:jc w:val="center"/>
        <w:rPr>
          <w:b w:val="1"/>
        </w:rPr>
      </w:pPr>
      <w:r w:rsidDel="00000000" w:rsidR="00000000" w:rsidRPr="00000000">
        <w:rPr>
          <w:b w:val="1"/>
          <w:rtl w:val="0"/>
        </w:rPr>
        <w:t xml:space="preserve">COURSE OUTCOME COVERED</w:t>
      </w:r>
    </w:p>
    <w:p w:rsidR="00000000" w:rsidDel="00000000" w:rsidP="00000000" w:rsidRDefault="00000000" w:rsidRPr="00000000" w14:paraId="00000006">
      <w:pPr>
        <w:jc w:val="center"/>
        <w:rPr>
          <w:b w:val="1"/>
        </w:rPr>
      </w:pPr>
      <w:r w:rsidDel="00000000" w:rsidR="00000000" w:rsidRPr="00000000">
        <w:rPr>
          <w:b w:val="1"/>
          <w:rtl w:val="0"/>
        </w:rPr>
        <w:t xml:space="preserve">CO5:</w:t>
      </w:r>
    </w:p>
    <w:p w:rsidR="00000000" w:rsidDel="00000000" w:rsidP="00000000" w:rsidRDefault="00000000" w:rsidRPr="00000000" w14:paraId="00000007">
      <w:pPr>
        <w:jc w:val="center"/>
        <w:rPr>
          <w:b w:val="1"/>
        </w:rPr>
      </w:pPr>
      <w:r w:rsidDel="00000000" w:rsidR="00000000" w:rsidRPr="00000000">
        <w:rPr>
          <w:b w:val="1"/>
          <w:rtl w:val="0"/>
        </w:rPr>
        <w:t xml:space="preserve">Design network topologies star, mesh, bus, and hybrid using networking devices, transmission media, and cabling</w:t>
      </w:r>
    </w:p>
    <w:p w:rsidR="00000000" w:rsidDel="00000000" w:rsidP="00000000" w:rsidRDefault="00000000" w:rsidRPr="00000000" w14:paraId="00000008">
      <w:pPr>
        <w:jc w:val="center"/>
        <w:rPr>
          <w:b w:val="1"/>
        </w:rPr>
      </w:pPr>
      <w:r w:rsidDel="00000000" w:rsidR="00000000" w:rsidRPr="00000000">
        <w:rPr>
          <w:b w:val="1"/>
          <w:rtl w:val="0"/>
        </w:rPr>
        <w:t xml:space="preserve">standards</w:t>
      </w:r>
    </w:p>
    <w:p w:rsidR="00000000" w:rsidDel="00000000" w:rsidP="00000000" w:rsidRDefault="00000000" w:rsidRPr="00000000" w14:paraId="00000009">
      <w:pPr>
        <w:jc w:val="center"/>
        <w:rPr>
          <w:b w:val="1"/>
        </w:rPr>
      </w:pPr>
      <w:r w:rsidDel="00000000" w:rsidR="00000000" w:rsidRPr="00000000">
        <w:rPr>
          <w:b w:val="1"/>
          <w:rtl w:val="0"/>
        </w:rPr>
        <w:t xml:space="preserve">(BL2, BL5)</w:t>
      </w:r>
    </w:p>
    <w:p w:rsidR="00000000" w:rsidDel="00000000" w:rsidP="00000000" w:rsidRDefault="00000000" w:rsidRPr="00000000" w14:paraId="0000000A">
      <w:pPr>
        <w:jc w:val="center"/>
        <w:rPr>
          <w:b w:val="1"/>
        </w:rPr>
      </w:pPr>
      <w:r w:rsidDel="00000000" w:rsidR="00000000" w:rsidRPr="00000000">
        <w:rPr>
          <w:b w:val="1"/>
          <w:rtl w:val="0"/>
        </w:rPr>
        <w:t xml:space="preserve">Assessment Tool Weightage: 40%</w:t>
      </w:r>
    </w:p>
    <w:p w:rsidR="00000000" w:rsidDel="00000000" w:rsidP="00000000" w:rsidRDefault="00000000" w:rsidRPr="00000000" w14:paraId="0000000B">
      <w:pPr>
        <w:jc w:val="center"/>
        <w:rPr>
          <w:b w:val="1"/>
        </w:rPr>
      </w:pPr>
      <w:r w:rsidDel="00000000" w:rsidR="00000000" w:rsidRPr="00000000">
        <w:rPr>
          <w:b w:val="1"/>
          <w:rtl w:val="0"/>
        </w:rPr>
        <w:t xml:space="preserve">QUESTIONS: 3</w:t>
      </w:r>
    </w:p>
    <w:p w:rsidR="00000000" w:rsidDel="00000000" w:rsidP="00000000" w:rsidRDefault="00000000" w:rsidRPr="00000000" w14:paraId="0000000C">
      <w:pPr>
        <w:jc w:val="center"/>
        <w:rPr>
          <w:b w:val="1"/>
        </w:rPr>
      </w:pPr>
      <w:r w:rsidDel="00000000" w:rsidR="00000000" w:rsidRPr="00000000">
        <w:rPr>
          <w:b w:val="1"/>
          <w:rtl w:val="0"/>
        </w:rPr>
        <w:t xml:space="preserve">Total Marks:30</w:t>
      </w:r>
    </w:p>
    <w:p w:rsidR="00000000" w:rsidDel="00000000" w:rsidP="00000000" w:rsidRDefault="00000000" w:rsidRPr="00000000" w14:paraId="0000000D">
      <w:pPr>
        <w:jc w:val="center"/>
        <w:rPr>
          <w:b w:val="1"/>
        </w:rPr>
      </w:pPr>
      <w:r w:rsidDel="00000000" w:rsidR="00000000" w:rsidRPr="00000000">
        <w:rPr>
          <w:b w:val="1"/>
          <w:rtl w:val="0"/>
        </w:rPr>
        <w:t xml:space="preserve">Annexure A</w:t>
      </w:r>
    </w:p>
    <w:p w:rsidR="00000000" w:rsidDel="00000000" w:rsidP="00000000" w:rsidRDefault="00000000" w:rsidRPr="00000000" w14:paraId="0000000E">
      <w:pPr>
        <w:jc w:val="center"/>
        <w:rPr>
          <w:b w:val="1"/>
        </w:rPr>
      </w:pPr>
      <w:r w:rsidDel="00000000" w:rsidR="00000000" w:rsidRPr="00000000">
        <w:rPr>
          <w:b w:val="1"/>
          <w:rtl w:val="0"/>
        </w:rPr>
        <w:t xml:space="preserve">Constraint-Based Problem Solving</w:t>
      </w:r>
    </w:p>
    <w:p w:rsidR="00000000" w:rsidDel="00000000" w:rsidP="00000000" w:rsidRDefault="00000000" w:rsidRPr="00000000" w14:paraId="0000000F">
      <w:pPr>
        <w:jc w:val="center"/>
        <w:rPr>
          <w:b w:val="1"/>
        </w:rPr>
      </w:pPr>
      <w:r w:rsidDel="00000000" w:rsidR="00000000" w:rsidRPr="00000000">
        <w:rPr>
          <w:rtl w:val="0"/>
        </w:rPr>
      </w:r>
    </w:p>
    <w:p w:rsidR="00000000" w:rsidDel="00000000" w:rsidP="00000000" w:rsidRDefault="00000000" w:rsidRPr="00000000" w14:paraId="00000010">
      <w:pPr>
        <w:jc w:val="left"/>
        <w:rPr>
          <w:b w:val="1"/>
        </w:rPr>
      </w:pPr>
      <w:r w:rsidDel="00000000" w:rsidR="00000000" w:rsidRPr="00000000">
        <w:rPr>
          <w:rtl w:val="0"/>
        </w:rPr>
      </w:r>
    </w:p>
    <w:p w:rsidR="00000000" w:rsidDel="00000000" w:rsidP="00000000" w:rsidRDefault="00000000" w:rsidRPr="00000000" w14:paraId="00000011">
      <w:pPr>
        <w:jc w:val="left"/>
        <w:rPr>
          <w:b w:val="1"/>
        </w:rPr>
      </w:pPr>
      <w:r w:rsidDel="00000000" w:rsidR="00000000" w:rsidRPr="00000000">
        <w:rPr>
          <w:rtl w:val="0"/>
        </w:rPr>
      </w:r>
    </w:p>
    <w:p w:rsidR="00000000" w:rsidDel="00000000" w:rsidP="00000000" w:rsidRDefault="00000000" w:rsidRPr="00000000" w14:paraId="00000012">
      <w:pPr>
        <w:jc w:val="left"/>
        <w:rPr>
          <w:b w:val="1"/>
        </w:rPr>
      </w:pPr>
      <w:r w:rsidDel="00000000" w:rsidR="00000000" w:rsidRPr="00000000">
        <w:rPr>
          <w:rtl w:val="0"/>
        </w:rPr>
      </w:r>
    </w:p>
    <w:p w:rsidR="00000000" w:rsidDel="00000000" w:rsidP="00000000" w:rsidRDefault="00000000" w:rsidRPr="00000000" w14:paraId="00000013">
      <w:pPr>
        <w:jc w:val="left"/>
        <w:rPr>
          <w:b w:val="1"/>
        </w:rPr>
      </w:pPr>
      <w:r w:rsidDel="00000000" w:rsidR="00000000" w:rsidRPr="00000000">
        <w:rPr>
          <w:b w:val="1"/>
          <w:rtl w:val="0"/>
        </w:rPr>
        <w:t xml:space="preserve">Code of Condluct:</w:t>
      </w:r>
    </w:p>
    <w:p w:rsidR="00000000" w:rsidDel="00000000" w:rsidP="00000000" w:rsidRDefault="00000000" w:rsidRPr="00000000" w14:paraId="00000014">
      <w:pPr>
        <w:jc w:val="center"/>
        <w:rPr>
          <w:b w:val="1"/>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 (S velarasan /192571087)certify that this submission is my original workand that I have adhered to the guidelines specified for this assessment.I understand that any wiolation of academic integrity rules will result in disciplinary action.</w:t>
      </w:r>
    </w:p>
    <w:p w:rsidR="00000000" w:rsidDel="00000000" w:rsidP="00000000" w:rsidRDefault="00000000" w:rsidRPr="00000000" w14:paraId="00000016">
      <w:pPr>
        <w:jc w:val="center"/>
        <w:rPr>
          <w:b w:val="1"/>
        </w:rPr>
      </w:pPr>
      <w:r w:rsidDel="00000000" w:rsidR="00000000" w:rsidRPr="00000000">
        <w:rPr>
          <w:b w:val="1"/>
          <w:rtl w:val="0"/>
        </w:rPr>
        <w:t xml:space="preserve">Signature of the student:s.velarasan</w:t>
      </w:r>
    </w:p>
    <w:p w:rsidR="00000000" w:rsidDel="00000000" w:rsidP="00000000" w:rsidRDefault="00000000" w:rsidRPr="00000000" w14:paraId="00000017">
      <w:pPr>
        <w:pStyle w:val="Heading1"/>
        <w:rPr/>
      </w:pPr>
      <w:r w:rsidDel="00000000" w:rsidR="00000000" w:rsidRPr="00000000">
        <w:rPr>
          <w:rtl w:val="0"/>
        </w:rPr>
        <w:t xml:space="preserve">Annexure A – Constraint-Based Problem Solving</w:t>
      </w:r>
    </w:p>
    <w:p w:rsidR="00000000" w:rsidDel="00000000" w:rsidP="00000000" w:rsidRDefault="00000000" w:rsidRPr="00000000" w14:paraId="00000018">
      <w:pPr>
        <w:rPr/>
      </w:pPr>
      <w:r w:rsidDel="00000000" w:rsidR="00000000" w:rsidRPr="00000000">
        <w:rPr>
          <w:b w:val="1"/>
          <w:rtl w:val="0"/>
        </w:rPr>
        <w:t xml:space="preserve">1. A multinational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Answer:</w:t>
        <w:br w:type="textWrapping"/>
        <w:t xml:space="preserve">For the remote rural branch office, the most suitable solution is a hybrid internet connection using a reliable wireless broadband or 4G/5G connection as the primary link, supported by a secondary connection such as satellite internet or another mobile network where available. Since high-speed wired internet is unavailable, wireless connectivity provides a practical and comparatively low-cost method of connecting the branch to cloud applications and headquarters.</w:t>
        <w:br w:type="textWrapping"/>
        <w:br w:type="textWrapping"/>
        <w:t xml:space="preserve">The network should use a business-grade router with dual-WAN capability. The router can automatically switch to the backup connection if the primary connection fails. This improves reliability and helps maintain uninterrupted business operations. A managed Ethernet switch should be connected to the router to distribute the network connection to desktop computers, printers, access points, and other devices. Wireless access points can provide Wi-Fi for employees and mobile devices.</w:t>
        <w:br w:type="textWrapping"/>
        <w:br w:type="textWrapping"/>
        <w:t xml:space="preserve">Bandwidth should be planned according to the number of users and applications. Cloud applications and video conferencing require stable bandwidth and low latency, so Quality of Service (QoS) should be configured to give priority to video conferencing, voice traffic, and important business applications. Less important traffic such as large downloads can be given lower priority. This allows the limited bandwidth to be used efficiently.</w:t>
        <w:br w:type="textWrapping"/>
        <w:br w:type="textWrapping"/>
        <w:t xml:space="preserve">For secure communication with headquarters, a site-to-site VPN should be implemented. The VPN encrypts traffic travelling between the branch and headquarters and protects sensitive business information from unauthorized access. A firewall should be enabled on the gateway router to block unwanted incoming connections and control outgoing traffic. Strong authentication, secure Wi-Fi encryption, regular firmware updates, and access-control rules should also be used.</w:t>
        <w:br w:type="textWrapping"/>
        <w:br w:type="textWrapping"/>
        <w:t xml:space="preserve">Reliability is improved through dual-WAN failover, backup power such as a UPS, and monitoring of the internet connection. The primary connection can be selected based on availability, cost, and service-level reliability. A backup connection need not have the same capacity as the primary connection; it only needs sufficient bandwidth to keep critical operations running during an outage.</w:t>
        <w:br w:type="textWrapping"/>
        <w:br w:type="textWrapping"/>
        <w:t xml:space="preserve">The proposed solution is cost-effective because it avoids the high cost of constructing new wired infrastructure. It is also scalable because additional access points, switches, users, and higher-capacity wireless services can be added later. Therefore, a hybrid wireless design with dual-WAN failover, QoS, firewall protection, VPN encryption, and secure Wi-Fi provides a suitable balance between bandwidth limitations, reliability, cost, security, and future scalability.</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2. 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Analyze the requirements and propose an efficient wireless network design, including access point placement, frequency band selection, and authentication methods. Explain how your solution balances coverage, performance, security, and cost.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Answer:</w:t>
        <w:br w:type="textWrapping"/>
        <w:t xml:space="preserve">For a university campus with more than 3,000 students, the wireless network should be designed as a centrally managed WLAN with carefully positioned access points. Since only a limited number of access points can be deployed, each access point should be placed in a location where it can provide useful coverage to a large number of users without creating excessive interference.</w:t>
        <w:br w:type="textWrapping"/>
        <w:br w:type="textWrapping"/>
        <w:t xml:space="preserve">Access points should be positioned in high-density areas such as classrooms, laboratories, libraries, and hostel common areas. They should be mounted at suitable heights and placed away from thick walls, metal structures, electrical equipment, and other sources of interference. A site survey should be performed before final placement so that dead zones and overlapping coverage can be identified. Instead of placing access points only at convenient locations, placement should be based on user density and expected traffic.</w:t>
        <w:br w:type="textWrapping"/>
        <w:br w:type="textWrapping"/>
        <w:t xml:space="preserve">For frequency selection, both 2.4 GHz and 5 GHz bands should be used where supported. The 2.4 GHz band provides better range and penetration but has fewer non-overlapping channels and is more prone to interference. The 5 GHz band provides more channels and generally supports higher performance, making it suitable for high-density areas. Channel planning should be used to reduce co-channel and adjacent-channel interference. Transmit power should also be adjusted so that neighboring access points do not create unnecessary overlap.</w:t>
        <w:br w:type="textWrapping"/>
        <w:br w:type="textWrapping"/>
        <w:t xml:space="preserve">A centrally managed wireless controller or cloud-based management system can help administrators configure access points consistently, monitor performance, manage channels, and detect overloaded areas. Band steering can encourage capable devices to use the less congested 5 GHz band. Load balancing can also distribute users among nearby access points rather than allowing one access point to become overloaded.</w:t>
        <w:br w:type="textWrapping"/>
        <w:br w:type="textWrapping"/>
        <w:t xml:space="preserve">Security is essential because thousands of students will connect to the network. WPA2-Enterprise or WPA3-Enterprise with 802.1X authentication should be preferred. A RADIUS server can authenticate students using individual institutional credentials. This is more secure than sharing a common password. Separate networks or VLANs should be created for students, faculty, administration, guests, and critical systems. Guest users should not be allowed to access internal university resources.</w:t>
        <w:br w:type="textWrapping"/>
        <w:br w:type="textWrapping"/>
        <w:t xml:space="preserve">The design must balance performance and cost. Since the number of access points is limited, they should be concentrated in areas with the highest user density rather than distributed equally across the campus. Traffic prioritization can be applied to important academic applications. Regular monitoring can identify areas where additional capacity is genuinely required.</w:t>
        <w:br w:type="textWrapping"/>
        <w:br w:type="textWrapping"/>
        <w:t xml:space="preserve">Thus, efficient access-point placement, careful 2.4 GHz/5 GHz channel planning, centralized management, enterprise authentication, and network segmentation provide a practical solution. This design improves coverage and performance while minimizing interference, protecting users, and controlling deployment cost.</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3. 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Answer:</w:t>
        <w:br w:type="textWrapping"/>
        <w:t xml:space="preserve">The financial institution should use a layered security architecture in which the internal network is divided into separate security zones. Network segmentation is important because it prevents a security incident in one part of the organization from easily spreading to sensitive systems. VLANs can be created for employee workstations, servers, management systems, guest devices, and other critical services. Sensitive customer and banking systems should be placed in a highly protected server segment.</w:t>
        <w:br w:type="textWrapping"/>
        <w:br w:type="textWrapping"/>
        <w:t xml:space="preserve">A DMZ should be used for services that must communicate with external networks, such as public-facing web services. These systems should not have unrestricted access to the internal network. Firewalls should control traffic between the internet, DMZ, and internal network. A next-generation firewall can apply access-control rules, inspect traffic, and block unauthorized connections. Rules should follow the principle of least privilege, allowing only the traffic that is actually required.</w:t>
        <w:br w:type="textWrapping"/>
        <w:br w:type="textWrapping"/>
        <w:t xml:space="preserve">Employees accessing sensitive information should use strong authentication. Multi-factor authentication (MFA) should be implemented for important applications, administrative accounts, remote access, and other high-risk services. Role-based access control should ensure that employees receive only the permissions required for their job responsibilities. Strong passwords, account lockout policies, and regular review of user privileges should also be implemented.</w:t>
        <w:br w:type="textWrapping"/>
        <w:br w:type="textWrapping"/>
        <w:t xml:space="preserve">An intrusion detection and prevention system can monitor network traffic for suspicious behavior. An IDS can generate alerts when potential attacks are detected, while an IPS can actively block known malicious traffic when appropriate. Security logs from firewalls, authentication systems, servers, and network devices should be centrally collected and monitored. This makes it easier to identify abnormal activity and investigate security incidents.</w:t>
        <w:br w:type="textWrapping"/>
        <w:br w:type="textWrapping"/>
        <w:t xml:space="preserve">Network performance should be protected by placing security controls at suitable points and avoiding unnecessary inspection of low-risk internal traffic. Firewall rules should be optimized and regularly reviewed. VLANs and routing policies can reduce unnecessary broadcast traffic and keep sensitive systems isolated. Security monitoring should be scaled according to risk so that the institution does not spend excessively on controls that provide little additional benefit.</w:t>
        <w:br w:type="textWrapping"/>
        <w:br w:type="textWrapping"/>
        <w:t xml:space="preserve">The design also supports compliance because access can be controlled, logged, monitored, and reviewed. Regular security assessments, patch management, backup procedures, and audit trails should be maintained. Administrative access should be restricted and recorded.</w:t>
        <w:br w:type="textWrapping"/>
        <w:br w:type="textWrapping"/>
        <w:t xml:space="preserve">From a budget perspective, the institution should prioritize high-risk systems and use centralized management where possible. Existing compatible network equipment can be reused if it supports VLANs, access-control policies, logging, and secure management. Open standards and centralized monitoring can reduce operational complexity.</w:t>
        <w:br w:type="textWrapping"/>
        <w:br w:type="textWrapping"/>
        <w:t xml:space="preserve">Therefore, the recommended architecture combines VLAN-based segmentation, a protected DMZ, firewall deployment, MFA and role-based access control, IDS/IPS monitoring, and centralized logging. This layered approach provides strong cybersecurity and compliance while maintaining network performance and controlling operational cost.</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