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ED06" w14:textId="4CE38607" w:rsidR="003E0D4B" w:rsidRPr="005E72E2" w:rsidRDefault="003E0D4B" w:rsidP="005E72E2">
      <w:pPr>
        <w:pStyle w:val="NormalWeb"/>
        <w:shd w:val="clear" w:color="auto" w:fill="FFFFFF"/>
        <w:spacing w:before="0" w:beforeAutospacing="0" w:line="360" w:lineRule="auto"/>
        <w:rPr>
          <w:rFonts w:asciiTheme="minorHAnsi" w:hAnsiTheme="minorHAnsi" w:cstheme="minorHAnsi"/>
          <w:b/>
          <w:bCs/>
          <w:color w:val="373A3C"/>
          <w:sz w:val="28"/>
          <w:szCs w:val="28"/>
        </w:rPr>
      </w:pPr>
      <w:r w:rsidRPr="005E72E2">
        <w:rPr>
          <w:rFonts w:asciiTheme="minorHAnsi" w:hAnsiTheme="minorHAnsi" w:cstheme="minorHAnsi"/>
          <w:b/>
          <w:bCs/>
          <w:color w:val="373A3C"/>
          <w:sz w:val="28"/>
          <w:szCs w:val="28"/>
        </w:rPr>
        <w:t>Reflective Activity 1</w:t>
      </w:r>
    </w:p>
    <w:p w14:paraId="70D6D012" w14:textId="3CD0ED85" w:rsidR="003E0D4B" w:rsidRPr="005E72E2" w:rsidRDefault="004C5B2C" w:rsidP="005E72E2">
      <w:pPr>
        <w:pStyle w:val="NormalWeb"/>
        <w:shd w:val="clear" w:color="auto" w:fill="FFFFFF"/>
        <w:spacing w:before="0" w:beforeAutospacing="0" w:line="360" w:lineRule="auto"/>
        <w:rPr>
          <w:rFonts w:asciiTheme="minorHAnsi" w:hAnsiTheme="minorHAnsi" w:cstheme="minorHAnsi"/>
          <w:color w:val="373A3C"/>
          <w:sz w:val="22"/>
          <w:szCs w:val="22"/>
        </w:rPr>
      </w:pPr>
      <w:r w:rsidRPr="005E72E2">
        <w:rPr>
          <w:rFonts w:asciiTheme="minorHAnsi" w:hAnsiTheme="minorHAnsi" w:cstheme="minorHAnsi"/>
          <w:color w:val="373A3C"/>
          <w:sz w:val="22"/>
          <w:szCs w:val="22"/>
          <w:highlight w:val="yellow"/>
        </w:rPr>
        <w:t>Question</w:t>
      </w:r>
      <w:r w:rsidRPr="005E72E2">
        <w:rPr>
          <w:rFonts w:asciiTheme="minorHAnsi" w:hAnsiTheme="minorHAnsi" w:cstheme="minorHAnsi"/>
          <w:color w:val="373A3C"/>
          <w:sz w:val="22"/>
          <w:szCs w:val="22"/>
        </w:rPr>
        <w:t xml:space="preserve"> </w:t>
      </w:r>
    </w:p>
    <w:p w14:paraId="46DE7C41" w14:textId="1FC8AE63" w:rsidR="003E0D4B" w:rsidRPr="005E72E2" w:rsidRDefault="003E0D4B" w:rsidP="005E72E2">
      <w:pPr>
        <w:pStyle w:val="NormalWeb"/>
        <w:shd w:val="clear" w:color="auto" w:fill="FFFFFF"/>
        <w:spacing w:before="0" w:beforeAutospacing="0" w:line="360" w:lineRule="auto"/>
        <w:rPr>
          <w:rFonts w:asciiTheme="minorHAnsi" w:hAnsiTheme="minorHAnsi" w:cstheme="minorHAnsi"/>
          <w:color w:val="373A3C"/>
          <w:sz w:val="22"/>
          <w:szCs w:val="22"/>
        </w:rPr>
      </w:pPr>
      <w:r w:rsidRPr="005E72E2">
        <w:rPr>
          <w:rFonts w:asciiTheme="minorHAnsi" w:hAnsiTheme="minorHAnsi" w:cstheme="minorHAnsi"/>
          <w:color w:val="373A3C"/>
          <w:sz w:val="22"/>
          <w:szCs w:val="22"/>
        </w:rPr>
        <w:t>Read Stahl et al (2016) and Bott (2018) Chapter 1.</w:t>
      </w:r>
    </w:p>
    <w:p w14:paraId="6051A865" w14:textId="77777777" w:rsidR="003E0D4B" w:rsidRPr="005E72E2" w:rsidRDefault="003E0D4B" w:rsidP="005E72E2">
      <w:pPr>
        <w:pStyle w:val="NormalWeb"/>
        <w:shd w:val="clear" w:color="auto" w:fill="FFFFFF"/>
        <w:spacing w:before="0" w:beforeAutospacing="0" w:line="360" w:lineRule="auto"/>
        <w:rPr>
          <w:rFonts w:asciiTheme="minorHAnsi" w:hAnsiTheme="minorHAnsi" w:cstheme="minorHAnsi"/>
          <w:color w:val="373A3C"/>
          <w:sz w:val="22"/>
          <w:szCs w:val="22"/>
        </w:rPr>
      </w:pPr>
      <w:r w:rsidRPr="005E72E2">
        <w:rPr>
          <w:rFonts w:asciiTheme="minorHAnsi" w:hAnsiTheme="minorHAnsi" w:cstheme="minorHAnsi"/>
          <w:color w:val="373A3C"/>
          <w:sz w:val="22"/>
          <w:szCs w:val="22"/>
        </w:rPr>
        <w:t>In the Stahl et al (2016) paper, the authors state that “many of the authors involved in researching the ethics of computing remain wedded to their disciplinary traditions and fail to provide actionable advice to relevant stakeholders.”</w:t>
      </w:r>
    </w:p>
    <w:p w14:paraId="37B62247" w14:textId="77777777" w:rsidR="003E0D4B" w:rsidRPr="005E72E2" w:rsidRDefault="003E0D4B" w:rsidP="005E72E2">
      <w:pPr>
        <w:pStyle w:val="NormalWeb"/>
        <w:shd w:val="clear" w:color="auto" w:fill="FFFFFF"/>
        <w:spacing w:before="0" w:beforeAutospacing="0" w:line="360" w:lineRule="auto"/>
        <w:rPr>
          <w:rFonts w:asciiTheme="minorHAnsi" w:hAnsiTheme="minorHAnsi" w:cstheme="minorHAnsi"/>
          <w:color w:val="373A3C"/>
          <w:sz w:val="22"/>
          <w:szCs w:val="22"/>
        </w:rPr>
      </w:pPr>
      <w:r w:rsidRPr="005E72E2">
        <w:rPr>
          <w:rFonts w:asciiTheme="minorHAnsi" w:hAnsiTheme="minorHAnsi" w:cstheme="minorHAnsi"/>
          <w:color w:val="373A3C"/>
          <w:sz w:val="22"/>
          <w:szCs w:val="22"/>
        </w:rPr>
        <w:t xml:space="preserve">Consider yourself as a relevant stakeholder, a Computing professional working for a company of your choice. Examine how one or more of the ethical issues mentioned affect your role in the company and what actions you would need to/can take. You should justify your stance by also reviewing any papers included in this study or other relevant literature. Your discussion should also highlight the impact your actions would have on applicable legal, </w:t>
      </w:r>
      <w:proofErr w:type="gramStart"/>
      <w:r w:rsidRPr="005E72E2">
        <w:rPr>
          <w:rFonts w:asciiTheme="minorHAnsi" w:hAnsiTheme="minorHAnsi" w:cstheme="minorHAnsi"/>
          <w:color w:val="373A3C"/>
          <w:sz w:val="22"/>
          <w:szCs w:val="22"/>
        </w:rPr>
        <w:t>social</w:t>
      </w:r>
      <w:proofErr w:type="gramEnd"/>
      <w:r w:rsidRPr="005E72E2">
        <w:rPr>
          <w:rFonts w:asciiTheme="minorHAnsi" w:hAnsiTheme="minorHAnsi" w:cstheme="minorHAnsi"/>
          <w:color w:val="373A3C"/>
          <w:sz w:val="22"/>
          <w:szCs w:val="22"/>
        </w:rPr>
        <w:t xml:space="preserve"> and professional issues. Please note that there is no right or wrong answer here, this exercise is to help you evaluate the legal, social ethical and professional issues that affect computing professionals in industry.</w:t>
      </w:r>
    </w:p>
    <w:p w14:paraId="614DD3BC" w14:textId="6CF21434" w:rsidR="003E0D4B" w:rsidRPr="005E72E2" w:rsidRDefault="003E0D4B" w:rsidP="005E72E2">
      <w:pPr>
        <w:pStyle w:val="NormalWeb"/>
        <w:shd w:val="clear" w:color="auto" w:fill="FFFFFF"/>
        <w:spacing w:before="0" w:beforeAutospacing="0" w:line="360" w:lineRule="auto"/>
        <w:rPr>
          <w:rFonts w:asciiTheme="minorHAnsi" w:hAnsiTheme="minorHAnsi" w:cstheme="minorHAnsi"/>
          <w:color w:val="373A3C"/>
          <w:sz w:val="22"/>
          <w:szCs w:val="22"/>
        </w:rPr>
      </w:pPr>
      <w:r w:rsidRPr="005E72E2">
        <w:rPr>
          <w:rFonts w:asciiTheme="minorHAnsi" w:hAnsiTheme="minorHAnsi" w:cstheme="minorHAnsi"/>
          <w:color w:val="373A3C"/>
          <w:sz w:val="22"/>
          <w:szCs w:val="22"/>
        </w:rPr>
        <w:t>There is no strict word limit here but try to limit your submission to 2/3 pages (approximately 1000 words). You should </w:t>
      </w:r>
      <w:r w:rsidRPr="005E72E2">
        <w:rPr>
          <w:rStyle w:val="Strong"/>
          <w:rFonts w:asciiTheme="minorHAnsi" w:hAnsiTheme="minorHAnsi" w:cstheme="minorHAnsi"/>
          <w:color w:val="373A3C"/>
          <w:sz w:val="22"/>
          <w:szCs w:val="22"/>
        </w:rPr>
        <w:t>include this in your e-portfolio</w:t>
      </w:r>
      <w:r w:rsidRPr="005E72E2">
        <w:rPr>
          <w:rFonts w:asciiTheme="minorHAnsi" w:hAnsiTheme="minorHAnsi" w:cstheme="minorHAnsi"/>
          <w:color w:val="373A3C"/>
          <w:sz w:val="22"/>
          <w:szCs w:val="22"/>
        </w:rPr>
        <w:t>, and you can submit it to your tutor for formative feedback. (If you wish to do that, please email them the link to the specific part of your GitHub e-portfolio.)</w:t>
      </w:r>
    </w:p>
    <w:p w14:paraId="0D46B749" w14:textId="68703493" w:rsidR="004C5B2C" w:rsidRPr="005E72E2" w:rsidRDefault="004C5B2C" w:rsidP="005E72E2">
      <w:pPr>
        <w:pStyle w:val="NormalWeb"/>
        <w:shd w:val="clear" w:color="auto" w:fill="FFFFFF"/>
        <w:spacing w:before="0" w:beforeAutospacing="0" w:line="360" w:lineRule="auto"/>
        <w:rPr>
          <w:rFonts w:asciiTheme="minorHAnsi" w:hAnsiTheme="minorHAnsi" w:cstheme="minorHAnsi"/>
          <w:color w:val="373A3C"/>
          <w:sz w:val="22"/>
          <w:szCs w:val="22"/>
        </w:rPr>
      </w:pPr>
      <w:r w:rsidRPr="005E72E2">
        <w:rPr>
          <w:rFonts w:asciiTheme="minorHAnsi" w:hAnsiTheme="minorHAnsi" w:cstheme="minorHAnsi"/>
          <w:color w:val="373A3C"/>
          <w:sz w:val="22"/>
          <w:szCs w:val="22"/>
          <w:highlight w:val="yellow"/>
        </w:rPr>
        <w:t>Answer</w:t>
      </w:r>
      <w:r w:rsidRPr="005E72E2">
        <w:rPr>
          <w:rFonts w:asciiTheme="minorHAnsi" w:hAnsiTheme="minorHAnsi" w:cstheme="minorHAnsi"/>
          <w:color w:val="373A3C"/>
          <w:sz w:val="22"/>
          <w:szCs w:val="22"/>
        </w:rPr>
        <w:t xml:space="preserve"> </w:t>
      </w:r>
    </w:p>
    <w:p w14:paraId="22C73275" w14:textId="27D806EF" w:rsidR="00A650AA" w:rsidRPr="005E72E2" w:rsidRDefault="000E6D15" w:rsidP="005E72E2">
      <w:pPr>
        <w:spacing w:line="360" w:lineRule="auto"/>
        <w:rPr>
          <w:rFonts w:cstheme="minorHAnsi"/>
        </w:rPr>
      </w:pPr>
      <w:r w:rsidRPr="005E72E2">
        <w:rPr>
          <w:rFonts w:cstheme="minorHAnsi"/>
        </w:rPr>
        <w:t xml:space="preserve">As for the ethical consideration of </w:t>
      </w:r>
      <w:r w:rsidR="004C5B2C" w:rsidRPr="005E72E2">
        <w:rPr>
          <w:rFonts w:cstheme="minorHAnsi"/>
        </w:rPr>
        <w:t xml:space="preserve">Privacy </w:t>
      </w:r>
      <w:r w:rsidRPr="005E72E2">
        <w:rPr>
          <w:rFonts w:cstheme="minorHAnsi"/>
        </w:rPr>
        <w:t xml:space="preserve">if I was </w:t>
      </w:r>
      <w:r w:rsidR="008B1CB2" w:rsidRPr="005E72E2">
        <w:rPr>
          <w:rFonts w:cstheme="minorHAnsi"/>
        </w:rPr>
        <w:t>an IT professional</w:t>
      </w:r>
      <w:r w:rsidRPr="005E72E2">
        <w:rPr>
          <w:rFonts w:cstheme="minorHAnsi"/>
        </w:rPr>
        <w:t xml:space="preserve"> in a </w:t>
      </w:r>
      <w:proofErr w:type="gramStart"/>
      <w:r w:rsidR="008B1CB2" w:rsidRPr="005E72E2">
        <w:rPr>
          <w:rFonts w:cstheme="minorHAnsi"/>
        </w:rPr>
        <w:t>B</w:t>
      </w:r>
      <w:r w:rsidRPr="005E72E2">
        <w:rPr>
          <w:rFonts w:cstheme="minorHAnsi"/>
        </w:rPr>
        <w:t>ank</w:t>
      </w:r>
      <w:proofErr w:type="gramEnd"/>
      <w:r w:rsidR="00A650AA" w:rsidRPr="005E72E2">
        <w:rPr>
          <w:rFonts w:cstheme="minorHAnsi"/>
        </w:rPr>
        <w:t xml:space="preserve"> I would need to ensure all privacy needs are being met of clients data. </w:t>
      </w:r>
      <w:r w:rsidR="00923C35" w:rsidRPr="005E72E2">
        <w:rPr>
          <w:rFonts w:cstheme="minorHAnsi"/>
        </w:rPr>
        <w:t>Banks hold data about financial information, personal details such as name and address etc</w:t>
      </w:r>
      <w:r w:rsidR="001A2962" w:rsidRPr="005E72E2">
        <w:rPr>
          <w:rFonts w:cstheme="minorHAnsi"/>
        </w:rPr>
        <w:t xml:space="preserve">. </w:t>
      </w:r>
      <w:r w:rsidR="008B1CB2" w:rsidRPr="005E72E2">
        <w:rPr>
          <w:rFonts w:cstheme="minorHAnsi"/>
        </w:rPr>
        <w:t>Clients trust banks by default, which places a significant obligation on banks to be trustworthy to comply with regulations and defend their clients' confidential data. </w:t>
      </w:r>
      <w:r w:rsidR="00B36B55" w:rsidRPr="005E72E2">
        <w:rPr>
          <w:rFonts w:cstheme="minorHAnsi"/>
          <w:color w:val="000000"/>
          <w:shd w:val="clear" w:color="auto" w:fill="FFFFFF"/>
        </w:rPr>
        <w:t xml:space="preserve">(Stahl, Timmermans and </w:t>
      </w:r>
      <w:proofErr w:type="spellStart"/>
      <w:r w:rsidR="00B36B55" w:rsidRPr="005E72E2">
        <w:rPr>
          <w:rFonts w:cstheme="minorHAnsi"/>
          <w:color w:val="000000"/>
          <w:shd w:val="clear" w:color="auto" w:fill="FFFFFF"/>
        </w:rPr>
        <w:t>Mittelstadt</w:t>
      </w:r>
      <w:proofErr w:type="spellEnd"/>
      <w:r w:rsidR="00B36B55" w:rsidRPr="005E72E2">
        <w:rPr>
          <w:rFonts w:cstheme="minorHAnsi"/>
          <w:color w:val="000000"/>
          <w:shd w:val="clear" w:color="auto" w:fill="FFFFFF"/>
        </w:rPr>
        <w:t>, 2016)</w:t>
      </w:r>
    </w:p>
    <w:p w14:paraId="06DF9774" w14:textId="5F9E194A" w:rsidR="001A2962" w:rsidRPr="005E72E2" w:rsidRDefault="001A2962" w:rsidP="005E72E2">
      <w:pPr>
        <w:spacing w:line="360" w:lineRule="auto"/>
        <w:rPr>
          <w:rFonts w:cstheme="minorHAnsi"/>
        </w:rPr>
      </w:pPr>
      <w:r w:rsidRPr="005E72E2">
        <w:rPr>
          <w:rFonts w:cstheme="minorHAnsi"/>
        </w:rPr>
        <w:t xml:space="preserve">Several data breaches have occurred on customers data which impacts customers psychologically and it also harms the organisations reputation. For </w:t>
      </w:r>
      <w:proofErr w:type="gramStart"/>
      <w:r w:rsidRPr="005E72E2">
        <w:rPr>
          <w:rFonts w:cstheme="minorHAnsi"/>
        </w:rPr>
        <w:t>example</w:t>
      </w:r>
      <w:proofErr w:type="gramEnd"/>
      <w:r w:rsidRPr="005E72E2">
        <w:rPr>
          <w:rFonts w:cstheme="minorHAnsi"/>
        </w:rPr>
        <w:t xml:space="preserve"> a data breach </w:t>
      </w:r>
      <w:proofErr w:type="spellStart"/>
      <w:r w:rsidRPr="005E72E2">
        <w:rPr>
          <w:rFonts w:cstheme="minorHAnsi"/>
        </w:rPr>
        <w:t>accoured</w:t>
      </w:r>
      <w:proofErr w:type="spellEnd"/>
      <w:r w:rsidRPr="005E72E2">
        <w:rPr>
          <w:rFonts w:cstheme="minorHAnsi"/>
        </w:rPr>
        <w:t xml:space="preserve"> on </w:t>
      </w:r>
      <w:proofErr w:type="spellStart"/>
      <w:r w:rsidRPr="005E72E2">
        <w:rPr>
          <w:rFonts w:cstheme="minorHAnsi"/>
        </w:rPr>
        <w:t>LLyods</w:t>
      </w:r>
      <w:proofErr w:type="spellEnd"/>
      <w:r w:rsidRPr="005E72E2">
        <w:rPr>
          <w:rFonts w:cstheme="minorHAnsi"/>
        </w:rPr>
        <w:t xml:space="preserve"> banking in the UK </w:t>
      </w:r>
      <w:r w:rsidR="00B36B55" w:rsidRPr="005E72E2">
        <w:rPr>
          <w:rFonts w:cstheme="minorHAnsi"/>
        </w:rPr>
        <w:t xml:space="preserve">in 2018 where 40,000 customers data was stolen. </w:t>
      </w:r>
      <w:proofErr w:type="gramStart"/>
      <w:r w:rsidRPr="005E72E2">
        <w:rPr>
          <w:rFonts w:cstheme="minorHAnsi"/>
        </w:rPr>
        <w:t>Therefore</w:t>
      </w:r>
      <w:proofErr w:type="gramEnd"/>
      <w:r w:rsidRPr="005E72E2">
        <w:rPr>
          <w:rFonts w:cstheme="minorHAnsi"/>
        </w:rPr>
        <w:t xml:space="preserve"> it is important to ensure that customers data is protected </w:t>
      </w:r>
      <w:r w:rsidR="00B36B55" w:rsidRPr="005E72E2">
        <w:rPr>
          <w:rFonts w:cstheme="minorHAnsi"/>
        </w:rPr>
        <w:t>(</w:t>
      </w:r>
      <w:proofErr w:type="spellStart"/>
      <w:r w:rsidR="00B36B55" w:rsidRPr="005E72E2">
        <w:rPr>
          <w:rFonts w:cstheme="minorHAnsi"/>
          <w:color w:val="000000"/>
          <w:shd w:val="clear" w:color="auto" w:fill="FFFFFF"/>
        </w:rPr>
        <w:t>Borner</w:t>
      </w:r>
      <w:proofErr w:type="spellEnd"/>
      <w:r w:rsidR="00B36B55" w:rsidRPr="005E72E2">
        <w:rPr>
          <w:rFonts w:cstheme="minorHAnsi"/>
          <w:color w:val="000000"/>
          <w:shd w:val="clear" w:color="auto" w:fill="FFFFFF"/>
        </w:rPr>
        <w:t xml:space="preserve">, </w:t>
      </w:r>
      <w:r w:rsidR="00B36B55" w:rsidRPr="005E72E2">
        <w:rPr>
          <w:rFonts w:cstheme="minorHAnsi"/>
          <w:color w:val="000000"/>
          <w:shd w:val="clear" w:color="auto" w:fill="FFFFFF"/>
        </w:rPr>
        <w:t>2018</w:t>
      </w:r>
      <w:r w:rsidR="00B36B55" w:rsidRPr="005E72E2">
        <w:rPr>
          <w:rFonts w:cstheme="minorHAnsi"/>
          <w:color w:val="000000"/>
          <w:shd w:val="clear" w:color="auto" w:fill="FFFFFF"/>
        </w:rPr>
        <w:t>)</w:t>
      </w:r>
    </w:p>
    <w:p w14:paraId="5020EB90" w14:textId="50AF09CB" w:rsidR="001A2962" w:rsidRPr="005E72E2" w:rsidRDefault="00A650AA" w:rsidP="005E72E2">
      <w:pPr>
        <w:spacing w:line="360" w:lineRule="auto"/>
        <w:rPr>
          <w:rFonts w:cstheme="minorHAnsi"/>
        </w:rPr>
      </w:pPr>
      <w:r w:rsidRPr="005E72E2">
        <w:rPr>
          <w:rFonts w:cstheme="minorHAnsi"/>
        </w:rPr>
        <w:t xml:space="preserve">Keeping the clients informed is one of the simplest methods to secure their data. It is becoming increasingly important to actively give education and raise awareness about how banks gather and </w:t>
      </w:r>
      <w:r w:rsidRPr="005E72E2">
        <w:rPr>
          <w:rFonts w:cstheme="minorHAnsi"/>
        </w:rPr>
        <w:lastRenderedPageBreak/>
        <w:t>handle consumer data.</w:t>
      </w:r>
      <w:r w:rsidR="00B36B55" w:rsidRPr="005E72E2">
        <w:rPr>
          <w:rFonts w:cstheme="minorHAnsi"/>
        </w:rPr>
        <w:t xml:space="preserve"> </w:t>
      </w:r>
      <w:proofErr w:type="gramStart"/>
      <w:r w:rsidR="00B36B55" w:rsidRPr="005E72E2">
        <w:rPr>
          <w:rFonts w:cstheme="minorHAnsi"/>
        </w:rPr>
        <w:t>Moreover</w:t>
      </w:r>
      <w:proofErr w:type="gramEnd"/>
      <w:r w:rsidR="00B36B55" w:rsidRPr="005E72E2">
        <w:rPr>
          <w:rFonts w:cstheme="minorHAnsi"/>
        </w:rPr>
        <w:t xml:space="preserve"> </w:t>
      </w:r>
      <w:r w:rsidR="000E6D15" w:rsidRPr="005E72E2">
        <w:rPr>
          <w:rFonts w:cstheme="minorHAnsi"/>
        </w:rPr>
        <w:t>Anonymization and security architectures are two technical solutions that can assist in preventing illegal access of personal data.</w:t>
      </w:r>
      <w:r w:rsidR="001A2962" w:rsidRPr="005E72E2">
        <w:rPr>
          <w:rFonts w:cstheme="minorHAnsi"/>
        </w:rPr>
        <w:t xml:space="preserve"> </w:t>
      </w:r>
      <w:r w:rsidR="00923C35" w:rsidRPr="005E72E2">
        <w:rPr>
          <w:rFonts w:cstheme="minorHAnsi"/>
        </w:rPr>
        <w:t>Voice biometrics can aid in the detection of complex fraud attacks. Banks can ensure that the account owner is the one who is accessing online banking by identifying them based on their voice</w:t>
      </w:r>
      <w:r w:rsidR="00923C35" w:rsidRPr="005E72E2">
        <w:rPr>
          <w:rFonts w:cstheme="minorHAnsi"/>
        </w:rPr>
        <w:t xml:space="preserve">. Adopting a layered cyber security approach </w:t>
      </w:r>
      <w:r w:rsidR="00923C35" w:rsidRPr="005E72E2">
        <w:rPr>
          <w:rFonts w:cstheme="minorHAnsi"/>
        </w:rPr>
        <w:t>to cybersecurity helps make system breaches complex cyber attackers would have to overcome numerous levels of security protection to gain. </w:t>
      </w:r>
      <w:r w:rsidR="001A2962" w:rsidRPr="005E72E2">
        <w:rPr>
          <w:rFonts w:cstheme="minorHAnsi"/>
        </w:rPr>
        <w:t>By using these tactics, I would be adhering to the Data Protection Act</w:t>
      </w:r>
      <w:r w:rsidR="00263ED2">
        <w:rPr>
          <w:rFonts w:cstheme="minorHAnsi"/>
        </w:rPr>
        <w:t xml:space="preserve"> and GDPR.</w:t>
      </w:r>
      <w:r w:rsidR="001A2962" w:rsidRPr="005E72E2">
        <w:rPr>
          <w:rFonts w:cstheme="minorHAnsi"/>
        </w:rPr>
        <w:t xml:space="preserve"> </w:t>
      </w:r>
      <w:r w:rsidR="00263ED2">
        <w:rPr>
          <w:rFonts w:ascii="Open Sans" w:hAnsi="Open Sans" w:cs="Open Sans"/>
          <w:color w:val="000000"/>
          <w:sz w:val="20"/>
          <w:szCs w:val="20"/>
          <w:shd w:val="clear" w:color="auto" w:fill="FFFFFF"/>
        </w:rPr>
        <w:t>(</w:t>
      </w:r>
      <w:proofErr w:type="spellStart"/>
      <w:r w:rsidR="00263ED2">
        <w:rPr>
          <w:rFonts w:ascii="Open Sans" w:hAnsi="Open Sans" w:cs="Open Sans"/>
          <w:color w:val="000000"/>
          <w:sz w:val="20"/>
          <w:szCs w:val="20"/>
          <w:shd w:val="clear" w:color="auto" w:fill="FFFFFF"/>
        </w:rPr>
        <w:t>Pelteret</w:t>
      </w:r>
      <w:proofErr w:type="spellEnd"/>
      <w:r w:rsidR="00263ED2">
        <w:rPr>
          <w:rFonts w:ascii="Open Sans" w:hAnsi="Open Sans" w:cs="Open Sans"/>
          <w:color w:val="000000"/>
          <w:sz w:val="20"/>
          <w:szCs w:val="20"/>
          <w:shd w:val="clear" w:color="auto" w:fill="FFFFFF"/>
        </w:rPr>
        <w:t xml:space="preserve"> and </w:t>
      </w:r>
      <w:proofErr w:type="spellStart"/>
      <w:r w:rsidR="00263ED2">
        <w:rPr>
          <w:rFonts w:ascii="Open Sans" w:hAnsi="Open Sans" w:cs="Open Sans"/>
          <w:color w:val="000000"/>
          <w:sz w:val="20"/>
          <w:szCs w:val="20"/>
          <w:shd w:val="clear" w:color="auto" w:fill="FFFFFF"/>
        </w:rPr>
        <w:t>Ophoff</w:t>
      </w:r>
      <w:proofErr w:type="spellEnd"/>
      <w:r w:rsidR="00263ED2">
        <w:rPr>
          <w:rFonts w:ascii="Open Sans" w:hAnsi="Open Sans" w:cs="Open Sans"/>
          <w:color w:val="000000"/>
          <w:sz w:val="20"/>
          <w:szCs w:val="20"/>
          <w:shd w:val="clear" w:color="auto" w:fill="FFFFFF"/>
        </w:rPr>
        <w:t>, 2016)</w:t>
      </w:r>
    </w:p>
    <w:p w14:paraId="34BB363A" w14:textId="4B6C9BBF" w:rsidR="00923C35" w:rsidRPr="005E72E2" w:rsidRDefault="00923C35" w:rsidP="005E72E2">
      <w:pPr>
        <w:spacing w:line="360" w:lineRule="auto"/>
        <w:rPr>
          <w:rFonts w:cstheme="minorHAnsi"/>
        </w:rPr>
      </w:pPr>
    </w:p>
    <w:p w14:paraId="209FBB1E" w14:textId="2ADA2160" w:rsidR="005E72E2" w:rsidRPr="005E72E2" w:rsidRDefault="005E72E2" w:rsidP="005E72E2">
      <w:pPr>
        <w:spacing w:line="360" w:lineRule="auto"/>
        <w:rPr>
          <w:rFonts w:cstheme="minorHAnsi"/>
        </w:rPr>
      </w:pPr>
    </w:p>
    <w:p w14:paraId="0D3F318D" w14:textId="77777777" w:rsidR="005E72E2" w:rsidRPr="005E72E2" w:rsidRDefault="005E72E2" w:rsidP="005E72E2">
      <w:pPr>
        <w:spacing w:line="360" w:lineRule="auto"/>
        <w:rPr>
          <w:rFonts w:cstheme="minorHAnsi"/>
        </w:rPr>
      </w:pPr>
    </w:p>
    <w:p w14:paraId="24083F85" w14:textId="27BEB532" w:rsidR="00B36B55" w:rsidRPr="005E72E2" w:rsidRDefault="00B36B55" w:rsidP="005E72E2">
      <w:pPr>
        <w:spacing w:line="360" w:lineRule="auto"/>
        <w:rPr>
          <w:rFonts w:cstheme="minorHAnsi"/>
        </w:rPr>
      </w:pPr>
      <w:r w:rsidRPr="005E72E2">
        <w:rPr>
          <w:rFonts w:cstheme="minorHAnsi"/>
        </w:rPr>
        <w:t>References</w:t>
      </w:r>
    </w:p>
    <w:p w14:paraId="5A39F81C" w14:textId="2E939BA5" w:rsidR="00B36B55" w:rsidRDefault="00B36B55" w:rsidP="005E72E2">
      <w:pPr>
        <w:spacing w:line="360" w:lineRule="auto"/>
        <w:rPr>
          <w:rFonts w:cstheme="minorHAnsi"/>
          <w:color w:val="000000"/>
          <w:shd w:val="clear" w:color="auto" w:fill="FFFFFF"/>
        </w:rPr>
      </w:pPr>
      <w:proofErr w:type="spellStart"/>
      <w:r w:rsidRPr="005E72E2">
        <w:rPr>
          <w:rFonts w:cstheme="minorHAnsi"/>
          <w:color w:val="000000"/>
          <w:shd w:val="clear" w:color="auto" w:fill="FFFFFF"/>
        </w:rPr>
        <w:t>Borner</w:t>
      </w:r>
      <w:proofErr w:type="spellEnd"/>
      <w:r w:rsidRPr="005E72E2">
        <w:rPr>
          <w:rFonts w:cstheme="minorHAnsi"/>
          <w:color w:val="000000"/>
          <w:shd w:val="clear" w:color="auto" w:fill="FFFFFF"/>
        </w:rPr>
        <w:t>, P</w:t>
      </w:r>
      <w:r w:rsidRPr="005E72E2">
        <w:rPr>
          <w:rFonts w:cstheme="minorHAnsi"/>
          <w:color w:val="000000"/>
          <w:shd w:val="clear" w:color="auto" w:fill="FFFFFF"/>
        </w:rPr>
        <w:t xml:space="preserve"> (</w:t>
      </w:r>
      <w:r w:rsidRPr="005E72E2">
        <w:rPr>
          <w:rFonts w:cstheme="minorHAnsi"/>
          <w:color w:val="000000"/>
          <w:shd w:val="clear" w:color="auto" w:fill="FFFFFF"/>
        </w:rPr>
        <w:t>20</w:t>
      </w:r>
      <w:r w:rsidRPr="005E72E2">
        <w:rPr>
          <w:rFonts w:cstheme="minorHAnsi"/>
          <w:color w:val="000000"/>
          <w:shd w:val="clear" w:color="auto" w:fill="FFFFFF"/>
        </w:rPr>
        <w:t>18)</w:t>
      </w:r>
      <w:r w:rsidRPr="005E72E2">
        <w:rPr>
          <w:rFonts w:cstheme="minorHAnsi"/>
          <w:color w:val="000000"/>
          <w:shd w:val="clear" w:color="auto" w:fill="FFFFFF"/>
        </w:rPr>
        <w:t>. </w:t>
      </w:r>
      <w:r w:rsidRPr="005E72E2">
        <w:rPr>
          <w:rFonts w:cstheme="minorHAnsi"/>
          <w:i/>
          <w:iCs/>
          <w:color w:val="000000"/>
          <w:shd w:val="clear" w:color="auto" w:fill="FFFFFF"/>
        </w:rPr>
        <w:t>Lloyds Bank replacing credit cards following cyber-attacks - The Data Privacy Group</w:t>
      </w:r>
      <w:r w:rsidRPr="005E72E2">
        <w:rPr>
          <w:rFonts w:cstheme="minorHAnsi"/>
          <w:color w:val="000000"/>
          <w:shd w:val="clear" w:color="auto" w:fill="FFFFFF"/>
        </w:rPr>
        <w:t xml:space="preserve">. [online] The Data Privacy Group. Available at: &lt;https://thedataprivacygroup.com/blog/lloyds-bank-replacing-debit-cards-following-cyber-attacks/#:~:text=Lloyds%20Banking%20Group%20is%20reissuing,February%20and%2023%20June%202018.&gt; [Accessed </w:t>
      </w:r>
      <w:r w:rsidRPr="005E72E2">
        <w:rPr>
          <w:rFonts w:cstheme="minorHAnsi"/>
          <w:color w:val="000000"/>
          <w:shd w:val="clear" w:color="auto" w:fill="FFFFFF"/>
        </w:rPr>
        <w:t xml:space="preserve">2 </w:t>
      </w:r>
      <w:r w:rsidRPr="005E72E2">
        <w:rPr>
          <w:rFonts w:cstheme="minorHAnsi"/>
          <w:color w:val="000000"/>
          <w:shd w:val="clear" w:color="auto" w:fill="FFFFFF"/>
        </w:rPr>
        <w:t>April 2022].</w:t>
      </w:r>
    </w:p>
    <w:p w14:paraId="6FC6CD93" w14:textId="2562DB94" w:rsidR="00263ED2" w:rsidRPr="005E72E2" w:rsidRDefault="00263ED2" w:rsidP="005E72E2">
      <w:pPr>
        <w:spacing w:line="360" w:lineRule="auto"/>
        <w:rPr>
          <w:rFonts w:cstheme="minorHAnsi"/>
          <w:color w:val="000000"/>
          <w:shd w:val="clear" w:color="auto" w:fill="FFFFFF"/>
        </w:rPr>
      </w:pPr>
      <w:proofErr w:type="spellStart"/>
      <w:r>
        <w:rPr>
          <w:rFonts w:ascii="Open Sans" w:hAnsi="Open Sans" w:cs="Open Sans"/>
          <w:color w:val="000000"/>
          <w:sz w:val="20"/>
          <w:szCs w:val="20"/>
          <w:shd w:val="clear" w:color="auto" w:fill="FFFFFF"/>
        </w:rPr>
        <w:t>Pelteret</w:t>
      </w:r>
      <w:proofErr w:type="spellEnd"/>
      <w:r>
        <w:rPr>
          <w:rFonts w:ascii="Open Sans" w:hAnsi="Open Sans" w:cs="Open Sans"/>
          <w:color w:val="000000"/>
          <w:sz w:val="20"/>
          <w:szCs w:val="20"/>
          <w:shd w:val="clear" w:color="auto" w:fill="FFFFFF"/>
        </w:rPr>
        <w:t xml:space="preserve">, M. and </w:t>
      </w:r>
      <w:proofErr w:type="spellStart"/>
      <w:r>
        <w:rPr>
          <w:rFonts w:ascii="Open Sans" w:hAnsi="Open Sans" w:cs="Open Sans"/>
          <w:color w:val="000000"/>
          <w:sz w:val="20"/>
          <w:szCs w:val="20"/>
          <w:shd w:val="clear" w:color="auto" w:fill="FFFFFF"/>
        </w:rPr>
        <w:t>Ophoff</w:t>
      </w:r>
      <w:proofErr w:type="spellEnd"/>
      <w:r>
        <w:rPr>
          <w:rFonts w:ascii="Open Sans" w:hAnsi="Open Sans" w:cs="Open Sans"/>
          <w:color w:val="000000"/>
          <w:sz w:val="20"/>
          <w:szCs w:val="20"/>
          <w:shd w:val="clear" w:color="auto" w:fill="FFFFFF"/>
        </w:rPr>
        <w:t xml:space="preserve">, J., </w:t>
      </w:r>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2016</w:t>
      </w:r>
      <w:r>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A Review of Information Privacy and Its Importance to Consumers and Organizations. </w:t>
      </w:r>
      <w:r>
        <w:rPr>
          <w:rFonts w:ascii="Open Sans" w:hAnsi="Open Sans" w:cs="Open Sans"/>
          <w:i/>
          <w:iCs/>
          <w:color w:val="000000"/>
          <w:sz w:val="20"/>
          <w:szCs w:val="20"/>
          <w:shd w:val="clear" w:color="auto" w:fill="FFFFFF"/>
        </w:rPr>
        <w:t xml:space="preserve">Informing Science: The International Journal of an Emerging </w:t>
      </w:r>
      <w:proofErr w:type="spellStart"/>
      <w:r>
        <w:rPr>
          <w:rFonts w:ascii="Open Sans" w:hAnsi="Open Sans" w:cs="Open Sans"/>
          <w:i/>
          <w:iCs/>
          <w:color w:val="000000"/>
          <w:sz w:val="20"/>
          <w:szCs w:val="20"/>
          <w:shd w:val="clear" w:color="auto" w:fill="FFFFFF"/>
        </w:rPr>
        <w:t>Transdiscipline</w:t>
      </w:r>
      <w:proofErr w:type="spellEnd"/>
      <w:r>
        <w:rPr>
          <w:rFonts w:ascii="Open Sans" w:hAnsi="Open Sans" w:cs="Open Sans"/>
          <w:color w:val="000000"/>
          <w:sz w:val="20"/>
          <w:szCs w:val="20"/>
          <w:shd w:val="clear" w:color="auto" w:fill="FFFFFF"/>
        </w:rPr>
        <w:t>, 19, pp.277-301.</w:t>
      </w:r>
    </w:p>
    <w:p w14:paraId="775968EA" w14:textId="0ECE667E" w:rsidR="00B36B55" w:rsidRPr="005E72E2" w:rsidRDefault="00B36B55" w:rsidP="005E72E2">
      <w:pPr>
        <w:spacing w:line="360" w:lineRule="auto"/>
        <w:rPr>
          <w:rFonts w:cstheme="minorHAnsi"/>
          <w:color w:val="000000"/>
          <w:shd w:val="clear" w:color="auto" w:fill="FFFFFF"/>
        </w:rPr>
      </w:pPr>
      <w:r w:rsidRPr="005E72E2">
        <w:rPr>
          <w:rFonts w:cstheme="minorHAnsi"/>
          <w:color w:val="000000"/>
          <w:shd w:val="clear" w:color="auto" w:fill="FFFFFF"/>
        </w:rPr>
        <w:t xml:space="preserve">Stahl, B., Timmermans, J. and </w:t>
      </w:r>
      <w:proofErr w:type="spellStart"/>
      <w:r w:rsidRPr="005E72E2">
        <w:rPr>
          <w:rFonts w:cstheme="minorHAnsi"/>
          <w:color w:val="000000"/>
          <w:shd w:val="clear" w:color="auto" w:fill="FFFFFF"/>
        </w:rPr>
        <w:t>Mittelstadt</w:t>
      </w:r>
      <w:proofErr w:type="spellEnd"/>
      <w:r w:rsidRPr="005E72E2">
        <w:rPr>
          <w:rFonts w:cstheme="minorHAnsi"/>
          <w:color w:val="000000"/>
          <w:shd w:val="clear" w:color="auto" w:fill="FFFFFF"/>
        </w:rPr>
        <w:t xml:space="preserve">, B., </w:t>
      </w:r>
      <w:r w:rsidRPr="005E72E2">
        <w:rPr>
          <w:rFonts w:cstheme="minorHAnsi"/>
          <w:color w:val="000000"/>
          <w:shd w:val="clear" w:color="auto" w:fill="FFFFFF"/>
        </w:rPr>
        <w:t>(</w:t>
      </w:r>
      <w:r w:rsidRPr="005E72E2">
        <w:rPr>
          <w:rFonts w:cstheme="minorHAnsi"/>
          <w:color w:val="000000"/>
          <w:shd w:val="clear" w:color="auto" w:fill="FFFFFF"/>
        </w:rPr>
        <w:t>2016</w:t>
      </w:r>
      <w:r w:rsidRPr="005E72E2">
        <w:rPr>
          <w:rFonts w:cstheme="minorHAnsi"/>
          <w:color w:val="000000"/>
          <w:shd w:val="clear" w:color="auto" w:fill="FFFFFF"/>
        </w:rPr>
        <w:t>)</w:t>
      </w:r>
      <w:r w:rsidRPr="005E72E2">
        <w:rPr>
          <w:rFonts w:cstheme="minorHAnsi"/>
          <w:color w:val="000000"/>
          <w:shd w:val="clear" w:color="auto" w:fill="FFFFFF"/>
        </w:rPr>
        <w:t>. </w:t>
      </w:r>
      <w:r w:rsidRPr="005E72E2">
        <w:rPr>
          <w:rFonts w:cstheme="minorHAnsi"/>
          <w:i/>
          <w:iCs/>
          <w:color w:val="000000"/>
          <w:shd w:val="clear" w:color="auto" w:fill="FFFFFF"/>
        </w:rPr>
        <w:t>The Ethics of Computing</w:t>
      </w:r>
      <w:r w:rsidRPr="005E72E2">
        <w:rPr>
          <w:rFonts w:cstheme="minorHAnsi"/>
          <w:color w:val="000000"/>
          <w:shd w:val="clear" w:color="auto" w:fill="FFFFFF"/>
        </w:rPr>
        <w:t>.</w:t>
      </w:r>
    </w:p>
    <w:p w14:paraId="7A6838EF" w14:textId="77777777" w:rsidR="005E72E2" w:rsidRPr="005E72E2" w:rsidRDefault="005E72E2" w:rsidP="005E72E2">
      <w:pPr>
        <w:spacing w:line="360" w:lineRule="auto"/>
        <w:rPr>
          <w:rFonts w:cstheme="minorHAnsi"/>
        </w:rPr>
      </w:pPr>
    </w:p>
    <w:sectPr w:rsidR="005E72E2" w:rsidRPr="005E7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4B"/>
    <w:rsid w:val="000E6D15"/>
    <w:rsid w:val="001A2962"/>
    <w:rsid w:val="00263ED2"/>
    <w:rsid w:val="003E0D4B"/>
    <w:rsid w:val="004C5B2C"/>
    <w:rsid w:val="005E72E2"/>
    <w:rsid w:val="008B1CB2"/>
    <w:rsid w:val="00923C35"/>
    <w:rsid w:val="00A650AA"/>
    <w:rsid w:val="00B36B55"/>
    <w:rsid w:val="00CA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E967"/>
  <w15:chartTrackingRefBased/>
  <w15:docId w15:val="{16711096-2C13-4C9B-B3A6-EE787321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0D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0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3</cp:revision>
  <dcterms:created xsi:type="dcterms:W3CDTF">2022-01-30T01:58:00Z</dcterms:created>
  <dcterms:modified xsi:type="dcterms:W3CDTF">2022-04-17T02:28:00Z</dcterms:modified>
</cp:coreProperties>
</file>