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pBdr>
          <w:bottom w:val="single" w:sz="18" w:space="8" w:color="1E3A8A"/>
        </w:pBdr>
      </w:pPr>
      <w:r>
        <w:rPr>
          <w:b/>
          <w:rtl/>
          <w:sz w:val="40"/>
          <w:color w:val="1E3A8A"/>
        </w:rPr>
        <w:t>ترجمه اختصاصی فارسی: mixed_empty.pdf</w:t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۱: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(این صفحه فاقد متن قابل استخراج بود یا شامل نمودار تصویری بدون متن است)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۳: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4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(این صفحه فاقد متن قابل استخراج بود یا شامل نمودار تصویری بدون متن است)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5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۵: مقدمه و تحلیل فنی معماری.</w:t>
      </w:r>
    </w:p>
    <w:p>
      <w:r>
        <w:br w:type="page"/>
      </w:r>
    </w:p>
    <w:sectPr>
      <w:pgSz w:w="11906" w:h="16838"/>
      <w:bidi/>
    </w:sectPr>
  </w:body>
</w:document>
</file>

<file path=word/_rels/document.xml.rels><?xml version="1.0" encoding="UTF-8" standalone="yes"?>
<Relationships xmlns="http://schemas.openxmlformats.org/package/2006/relationships"/>
</file>