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pBdr>
          <w:bottom w:val="single" w:sz="18" w:space="8" w:color="1E3A8A"/>
        </w:pBdr>
      </w:pPr>
      <w:r>
        <w:rPr>
          <w:b/>
          <w:rtl/>
          <w:sz w:val="40"/>
          <w:color w:val="1E3A8A"/>
        </w:rPr>
        <w:t>ترجمه اختصاصی فارسی: test5_1p_mixed.pdf</w:t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کد خطای OBD-II شماره P0300 برای مدل 2024 خودروی CHANGAN Alsvin در وب‌سایت https: //changan.com</w:t>
      </w:r>
    </w:p>
    <w:p>
      <w:r>
        <w:br w:type="page"/>
      </w:r>
    </w:p>
    <w:sectPr>
      <w:pgSz w:w="11906" w:h="16838"/>
      <w:bidi/>
    </w:sectPr>
  </w:body>
</w:document>
</file>

<file path=word/_rels/document.xml.rels><?xml version="1.0" encoding="UTF-8" standalone="yes"?>
<Relationships xmlns="http://schemas.openxmlformats.org/package/2006/relationships"/>
</file>