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2752DD"/>
          <w:sz w:val="56"/>
          <w:szCs w:val="56"/>
        </w:rPr>
        <w:t xml:space="preserve">Liganx</w:t>
      </w:r>
    </w:p>
    <w:p>
      <w:pPr>
        <w:spacing w:after="720"/>
        <w:jc w:val="center"/>
      </w:pPr>
      <w:r>
        <w:rPr>
          <w:rFonts w:ascii="Arial" w:cs="Arial" w:eastAsia="Arial" w:hAnsi="Arial"/>
          <w:color w:val="0F172A"/>
          <w:sz w:val="32"/>
          <w:szCs w:val="32"/>
        </w:rPr>
        <w:t xml:space="preserve">Competitive landscape — docking services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Where Liganx fits in the molecular-docking ecosystem: a synthesis across four research surveys covering free/academic web servers, ML-based AI docking, commercial enterprise platforms, and mutation-specific structural tools.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Compiled April 29,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Executive summary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Four parallel research agents surveyed every credible online docking service usable in April 2026, plus the mutation-specific structural tools that overlap with Liganx's core question (“does this drug bind better against the T790M mutant?”). The findings are consistent across all four categories: Liganx occupies a workflow gap that nobody else fills, and we should position around that, not around docking-engine accuracy.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honest landscape: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Free academic servers (SwissDock, DockThor, HADDOCK) handle one compound at a time and require manual PDB prep for mutants. Several once-prominent servers from the 2010s are now dead URLs (CB-Dock, MTiOpenScreen, Mcule 1-Click).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ML-based docking (AlphaFold Server, DiffDock, Boltz, Chai-1, RoseTTAFold-AA, Protenix) has matured but underperforms Vina on novel chemistry per the PoseBench benchmark. None natively support mutation matrices: each variant requires a fresh inference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Commercial enterprise tools (Schrödinger Maestro, OpenEye, MOE, GOLD, ICM-Pro) cost $20k–$500k+/yr per seat. They have superior scoring and FEP capabilities but no built-in WT-vs-mutant selectivity-matrix UI — even paying customers script it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Mutation-specific predictors (FoldX, mCSM, MutaBind2, AlphaMissense) mostly answer protein stability or pathogenicity, not drug-binding-pose changes. Only mCSM-lig touches small-molecule ΔΔG against mutants, and it's a single-prediction tool with no batch UI.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Liganx's defensible position: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Only free service with a built-in WT-vs-mutant selectivity matrix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Only platform combining mutation-aware docking + PoseBusters validation + ProLIF interaction analysis + plain-English interpretation in one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GPU-accelerated batch docking (QuickVina2-GPU under the hood) puts a 5-compound × 5-mutant matrix in front of the user in minutes, not hours.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What we don't compete on (and shouldn't claim):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Free-energy perturbation (Schrödinger FEP+ owns this; we don't run 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Billion-compound virtual screening at scale (Atomwise, OpenEye Orion territory).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Frontier ML structure prediction (AlphaFold Server, RoseTTAFold-AA solve a different problem — use them for the WT structure if needed, then dock with us).</w:t>
      </w:r>
    </w:p>
    <w:p>
      <w:r>
        <w:br w:type="page"/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Master comparison matrix</w:t>
      </w:r>
    </w:p>
    <w:p>
      <w:pPr>
        <w:spacing w:after="2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credible online docking services ranked against Liganx on the dimensions that drive a researcher's tool choice. Schrödinger Maestro and OpenEye FRED are the most direct feature competitors but require licenses; the free tier (SwissDock, DockThor, HADDOCK, ML cofolders) lacks the mutation-matrix workflow entirely.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1400"/>
        <w:gridCol w:w="1100"/>
        <w:gridCol w:w="1100"/>
        <w:gridCol w:w="1300"/>
        <w:gridCol w:w="1300"/>
        <w:gridCol w:w="11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/ yr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Mutation matrix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WT vs mutant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3D viewer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2D 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Pose validation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Plain-English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2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2DD"/>
                <w:sz w:val="18"/>
                <w:szCs w:val="18"/>
              </w:rPr>
              <w:t xml:space="preserve">Liganx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Vina (GPU)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SwissDock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Vina (legacy)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DockThor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Smina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HADDOCK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(acad.)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MD/restraints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AlphaFold Server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(cap)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DeepMind 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DiffDock-L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(HF)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Diffusion 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Boltz-2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Cofolding 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Chai-1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(cap)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Cofolding 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Schrödinger Maestro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$30–80k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Glide / FEP+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OpenEye FRED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$25–70k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FRED / Hybrid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MOE (CCG)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$20–50k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Proprietary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GOLD (CCDC)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$30–80k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Genetic algo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mCSM-lig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Graph kernel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FoldX online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Empirical FF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Reflects publicly available features as of April 29, 2026. Pricing for commercial tools is approximate per-seat per-year; site / enterprise licenses vary widely. “Partial” means the capability exists in some form but not as a built-in workflow.</w:t>
      </w:r>
    </w:p>
    <w:p>
      <w:pPr>
        <w:sectPr>
          <w:footerReference w:type="default" r:id="rId8"/>
          <w:pgSz w:w="15840" w:h="12240" w:orient="landscape"/>
          <w:pgMar w:top="1080" w:right="720" w:bottom="1080" w:left="72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Category breakdowns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Free · academic web servers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Three actively-maintained services dominate this tier: SwissDock (UNIL/SIB, Switzerland), DockThor (LNCC, Brazil), and HADDOCK (Utrecht). Each handles one compound vs one target per submission; none has a built-in mutation-comparison workflow. The user must manually prepare the mutant PDB, re-submit, and inspect side-by-side.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Notable status updates: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SwissDock is currently experiencing technical issues with its Vina engine. Mcule's 1-Click Docking is offline (404). The legacy AutoDock Vina web server at Scripps is archival only — it carries a notice that the site is information-only, and only the v1.1.2 codebase from 2011. CB-Dock, MTiOpenScreen, Achilles, ATTRACT, CavityPlus, BSP-SLIM, COACH-D, and EADock are all confirmed dead URLs.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Closest competitor: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DockThor is the strongest active free server in this tier. It uses Smina (a Vina fork with improved scoring) and produces ranked poses with contact maps. But it's still single-compound, single-target, and has no mutation workflow.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ML · AI cofolding and docking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most-watched category in 2026. AlphaFold Server (Google DeepMind) is the only one with a polished consumer web app; the rest are either local installs (Boltz-1/2), Hugging Face Spaces (DiffDock), or rate-limited research servers (Chai-1, Protenix).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honest validation story: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PoseBench (Buttenschoen et al., 2024 — the standard pose-quality benchmark) showed that current ML dockers struggle on novel ligand chemistry. They tend to memorize PDBbind training-set complexes rather than generalize. AlphaFold Server itself “struggles with novel protein–ligand binding poses” per a Nature Machine Intelligence paper from January 2025. None of these tools natively run a mutation series — each variant requires a full inference pass.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Implication for Liganx: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Use AlphaFold Server as a complement, not a competitor — it's the right tool for predicting an apo WT structure. Then dock with Liganx for the mutation series. Frame Liganx as binding-mode + mutation matrix; frame AlphaFold Server as structure prediction. They solve orthogonal problems.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Commercial · enterprise platforms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Schrödinger Maestro (with Glide and FEP+), OpenEye Scientific, Chemical Computing Group MOE, CCDC GOLD, BIOVIA Discovery Studio, Cresset Flare, and Molsoft ICM-Pro are the major paid platforms. License fees range from roughly $20k–$80k/yr for a single seat to $200k+/yr at site or enterprise tiers, with Atomwise and Insilico Medicine commanding $500k–$1M+ for partnership deals.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What they do better than us: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Schrödinger has Glide-XP for high-accuracy docking, FEP+ for true free-energy prediction, and 20+ years of validation literature. OpenEye OEMega has best-in-class conformer generation. MOE has unmatched 2D/3D chemical sketching. GOLD does flexible side-chain sampling that Vina struggles with.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What no commercial platform does: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 built-in wild-type-vs-mutant selectivity-matrix UI. Even paying Schrödinger customers run mutant docking by scripting their own pipeline — building each mutant receptor in Maestro, running Glide separately, then assembling a comparison spreadsheet manually. That's the workflow gap Liganx fills.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Direct comparison — Schrödinger Maestro vs Liganx: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Maestro wins on scoring accuracy (Glide-XP &gt; Vina on benchmark sets), free-energy prediction (FEP+ has no Liganx equivalent), and ecosystem (LiveDesign, QikProp, MacroModel). Liganx wins on cost (free vs $30k+/yr), accessibility (web vs IT-managed install), the mutation matrix UI, and time-to-first-result (5 minutes vs hours-of-scripting).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Mutation-specific structural tools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Most tools in this category answer different questions than Liganx. They predict protein stability change (FoldX, I-Mutant3.0, PoPMuSiC, SDM2, DeepDDG, ThermoMPNN), protein–protein affinity change (mCSM-PPI2, MutaBind2, DUET), or pathogenicity (AlphaMissense, PROVEAN, MutPred2).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one direct overlap: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mCSM-lig (Pires &amp; Ascher, University of Melbourne) predicts how mutations shift small-molecule binding affinity. It outputs a single ΔΔG value per (protein, mutation, ligand) triple. It does not re-dock the pose, doesn't show why binding changed, has no batch UI, and provides no PoseBusters-style validation. Liganx delivers the full picture mCSM-lig only hints at.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FoldX online: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Excellent for protein-stability ΔΔG but doesn't model the ligand. Useful upstream of Liganx to flag whether a mutation destabilizes the receptor at all — then Liganx does the docking pose work.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AlphaMissense: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Pathogenicity classifier, orthogonal to drug binding. Useful for filtering which clinical mutations to prioritize; not a docking competitor.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Strategic positioning recommendations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1. Lean into the mutation-matrix workflow as the moat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Across all four categories, the consistent finding is that no other free or paid tool delivers a wild-type-vs-mutant selectivity matrix as a first-class workflow. Even Schrödinger users build it manually. Every comparison artifact — homepage, marketing site, sales decks — should put this at the top.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 Position AlphaFold Server as a complement, not a competitor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AlphaFold Server is the most-Googled name in our space and it's not going away. Pre-empt the “why not just use AlphaFold?” question by saying explicitly: AlphaFold Server predicts structures; Liganx ranks binding poses against mutations. Use it upstream of us when no PDB exists for the target.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 Don't claim to compete with FEP / MM-GBSA on accuracy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Schrödinger FEP+ is the gold standard for absolute binding free energy and we don't run molecular dynamics. Liganx delivers Vina-scale rankings, which are excellent for triage and selectivity but won't replace FEP for nomination decisions. Saying so explicitly makes the rest of our claims more credible.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 Cite PoseBench when the ML question comes up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PoseBench (Buttenschoen et al., 2024, Nature Machine Intelligence) is the authoritative benchmark showing current ML dockers don't beat physics-based methods on novel chemistry. Linking to it deflects the “isn't AlphaFold-style ML the future” skepticism with peer-reviewed evidence.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 Ship a public comparison page that ages well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homepage table is good but should be supplemented with a deeper /compare page that lists every service from this report with the date, status, and one-line verdict. Footnoted, citation-linked, datestamped — hard to challenge as the field shifts.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 Don't add features just to match commercial tools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MM-GBSA, FEP, billion-scale virtual screening, generative chemistry — those are commercial-tool territory. We should ship water-displacement analysis (already on the roadmap) and possibly Boltz-2 alongside Vina as an alternative scoring engine, but only if they make the mutation workflow more useful, not just to puff the feature list.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Source documents: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Four full agent reports are saved alongside this synthesis: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free_academic_docking_services_2026.md — SwissDock, DockThor, HADDOCK, UCSF DOCK, defunct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ml_docking_survey_2026.md — AlphaFold Server, DiffDock, Boltz, Chai-1, RoseTTAFold-AA, Protenix, NeuralPLexer, Equibind, TankBind, Uni-Mol-Docking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Commercial_Docking_Competitors_vs_Liganx.md — 12 enterprise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mutation_prediction_tools_vs_liganx.md — 17 mutation-specific tools across stability, PPI, small-molecule ΔΔG, and pathogenicity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Liganx competitive landscape ·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Liganx competitive landscape ·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Liganx competitive landscape ·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2026-04-29T22:39:31.338Z</dcterms:created>
  <dcterms:modified xsi:type="dcterms:W3CDTF">2026-04-29T22:39:31.339Z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