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60"/>
        <w:jc w:val="center"/>
      </w:pPr>
      <w:r>
        <w:rPr>
          <w:rFonts w:ascii="Arial" w:cs="Arial" w:eastAsia="Arial" w:hAnsi="Arial"/>
          <w:b/>
          <w:bCs/>
          <w:color w:val="2752DD"/>
          <w:sz w:val="40"/>
          <w:szCs w:val="40"/>
        </w:rPr>
        <w:t xml:space="preserve">Liganx vs the field</w:t>
      </w:r>
    </w:p>
    <w:p>
      <w:pPr>
        <w:spacing w:after="240" w:before="0"/>
        <w:jc w:val="center"/>
      </w:pPr>
      <w:r>
        <w:rPr>
          <w:rFonts w:ascii="Arial" w:cs="Arial" w:eastAsia="Arial" w:hAnsi="Arial"/>
          <w:i/>
          <w:iCs/>
          <w:color w:val="64748B"/>
          <w:sz w:val="20"/>
          <w:szCs w:val="20"/>
        </w:rPr>
        <w:t xml:space="preserve">A one-page comparison across the four categories of docking &amp; mutation tools, with cost.</w:t>
      </w:r>
    </w:p>
    <w:tbl>
      <w:tblPr>
        <w:tblW w:type="dxa" w:w="105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28"/>
        <w:gridCol w:w="2028"/>
        <w:gridCol w:w="2028"/>
        <w:gridCol w:w="2028"/>
      </w:tblGrid>
      <w:tr>
        <w:trPr>
          <w:tblHeader/>
        </w:trP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F3FB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/>
            </w:r>
          </w:p>
        </w:tc>
        <w:tc>
          <w:tcPr>
            <w:tcW w:type="dxa" w:w="202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F3FB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Liganx</w:t>
            </w:r>
          </w:p>
        </w:tc>
        <w:tc>
          <w:tcPr>
            <w:tcW w:type="dxa" w:w="202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F3FB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Commercial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(Schrödinger,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OpenEye, MOE)</w:t>
            </w:r>
          </w:p>
        </w:tc>
        <w:tc>
          <w:tcPr>
            <w:tcW w:type="dxa" w:w="202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F3FB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Online / free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(SwissDock,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DockThor, AlphaFold)</w:t>
            </w:r>
          </w:p>
        </w:tc>
        <w:tc>
          <w:tcPr>
            <w:tcW w:type="dxa" w:w="202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F3FB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Mutation tools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(FoldX, mCSM,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MutaBind2)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Annual cost</w:t>
            </w:r>
          </w:p>
        </w:tc>
        <w:tc>
          <w:tcPr>
            <w:tcW w:type="dxa" w:w="202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3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Free</w:t>
            </w:r>
          </w:p>
        </w:tc>
        <w:tc>
          <w:tcPr>
            <w:tcW w:type="dxa" w:w="202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$20k–$500k+</w:t>
            </w:r>
          </w:p>
        </w:tc>
        <w:tc>
          <w:tcPr>
            <w:tcW w:type="dxa" w:w="202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Free</w:t>
            </w:r>
          </w:p>
        </w:tc>
        <w:tc>
          <w:tcPr>
            <w:tcW w:type="dxa" w:w="202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Free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Mutation-aware workflow</w:t>
            </w:r>
          </w:p>
        </w:tc>
        <w:tc>
          <w:tcPr>
            <w:tcW w:type="dxa" w:w="202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3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0F6E56"/>
                <w:sz w:val="22"/>
                <w:szCs w:val="22"/>
              </w:rPr>
              <w:t xml:space="preserve">✓</w:t>
            </w:r>
          </w:p>
        </w:tc>
        <w:tc>
          <w:tcPr>
            <w:tcW w:type="dxa" w:w="202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854F0B"/>
                <w:sz w:val="16"/>
                <w:szCs w:val="16"/>
              </w:rPr>
              <w:t xml:space="preserve">partial</w:t>
            </w:r>
          </w:p>
        </w:tc>
        <w:tc>
          <w:tcPr>
            <w:tcW w:type="dxa" w:w="202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64748B"/>
                <w:sz w:val="22"/>
                <w:szCs w:val="22"/>
              </w:rPr>
              <w:t xml:space="preserve">—</w:t>
            </w:r>
          </w:p>
        </w:tc>
        <w:tc>
          <w:tcPr>
            <w:tcW w:type="dxa" w:w="202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0F6E56"/>
                <w:sz w:val="22"/>
                <w:szCs w:val="22"/>
              </w:rPr>
              <w:t xml:space="preserve">✓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WT vs mutant matrix</w:t>
            </w:r>
          </w:p>
        </w:tc>
        <w:tc>
          <w:tcPr>
            <w:tcW w:type="dxa" w:w="202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3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0F6E56"/>
                <w:sz w:val="22"/>
                <w:szCs w:val="22"/>
              </w:rPr>
              <w:t xml:space="preserve">✓</w:t>
            </w:r>
          </w:p>
        </w:tc>
        <w:tc>
          <w:tcPr>
            <w:tcW w:type="dxa" w:w="202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64748B"/>
                <w:sz w:val="22"/>
                <w:szCs w:val="22"/>
              </w:rPr>
              <w:t xml:space="preserve">—</w:t>
            </w:r>
          </w:p>
        </w:tc>
        <w:tc>
          <w:tcPr>
            <w:tcW w:type="dxa" w:w="202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64748B"/>
                <w:sz w:val="22"/>
                <w:szCs w:val="22"/>
              </w:rPr>
              <w:t xml:space="preserve">—</w:t>
            </w:r>
          </w:p>
        </w:tc>
        <w:tc>
          <w:tcPr>
            <w:tcW w:type="dxa" w:w="202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64748B"/>
                <w:sz w:val="22"/>
                <w:szCs w:val="22"/>
              </w:rPr>
              <w:t xml:space="preserve">—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Plain-English interpretation</w:t>
            </w:r>
          </w:p>
        </w:tc>
        <w:tc>
          <w:tcPr>
            <w:tcW w:type="dxa" w:w="202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3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0F6E56"/>
                <w:sz w:val="22"/>
                <w:szCs w:val="22"/>
              </w:rPr>
              <w:t xml:space="preserve">✓</w:t>
            </w:r>
          </w:p>
        </w:tc>
        <w:tc>
          <w:tcPr>
            <w:tcW w:type="dxa" w:w="202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64748B"/>
                <w:sz w:val="22"/>
                <w:szCs w:val="22"/>
              </w:rPr>
              <w:t xml:space="preserve">—</w:t>
            </w:r>
          </w:p>
        </w:tc>
        <w:tc>
          <w:tcPr>
            <w:tcW w:type="dxa" w:w="202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64748B"/>
                <w:sz w:val="22"/>
                <w:szCs w:val="22"/>
              </w:rPr>
              <w:t xml:space="preserve">—</w:t>
            </w:r>
          </w:p>
        </w:tc>
        <w:tc>
          <w:tcPr>
            <w:tcW w:type="dxa" w:w="202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64748B"/>
                <w:sz w:val="22"/>
                <w:szCs w:val="22"/>
              </w:rPr>
              <w:t xml:space="preserve">—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Outside-pocket warning</w:t>
            </w:r>
          </w:p>
        </w:tc>
        <w:tc>
          <w:tcPr>
            <w:tcW w:type="dxa" w:w="202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3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0F6E56"/>
                <w:sz w:val="22"/>
                <w:szCs w:val="22"/>
              </w:rPr>
              <w:t xml:space="preserve">✓</w:t>
            </w:r>
          </w:p>
        </w:tc>
        <w:tc>
          <w:tcPr>
            <w:tcW w:type="dxa" w:w="202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64748B"/>
                <w:sz w:val="22"/>
                <w:szCs w:val="22"/>
              </w:rPr>
              <w:t xml:space="preserve">—</w:t>
            </w:r>
          </w:p>
        </w:tc>
        <w:tc>
          <w:tcPr>
            <w:tcW w:type="dxa" w:w="202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64748B"/>
                <w:sz w:val="22"/>
                <w:szCs w:val="22"/>
              </w:rPr>
              <w:t xml:space="preserve">—</w:t>
            </w:r>
          </w:p>
        </w:tc>
        <w:tc>
          <w:tcPr>
            <w:tcW w:type="dxa" w:w="202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64748B"/>
                <w:sz w:val="22"/>
                <w:szCs w:val="22"/>
              </w:rPr>
              <w:t xml:space="preserve">—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Pose validation built in</w:t>
            </w:r>
          </w:p>
        </w:tc>
        <w:tc>
          <w:tcPr>
            <w:tcW w:type="dxa" w:w="202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3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0F6E56"/>
                <w:sz w:val="22"/>
                <w:szCs w:val="22"/>
              </w:rPr>
              <w:t xml:space="preserve">✓</w:t>
            </w:r>
          </w:p>
        </w:tc>
        <w:tc>
          <w:tcPr>
            <w:tcW w:type="dxa" w:w="202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0F6E56"/>
                <w:sz w:val="22"/>
                <w:szCs w:val="22"/>
              </w:rPr>
              <w:t xml:space="preserve">✓</w:t>
            </w:r>
          </w:p>
        </w:tc>
        <w:tc>
          <w:tcPr>
            <w:tcW w:type="dxa" w:w="202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64748B"/>
                <w:sz w:val="22"/>
                <w:szCs w:val="22"/>
              </w:rPr>
              <w:t xml:space="preserve">—</w:t>
            </w:r>
          </w:p>
        </w:tc>
        <w:tc>
          <w:tcPr>
            <w:tcW w:type="dxa" w:w="202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64748B"/>
                <w:sz w:val="22"/>
                <w:szCs w:val="22"/>
              </w:rPr>
              <w:t xml:space="preserve">—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2D interaction map</w:t>
            </w:r>
          </w:p>
        </w:tc>
        <w:tc>
          <w:tcPr>
            <w:tcW w:type="dxa" w:w="202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3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0F6E56"/>
                <w:sz w:val="22"/>
                <w:szCs w:val="22"/>
              </w:rPr>
              <w:t xml:space="preserve">✓</w:t>
            </w:r>
          </w:p>
        </w:tc>
        <w:tc>
          <w:tcPr>
            <w:tcW w:type="dxa" w:w="202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0F6E56"/>
                <w:sz w:val="22"/>
                <w:szCs w:val="22"/>
              </w:rPr>
              <w:t xml:space="preserve">✓</w:t>
            </w:r>
          </w:p>
        </w:tc>
        <w:tc>
          <w:tcPr>
            <w:tcW w:type="dxa" w:w="202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854F0B"/>
                <w:sz w:val="16"/>
                <w:szCs w:val="16"/>
              </w:rPr>
              <w:t xml:space="preserve">partial</w:t>
            </w:r>
          </w:p>
        </w:tc>
        <w:tc>
          <w:tcPr>
            <w:tcW w:type="dxa" w:w="202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64748B"/>
                <w:sz w:val="22"/>
                <w:szCs w:val="22"/>
              </w:rPr>
              <w:t xml:space="preserve">—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3D pose viewer</w:t>
            </w:r>
          </w:p>
        </w:tc>
        <w:tc>
          <w:tcPr>
            <w:tcW w:type="dxa" w:w="202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3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0F6E56"/>
                <w:sz w:val="22"/>
                <w:szCs w:val="22"/>
              </w:rPr>
              <w:t xml:space="preserve">✓</w:t>
            </w:r>
          </w:p>
        </w:tc>
        <w:tc>
          <w:tcPr>
            <w:tcW w:type="dxa" w:w="202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0F6E56"/>
                <w:sz w:val="22"/>
                <w:szCs w:val="22"/>
              </w:rPr>
              <w:t xml:space="preserve">✓</w:t>
            </w:r>
          </w:p>
        </w:tc>
        <w:tc>
          <w:tcPr>
            <w:tcW w:type="dxa" w:w="202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854F0B"/>
                <w:sz w:val="16"/>
                <w:szCs w:val="16"/>
              </w:rPr>
              <w:t xml:space="preserve">partial</w:t>
            </w:r>
          </w:p>
        </w:tc>
        <w:tc>
          <w:tcPr>
            <w:tcW w:type="dxa" w:w="202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64748B"/>
                <w:sz w:val="22"/>
                <w:szCs w:val="22"/>
              </w:rPr>
              <w:t xml:space="preserve">—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Drug-likeness (QED, Ro5)</w:t>
            </w:r>
          </w:p>
        </w:tc>
        <w:tc>
          <w:tcPr>
            <w:tcW w:type="dxa" w:w="202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3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0F6E56"/>
                <w:sz w:val="22"/>
                <w:szCs w:val="22"/>
              </w:rPr>
              <w:t xml:space="preserve">✓</w:t>
            </w:r>
          </w:p>
        </w:tc>
        <w:tc>
          <w:tcPr>
            <w:tcW w:type="dxa" w:w="202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0F6E56"/>
                <w:sz w:val="22"/>
                <w:szCs w:val="22"/>
              </w:rPr>
              <w:t xml:space="preserve">✓</w:t>
            </w:r>
          </w:p>
        </w:tc>
        <w:tc>
          <w:tcPr>
            <w:tcW w:type="dxa" w:w="202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64748B"/>
                <w:sz w:val="22"/>
                <w:szCs w:val="22"/>
              </w:rPr>
              <w:t xml:space="preserve">—</w:t>
            </w:r>
          </w:p>
        </w:tc>
        <w:tc>
          <w:tcPr>
            <w:tcW w:type="dxa" w:w="202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64748B"/>
                <w:sz w:val="22"/>
                <w:szCs w:val="22"/>
              </w:rPr>
              <w:t xml:space="preserve">—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GPU batch docking</w:t>
            </w:r>
          </w:p>
        </w:tc>
        <w:tc>
          <w:tcPr>
            <w:tcW w:type="dxa" w:w="202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3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0F6E56"/>
                <w:sz w:val="22"/>
                <w:szCs w:val="22"/>
              </w:rPr>
              <w:t xml:space="preserve">✓</w:t>
            </w:r>
          </w:p>
        </w:tc>
        <w:tc>
          <w:tcPr>
            <w:tcW w:type="dxa" w:w="202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854F0B"/>
                <w:sz w:val="16"/>
                <w:szCs w:val="16"/>
              </w:rPr>
              <w:t xml:space="preserve">partial</w:t>
            </w:r>
          </w:p>
        </w:tc>
        <w:tc>
          <w:tcPr>
            <w:tcW w:type="dxa" w:w="202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64748B"/>
                <w:sz w:val="22"/>
                <w:szCs w:val="22"/>
              </w:rPr>
              <w:t xml:space="preserve">—</w:t>
            </w:r>
          </w:p>
        </w:tc>
        <w:tc>
          <w:tcPr>
            <w:tcW w:type="dxa" w:w="202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64748B"/>
                <w:sz w:val="22"/>
                <w:szCs w:val="22"/>
              </w:rPr>
              <w:t xml:space="preserve">—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No install (web)</w:t>
            </w:r>
          </w:p>
        </w:tc>
        <w:tc>
          <w:tcPr>
            <w:tcW w:type="dxa" w:w="202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3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0F6E56"/>
                <w:sz w:val="22"/>
                <w:szCs w:val="22"/>
              </w:rPr>
              <w:t xml:space="preserve">✓</w:t>
            </w:r>
          </w:p>
        </w:tc>
        <w:tc>
          <w:tcPr>
            <w:tcW w:type="dxa" w:w="202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64748B"/>
                <w:sz w:val="22"/>
                <w:szCs w:val="22"/>
              </w:rPr>
              <w:t xml:space="preserve">—</w:t>
            </w:r>
          </w:p>
        </w:tc>
        <w:tc>
          <w:tcPr>
            <w:tcW w:type="dxa" w:w="202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0F6E56"/>
                <w:sz w:val="22"/>
                <w:szCs w:val="22"/>
              </w:rPr>
              <w:t xml:space="preserve">✓</w:t>
            </w:r>
          </w:p>
        </w:tc>
        <w:tc>
          <w:tcPr>
            <w:tcW w:type="dxa" w:w="202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0F6E56"/>
                <w:sz w:val="22"/>
                <w:szCs w:val="22"/>
              </w:rPr>
              <w:t xml:space="preserve">✓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Free-energy / FEP</w:t>
            </w:r>
          </w:p>
        </w:tc>
        <w:tc>
          <w:tcPr>
            <w:tcW w:type="dxa" w:w="202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3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64748B"/>
                <w:sz w:val="22"/>
                <w:szCs w:val="22"/>
              </w:rPr>
              <w:t xml:space="preserve">—</w:t>
            </w:r>
          </w:p>
        </w:tc>
        <w:tc>
          <w:tcPr>
            <w:tcW w:type="dxa" w:w="202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0F6E56"/>
                <w:sz w:val="22"/>
                <w:szCs w:val="22"/>
              </w:rPr>
              <w:t xml:space="preserve">✓</w:t>
            </w:r>
          </w:p>
        </w:tc>
        <w:tc>
          <w:tcPr>
            <w:tcW w:type="dxa" w:w="202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64748B"/>
                <w:sz w:val="22"/>
                <w:szCs w:val="22"/>
              </w:rPr>
              <w:t xml:space="preserve">—</w:t>
            </w:r>
          </w:p>
        </w:tc>
        <w:tc>
          <w:tcPr>
            <w:tcW w:type="dxa" w:w="202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854F0B"/>
                <w:sz w:val="16"/>
                <w:szCs w:val="16"/>
              </w:rPr>
              <w:t xml:space="preserve">partial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Time to first result</w:t>
            </w:r>
          </w:p>
        </w:tc>
        <w:tc>
          <w:tcPr>
            <w:tcW w:type="dxa" w:w="202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3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~3 min</w:t>
            </w:r>
          </w:p>
        </w:tc>
        <w:tc>
          <w:tcPr>
            <w:tcW w:type="dxa" w:w="202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Hours+</w:t>
            </w:r>
          </w:p>
        </w:tc>
        <w:tc>
          <w:tcPr>
            <w:tcW w:type="dxa" w:w="202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Hours</w:t>
            </w:r>
          </w:p>
        </w:tc>
        <w:tc>
          <w:tcPr>
            <w:tcW w:type="dxa" w:w="202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Minutes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color w:val="0F172A"/>
          <w:sz w:val="18"/>
          <w:szCs w:val="18"/>
        </w:rPr>
        <w:t xml:space="preserve"/>
      </w:r>
    </w:p>
    <w:p>
      <w:pPr>
        <w:spacing w:after="240" w:before="0"/>
      </w:pPr>
      <w:r>
        <w:rPr>
          <w:rFonts w:ascii="Arial" w:cs="Arial" w:eastAsia="Arial" w:hAnsi="Arial"/>
          <w:i/>
          <w:iCs/>
          <w:color w:val="64748B"/>
          <w:sz w:val="16"/>
          <w:szCs w:val="16"/>
        </w:rPr>
        <w:t xml:space="preserve">Reflects publicly known features as of April 2026. ‘partial’ means the capability exists in some form but isn't built-in as a workflow.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0F172A"/>
          <w:sz w:val="26"/>
          <w:szCs w:val="26"/>
        </w:rPr>
        <w:t xml:space="preserve">What this costs in dollars</w:t>
      </w:r>
    </w:p>
    <w:tbl>
      <w:tblPr>
        <w:tblW w:type="dxa" w:w="105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7012"/>
      </w:tblGrid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F3FB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costs</w:t>
            </w:r>
          </w:p>
        </w:tc>
        <w:tc>
          <w:tcPr>
            <w:tcW w:type="dxa" w:w="701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F3FB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Liganx</w:t>
            </w:r>
          </w:p>
        </w:tc>
        <w:tc>
          <w:tcPr>
            <w:tcW w:type="dxa" w:w="701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Free for users. Hosting cost ~$300–500/month at current usage (Fly.io backend + RunPod GPU + Supabase + Vercel + Cloudflare R2).</w:t>
            </w:r>
          </w:p>
        </w:tc>
      </w:tr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Commercial (Schrödinger Maestro / FEP+)</w:t>
            </w:r>
          </w:p>
        </w:tc>
        <w:tc>
          <w:tcPr>
            <w:tcW w:type="dxa" w:w="701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$30,000–$80,000 / yr per named-user seat. Site licenses commonly $200,000–$500,000+ / yr. Glide is bundled; FEP+ often a separate add-on.</w:t>
            </w:r>
          </w:p>
        </w:tc>
      </w:tr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Commercial (OpenEye, MOE, GOLD)</w:t>
            </w:r>
          </w:p>
        </w:tc>
        <w:tc>
          <w:tcPr>
            <w:tcW w:type="dxa" w:w="701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$20,000–$70,000 / yr per seat. Site licenses lower than Schrödinger but still six figures.</w:t>
            </w:r>
          </w:p>
        </w:tc>
      </w:tr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Online / free servers</w:t>
            </w:r>
          </w:p>
        </w:tc>
        <w:tc>
          <w:tcPr>
            <w:tcW w:type="dxa" w:w="701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Free. Single-compound, single-target submissions. SwissDock currently down; CB-Dock / MTiOpenScreen / Mcule 1-Click all dead URLs.</w:t>
            </w:r>
          </w:p>
        </w:tc>
      </w:tr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ML cofolders (AlphaFold Server, etc.)</w:t>
            </w:r>
          </w:p>
        </w:tc>
        <w:tc>
          <w:tcPr>
            <w:tcW w:type="dxa" w:w="701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Free with daily caps. Strong for structure prediction; underperforms Vina on novel ligand chemistry per PoseBench (Buttenschoen 2024).</w:t>
            </w:r>
          </w:p>
        </w:tc>
      </w:tr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Mutation tools (FoldX, mCSM, MutaBind2)</w:t>
            </w:r>
          </w:p>
        </w:tc>
        <w:tc>
          <w:tcPr>
            <w:tcW w:type="dxa" w:w="701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Free. Predict ΔΔG of stability or PPI; only mCSM-lig touches small-molecule ΔΔG and produces no pose, no batch UI.</w:t>
            </w:r>
          </w:p>
        </w:tc>
      </w:tr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Replacement cost (build like Liganx)</w:t>
            </w:r>
          </w:p>
        </w:tc>
        <w:tc>
          <w:tcPr>
            <w:tcW w:type="dxa" w:w="701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~6–9 person-months engineering ≈ $90k–$150k. Plus curated mutation library + docked-target validation work. Plus the ongoing cloud bill.</w:t>
            </w:r>
          </w:p>
        </w:tc>
      </w:tr>
    </w:tbl>
    <w:p>
      <w:pPr>
        <w:spacing w:after="200" w:before="0"/>
      </w:pPr>
      <w:r>
        <w:rPr>
          <w:rFonts w:ascii="Arial" w:cs="Arial" w:eastAsia="Arial" w:hAnsi="Arial"/>
          <w:color w:val="0F172A"/>
          <w:sz w:val="18"/>
          <w:szCs w:val="18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F172A"/>
          <w:sz w:val="26"/>
          <w:szCs w:val="26"/>
        </w:rPr>
        <w:t xml:space="preserve">Conclusion</w:t>
      </w:r>
    </w:p>
    <w:p>
      <w:pPr>
        <w:spacing w:after="100" w:before="0"/>
      </w:pPr>
      <w:r>
        <w:rPr>
          <w:rFonts w:ascii="Arial" w:cs="Arial" w:eastAsia="Arial" w:hAnsi="Arial"/>
          <w:color w:val="0F172A"/>
          <w:sz w:val="18"/>
          <w:szCs w:val="18"/>
        </w:rPr>
        <w:t xml:space="preserve">Liganx is the only free service that delivers a wild-type-vs-mutant selectivity-matrix workflow, with PoseBusters validation, ProLIF interaction analysis, and plain-English interpretation in a single web UI. Commercial platforms (Schrödinger, OpenEye, MOE) cost $20k–$500k+/yr per seat, win on scoring accuracy and free-energy methods, but still require their users to script the WT-vs-mutant comparison by hand. Free online servers and ML cofolders are single-compound, single-target tools and several legacy ones are now dead URLs. Mutation-specific tools (FoldX, mCSM, MutaBind2) answer adjacent questions — protein stability, PPI ΔΔG, pathogenicity — not drug-binding-pose changes against mutants.</w:t>
      </w:r>
    </w:p>
    <w:p>
      <w:pPr>
        <w:spacing w:after="80" w:before="0"/>
      </w:pPr>
      <w:r>
        <w:rPr>
          <w:rFonts w:ascii="Arial" w:cs="Arial" w:eastAsia="Arial" w:hAnsi="Arial"/>
          <w:color w:val="0F172A"/>
          <w:sz w:val="18"/>
          <w:szCs w:val="18"/>
        </w:rPr>
        <w:t xml:space="preserve">Liganx's defensible position is the workflow gap, not the docking engine. Position against AlphaFold Server as a complement (predict the structure there, dock the mutations here), against Schrödinger as the accessible alternative for triage and selectivity (FEP+ remains theirs), and against the academic free tier as the only one that runs many compounds against many mutants in minutes.</w:t>
      </w:r>
    </w:p>
    <w:sectPr>
      <w:pgSz w:w="12240" w:h="15840" w:orient="portrait"/>
      <w:pgMar w:top="864" w:right="864" w:bottom="864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0F172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220"/>
      <w:outlineLvl w:val="1"/>
    </w:pPr>
    <w:rPr>
      <w:rFonts w:ascii="Arial" w:cs="Arial" w:eastAsia="Arial" w:hAnsi="Arial"/>
      <w:b/>
      <w:bCs/>
      <w:color w:val="0F172A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2026-04-29T22:44:35.170Z</dcterms:created>
  <dcterms:modified xsi:type="dcterms:W3CDTF">2026-04-29T22:44:35.171Z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