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 (PROBABILITY)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b w:val="1"/>
          <w:color w:val="49505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Solve at least 3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calculating the number of ways of obtaining particular arrangements of objects and events.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 athlete has eight different trophies, but only has room for four trophies in a display cabinet. How many different ways is it possible to display just four trophies out of eight,  assuming that the display order is important?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football manager has a squad of 20 players. How many different teams of 11 players could be selected from the squad? (Hint: Assume that positions of the players are not important)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9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Are people happy in their marriages? The table shows results from the 2008 General Social Survey for married adults classified by gender and  level of happiness.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903.1567267683772"/>
        <w:gridCol w:w="1770.7406380027737"/>
        <w:gridCol w:w="1895.3675450762828"/>
        <w:gridCol w:w="1895.3675450762828"/>
        <w:gridCol w:w="1895.3675450762828"/>
        <w:tblGridChange w:id="0">
          <w:tblGrid>
            <w:gridCol w:w="1903.1567267683772"/>
            <w:gridCol w:w="1770.7406380027737"/>
            <w:gridCol w:w="1895.3675450762828"/>
            <w:gridCol w:w="1895.3675450762828"/>
            <w:gridCol w:w="1895.3675450762828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Gender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Very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Pretty Happy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 Not too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183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43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469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215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247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38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500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398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490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81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969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happy, </w:t>
        <w:br w:type="textWrapping"/>
        <w:t xml:space="preserve">(i) given that their gender is male and </w:t>
        <w:br w:type="textWrapping"/>
        <w:t xml:space="preserve">(ii) given that their gender is female.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For these subjects, are the events being very happy and being a male independent?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000000" w:rsidDel="00000000" w:rsidP="00000000" w:rsidRDefault="00000000" w:rsidRPr="00000000" w14:paraId="0000002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contingency table for Triple Blood Test of Down syndrome shown below.</w:t>
      </w:r>
    </w:p>
    <w:tbl>
      <w:tblPr>
        <w:tblStyle w:val="Table2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370"/>
        <w:gridCol w:w="2310"/>
        <w:gridCol w:w="2265"/>
        <w:tblGridChange w:id="0">
          <w:tblGrid>
            <w:gridCol w:w="2430"/>
            <w:gridCol w:w="2370"/>
            <w:gridCol w:w="2310"/>
            <w:gridCol w:w="226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NEG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 (Down)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17"/>
                <w:szCs w:val="17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 (unaffected)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1307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3921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1355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Given that a test result is negative, show that the probability the fetus actually has Down syndrome is P(D | NEG) = 0.0015.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Is P(D | NEG) equal to P(NEG | D)? If so, explain why. If not, find P(NEG | D).</w:t>
      </w:r>
    </w:p>
    <w:p w:rsidR="00000000" w:rsidDel="00000000" w:rsidP="00000000" w:rsidRDefault="00000000" w:rsidRPr="00000000" w14:paraId="00000037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4.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spacing w:after="240" w:lineRule="auto"/>
        <w:rPr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