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CF604" w14:textId="51F88264" w:rsidR="00D57866" w:rsidRPr="00AA314C" w:rsidRDefault="00D57866" w:rsidP="00D57866">
      <w:pPr>
        <w:jc w:val="right"/>
        <w:rPr>
          <w:sz w:val="24"/>
          <w:szCs w:val="24"/>
        </w:rPr>
      </w:pPr>
      <w:r w:rsidRPr="002D3A4F">
        <w:rPr>
          <w:sz w:val="24"/>
          <w:szCs w:val="24"/>
        </w:rPr>
        <w:t xml:space="preserve">Приложение № </w:t>
      </w:r>
      <w:r w:rsidR="00383DB3">
        <w:rPr>
          <w:sz w:val="24"/>
          <w:szCs w:val="24"/>
        </w:rPr>
        <w:t>4</w:t>
      </w:r>
    </w:p>
    <w:p w14:paraId="7D4FEE51" w14:textId="77777777" w:rsidR="002D3A4F" w:rsidRPr="002D3A4F" w:rsidRDefault="002D3A4F" w:rsidP="00665F7E">
      <w:pPr>
        <w:autoSpaceDE w:val="0"/>
        <w:autoSpaceDN w:val="0"/>
        <w:adjustRightInd w:val="0"/>
        <w:spacing w:after="160"/>
        <w:rPr>
          <w:b/>
          <w:bCs/>
          <w:szCs w:val="28"/>
        </w:rPr>
      </w:pPr>
    </w:p>
    <w:p w14:paraId="730AA4E2" w14:textId="0115046A" w:rsidR="00524160" w:rsidRPr="001C32FB" w:rsidRDefault="00524160" w:rsidP="00524160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6C6297">
        <w:rPr>
          <w:b/>
          <w:bCs/>
          <w:szCs w:val="28"/>
        </w:rPr>
        <w:t xml:space="preserve">Требования к расходам </w:t>
      </w:r>
      <w:r w:rsidRPr="001C32FB">
        <w:rPr>
          <w:b/>
          <w:bCs/>
          <w:szCs w:val="28"/>
        </w:rPr>
        <w:t>разработчика</w:t>
      </w:r>
      <w:r w:rsidR="00551383" w:rsidRPr="001C32FB">
        <w:rPr>
          <w:b/>
          <w:bCs/>
          <w:szCs w:val="28"/>
        </w:rPr>
        <w:t>/интегратора</w:t>
      </w:r>
    </w:p>
    <w:p w14:paraId="7F061DF3" w14:textId="0E692705" w:rsidR="00524160" w:rsidRPr="001C32FB" w:rsidRDefault="00524160" w:rsidP="00524160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1C32FB">
        <w:rPr>
          <w:b/>
          <w:bCs/>
          <w:szCs w:val="28"/>
        </w:rPr>
        <w:t>на реализацию проекта</w:t>
      </w:r>
    </w:p>
    <w:p w14:paraId="03209870" w14:textId="77777777" w:rsidR="00524160" w:rsidRPr="001C32FB" w:rsidRDefault="00524160" w:rsidP="00524160">
      <w:pPr>
        <w:autoSpaceDE w:val="0"/>
        <w:autoSpaceDN w:val="0"/>
        <w:adjustRightInd w:val="0"/>
        <w:jc w:val="center"/>
        <w:rPr>
          <w:b/>
          <w:bCs/>
          <w:szCs w:val="28"/>
        </w:rPr>
      </w:pPr>
    </w:p>
    <w:p w14:paraId="28B7F26F" w14:textId="3B737B57" w:rsidR="00524160" w:rsidRPr="001C32FB" w:rsidRDefault="00524160" w:rsidP="00684A4B">
      <w:pPr>
        <w:suppressAutoHyphens/>
        <w:spacing w:line="276" w:lineRule="auto"/>
        <w:ind w:firstLine="567"/>
        <w:contextualSpacing/>
        <w:rPr>
          <w:szCs w:val="28"/>
        </w:rPr>
      </w:pPr>
      <w:r w:rsidRPr="001C32FB">
        <w:rPr>
          <w:szCs w:val="28"/>
        </w:rPr>
        <w:t>При планировании расходов на доработку</w:t>
      </w:r>
      <w:r w:rsidR="00E41B29" w:rsidRPr="001C32FB">
        <w:rPr>
          <w:szCs w:val="28"/>
        </w:rPr>
        <w:t xml:space="preserve"> и внедрение</w:t>
      </w:r>
      <w:r w:rsidR="00B754B0" w:rsidRPr="001C32FB">
        <w:rPr>
          <w:szCs w:val="28"/>
        </w:rPr>
        <w:t xml:space="preserve"> российского </w:t>
      </w:r>
      <w:r w:rsidR="00E41B29" w:rsidRPr="001C32FB">
        <w:rPr>
          <w:szCs w:val="28"/>
        </w:rPr>
        <w:t xml:space="preserve">решения </w:t>
      </w:r>
      <w:r w:rsidRPr="001C32FB">
        <w:rPr>
          <w:szCs w:val="28"/>
        </w:rPr>
        <w:t>в рамках реализации проекта необходимо учитывать следующее</w:t>
      </w:r>
      <w:r w:rsidR="0018728D" w:rsidRPr="001C32FB">
        <w:rPr>
          <w:szCs w:val="28"/>
        </w:rPr>
        <w:t>.</w:t>
      </w:r>
      <w:r w:rsidRPr="001C32FB">
        <w:rPr>
          <w:szCs w:val="28"/>
        </w:rPr>
        <w:t xml:space="preserve"> </w:t>
      </w:r>
    </w:p>
    <w:p w14:paraId="33DC493E" w14:textId="76E4C731" w:rsidR="00524160" w:rsidRPr="001C32FB" w:rsidRDefault="00524160" w:rsidP="00684A4B">
      <w:pPr>
        <w:numPr>
          <w:ilvl w:val="0"/>
          <w:numId w:val="3"/>
        </w:numPr>
        <w:suppressAutoHyphens/>
        <w:spacing w:after="160" w:line="276" w:lineRule="auto"/>
        <w:ind w:left="0" w:firstLine="709"/>
        <w:contextualSpacing/>
        <w:rPr>
          <w:szCs w:val="28"/>
        </w:rPr>
      </w:pPr>
      <w:r w:rsidRPr="001C32FB">
        <w:rPr>
          <w:szCs w:val="28"/>
        </w:rPr>
        <w:t>Для целей реализации проекта учитываются расходы разработчика</w:t>
      </w:r>
      <w:r w:rsidR="00551383" w:rsidRPr="001C32FB">
        <w:rPr>
          <w:szCs w:val="28"/>
        </w:rPr>
        <w:t>/интегратора</w:t>
      </w:r>
      <w:r w:rsidRPr="001C32FB">
        <w:rPr>
          <w:szCs w:val="28"/>
        </w:rPr>
        <w:t xml:space="preserve">, понесенные не ранее начала финансового года, в котором принято решение о признании участника отбора победителем, при условии </w:t>
      </w:r>
      <w:r w:rsidR="00867384" w:rsidRPr="001C32FB">
        <w:rPr>
          <w:szCs w:val="28"/>
        </w:rPr>
        <w:t xml:space="preserve">их </w:t>
      </w:r>
      <w:r w:rsidRPr="001C32FB">
        <w:rPr>
          <w:szCs w:val="28"/>
        </w:rPr>
        <w:t>документального подтверждения участником отбора и разработчиком</w:t>
      </w:r>
      <w:r w:rsidR="00551383" w:rsidRPr="001C32FB">
        <w:rPr>
          <w:szCs w:val="28"/>
        </w:rPr>
        <w:t>/интегратором</w:t>
      </w:r>
      <w:r w:rsidRPr="001C32FB">
        <w:rPr>
          <w:szCs w:val="28"/>
        </w:rPr>
        <w:t xml:space="preserve"> </w:t>
      </w:r>
      <w:r w:rsidR="00867384" w:rsidRPr="001C32FB">
        <w:rPr>
          <w:szCs w:val="28"/>
        </w:rPr>
        <w:t>с целью</w:t>
      </w:r>
      <w:r w:rsidRPr="001C32FB">
        <w:rPr>
          <w:szCs w:val="28"/>
        </w:rPr>
        <w:t xml:space="preserve"> отделить расходы на реализацию проекта от расходов на основную финансово-хозяйственную деятельность организации.</w:t>
      </w:r>
    </w:p>
    <w:p w14:paraId="24F29CDA" w14:textId="5D1B3AE2" w:rsidR="00524160" w:rsidRPr="001C32FB" w:rsidRDefault="00EB7267" w:rsidP="00684A4B">
      <w:pPr>
        <w:numPr>
          <w:ilvl w:val="0"/>
          <w:numId w:val="3"/>
        </w:numPr>
        <w:suppressAutoHyphens/>
        <w:spacing w:line="276" w:lineRule="auto"/>
        <w:ind w:left="0" w:firstLine="709"/>
        <w:contextualSpacing/>
        <w:rPr>
          <w:szCs w:val="28"/>
        </w:rPr>
      </w:pPr>
      <w:r w:rsidRPr="001C32FB">
        <w:rPr>
          <w:szCs w:val="28"/>
        </w:rPr>
        <w:t xml:space="preserve">В рамках реализации проекта </w:t>
      </w:r>
      <w:r w:rsidR="00130E56" w:rsidRPr="001C32FB">
        <w:rPr>
          <w:szCs w:val="28"/>
        </w:rPr>
        <w:t xml:space="preserve">(за счет средств гранта и средств софинансирования) </w:t>
      </w:r>
      <w:r w:rsidR="00316D35" w:rsidRPr="001C32FB">
        <w:rPr>
          <w:szCs w:val="28"/>
        </w:rPr>
        <w:t>не допускается осуществление расходов на</w:t>
      </w:r>
      <w:r w:rsidR="00524160" w:rsidRPr="001C32FB">
        <w:rPr>
          <w:szCs w:val="28"/>
        </w:rPr>
        <w:t>:</w:t>
      </w:r>
    </w:p>
    <w:p w14:paraId="15038A7C" w14:textId="2F1C3733" w:rsidR="00FA1E56" w:rsidRPr="001C32FB" w:rsidRDefault="00BB1924" w:rsidP="00FA1E56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1C32FB">
        <w:rPr>
          <w:color w:val="000000"/>
          <w:szCs w:val="28"/>
        </w:rPr>
        <w:t>оплату договоров гражданско-правового характера, заключенных с физическими лицами, привлекаемыми для целей доработки и внедрения решения;</w:t>
      </w:r>
    </w:p>
    <w:p w14:paraId="2BBAD289" w14:textId="761D1703" w:rsidR="00FA1E56" w:rsidRPr="00FA1E56" w:rsidRDefault="00FA1E56" w:rsidP="00FA1E56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1C32FB">
        <w:rPr>
          <w:color w:val="000000"/>
          <w:szCs w:val="28"/>
        </w:rPr>
        <w:t>оплату расходов административно-управленческого персонала, затраты на содержание которого учитываются в составе</w:t>
      </w:r>
      <w:r w:rsidRPr="00FA1E56">
        <w:rPr>
          <w:color w:val="000000"/>
          <w:szCs w:val="28"/>
        </w:rPr>
        <w:t xml:space="preserve"> «Общехозяйственных расходов»;</w:t>
      </w:r>
    </w:p>
    <w:p w14:paraId="14F76039" w14:textId="277D8912" w:rsidR="00054A4D" w:rsidRPr="00FA1E56" w:rsidRDefault="00405D4B" w:rsidP="0051727D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FA1E56">
        <w:rPr>
          <w:color w:val="000000"/>
          <w:szCs w:val="28"/>
        </w:rPr>
        <w:t>страховани</w:t>
      </w:r>
      <w:r w:rsidR="00B71E75" w:rsidRPr="00FA1E56">
        <w:rPr>
          <w:color w:val="000000"/>
          <w:szCs w:val="28"/>
        </w:rPr>
        <w:t>е</w:t>
      </w:r>
      <w:r w:rsidRPr="00FA1E56">
        <w:rPr>
          <w:color w:val="000000"/>
          <w:szCs w:val="28"/>
        </w:rPr>
        <w:t xml:space="preserve"> физических лиц, включая должностных лиц организаций, участвующих в реализации проекта, в том числе добровольно</w:t>
      </w:r>
      <w:r w:rsidR="00B71E75" w:rsidRPr="00FA1E56">
        <w:rPr>
          <w:color w:val="000000"/>
          <w:szCs w:val="28"/>
        </w:rPr>
        <w:t>е</w:t>
      </w:r>
      <w:r w:rsidRPr="00FA1E56">
        <w:rPr>
          <w:color w:val="000000"/>
          <w:szCs w:val="28"/>
        </w:rPr>
        <w:t xml:space="preserve"> медицинско</w:t>
      </w:r>
      <w:r w:rsidR="00B71E75" w:rsidRPr="00FA1E56">
        <w:rPr>
          <w:color w:val="000000"/>
          <w:szCs w:val="28"/>
        </w:rPr>
        <w:t>е</w:t>
      </w:r>
      <w:r w:rsidRPr="00FA1E56">
        <w:rPr>
          <w:color w:val="000000"/>
          <w:szCs w:val="28"/>
        </w:rPr>
        <w:t xml:space="preserve"> страховани</w:t>
      </w:r>
      <w:r w:rsidR="00B71E75" w:rsidRPr="00FA1E56">
        <w:rPr>
          <w:color w:val="000000"/>
          <w:szCs w:val="28"/>
        </w:rPr>
        <w:t>е</w:t>
      </w:r>
      <w:r w:rsidRPr="00FA1E56">
        <w:rPr>
          <w:color w:val="000000"/>
          <w:szCs w:val="28"/>
        </w:rPr>
        <w:t xml:space="preserve"> физических лиц, страхование ответственности и иные виды страхования физических лиц</w:t>
      </w:r>
      <w:r w:rsidR="00B71E75" w:rsidRPr="00FA1E56">
        <w:rPr>
          <w:color w:val="000000"/>
          <w:szCs w:val="28"/>
        </w:rPr>
        <w:t xml:space="preserve">, </w:t>
      </w:r>
      <w:r w:rsidRPr="00FA1E56">
        <w:rPr>
          <w:color w:val="000000"/>
          <w:szCs w:val="28"/>
        </w:rPr>
        <w:t>выплату</w:t>
      </w:r>
      <w:r w:rsidR="00186AC6" w:rsidRPr="00FA1E56">
        <w:rPr>
          <w:color w:val="000000"/>
          <w:szCs w:val="28"/>
        </w:rPr>
        <w:t xml:space="preserve"> </w:t>
      </w:r>
      <w:r w:rsidR="00B71E75" w:rsidRPr="00FA1E56">
        <w:rPr>
          <w:color w:val="000000"/>
          <w:szCs w:val="28"/>
        </w:rPr>
        <w:t xml:space="preserve">отпусков, компенсаций при увольнении, </w:t>
      </w:r>
      <w:r w:rsidR="00186AC6" w:rsidRPr="00FA1E56">
        <w:rPr>
          <w:color w:val="000000"/>
          <w:szCs w:val="28"/>
        </w:rPr>
        <w:t>пособий по временной нетрудоспособности;</w:t>
      </w:r>
    </w:p>
    <w:p w14:paraId="44F69DC5" w14:textId="76133954" w:rsidR="006969A7" w:rsidRPr="00054A4D" w:rsidRDefault="006969A7" w:rsidP="00054A4D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054A4D">
        <w:rPr>
          <w:color w:val="000000"/>
          <w:szCs w:val="28"/>
        </w:rPr>
        <w:t xml:space="preserve">оплату питания и мобильную связь </w:t>
      </w:r>
      <w:r w:rsidR="00C36FEF">
        <w:rPr>
          <w:color w:val="000000"/>
          <w:szCs w:val="28"/>
        </w:rPr>
        <w:t>работников</w:t>
      </w:r>
      <w:r w:rsidRPr="00054A4D">
        <w:rPr>
          <w:color w:val="000000"/>
          <w:szCs w:val="28"/>
        </w:rPr>
        <w:t>;</w:t>
      </w:r>
    </w:p>
    <w:p w14:paraId="3CD91C27" w14:textId="77777777" w:rsidR="00524160" w:rsidRPr="006969A7" w:rsidRDefault="00524160" w:rsidP="00684A4B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6969A7">
        <w:rPr>
          <w:color w:val="000000"/>
          <w:szCs w:val="28"/>
        </w:rPr>
        <w:t>приобретение, строительство и ремонт объектов (в том числе производство неотделимых улучшений) недвижимости (зданий, помещений и иных объектов);</w:t>
      </w:r>
    </w:p>
    <w:p w14:paraId="7019E08D" w14:textId="77777777" w:rsidR="00524160" w:rsidRPr="006969A7" w:rsidRDefault="00524160" w:rsidP="00684A4B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6969A7">
        <w:rPr>
          <w:color w:val="000000"/>
          <w:szCs w:val="28"/>
        </w:rPr>
        <w:t>оплату работ по проведению научных, опытно-конструкторских и аналитических исследований;</w:t>
      </w:r>
    </w:p>
    <w:p w14:paraId="2BC88001" w14:textId="77777777" w:rsidR="00524160" w:rsidRPr="006969A7" w:rsidRDefault="00524160" w:rsidP="00684A4B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6969A7">
        <w:rPr>
          <w:color w:val="000000"/>
          <w:szCs w:val="28"/>
        </w:rPr>
        <w:t>приобретение транспортных средств;</w:t>
      </w:r>
    </w:p>
    <w:p w14:paraId="45E366BA" w14:textId="77777777" w:rsidR="00524160" w:rsidRPr="006969A7" w:rsidRDefault="00524160" w:rsidP="00684A4B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6969A7">
        <w:rPr>
          <w:color w:val="000000"/>
          <w:szCs w:val="28"/>
        </w:rPr>
        <w:t>страхование имущества;</w:t>
      </w:r>
    </w:p>
    <w:p w14:paraId="3FE8C889" w14:textId="342F6293" w:rsidR="00524160" w:rsidRPr="004225DF" w:rsidRDefault="00524160" w:rsidP="00684A4B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4225DF">
        <w:rPr>
          <w:color w:val="000000"/>
          <w:szCs w:val="28"/>
        </w:rPr>
        <w:t xml:space="preserve">оплату участия и подготовки к участию в выставках, </w:t>
      </w:r>
      <w:r w:rsidR="00B528FF">
        <w:rPr>
          <w:color w:val="000000"/>
          <w:szCs w:val="28"/>
        </w:rPr>
        <w:t xml:space="preserve">ярмарках, </w:t>
      </w:r>
      <w:r w:rsidRPr="004225DF">
        <w:rPr>
          <w:color w:val="000000"/>
          <w:szCs w:val="28"/>
        </w:rPr>
        <w:t xml:space="preserve">конференциях, семинарах и иных </w:t>
      </w:r>
      <w:r>
        <w:rPr>
          <w:color w:val="000000"/>
          <w:szCs w:val="28"/>
        </w:rPr>
        <w:t xml:space="preserve">конгрессно-выставочных </w:t>
      </w:r>
      <w:r w:rsidRPr="004225DF">
        <w:rPr>
          <w:color w:val="000000"/>
          <w:szCs w:val="28"/>
        </w:rPr>
        <w:t>мероприятиях;</w:t>
      </w:r>
    </w:p>
    <w:p w14:paraId="6061F6E0" w14:textId="77777777" w:rsidR="00524160" w:rsidRPr="004225DF" w:rsidRDefault="00524160" w:rsidP="00684A4B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4225DF">
        <w:rPr>
          <w:color w:val="000000"/>
          <w:szCs w:val="28"/>
        </w:rPr>
        <w:t>оплату расходов на оказание услуг по изготовлению и распространению рекламных, маркетинговых и презентационных материалов;</w:t>
      </w:r>
    </w:p>
    <w:p w14:paraId="2948D7AD" w14:textId="7BCB8127" w:rsidR="00524160" w:rsidRDefault="00524160" w:rsidP="00684A4B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4225DF">
        <w:rPr>
          <w:color w:val="000000"/>
          <w:szCs w:val="28"/>
        </w:rPr>
        <w:lastRenderedPageBreak/>
        <w:t>оплату услуг по проведению маркетинговых исследований;</w:t>
      </w:r>
    </w:p>
    <w:p w14:paraId="4926AFFA" w14:textId="3B71007B" w:rsidR="006969A7" w:rsidRPr="008E5E4B" w:rsidRDefault="006969A7" w:rsidP="008E5E4B">
      <w:pPr>
        <w:pStyle w:val="a6"/>
        <w:numPr>
          <w:ilvl w:val="0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FA19B9">
        <w:rPr>
          <w:color w:val="000000"/>
          <w:szCs w:val="28"/>
        </w:rPr>
        <w:t>оплату услуг расчетно-кассового обслуживания и других банковских услуг;</w:t>
      </w:r>
    </w:p>
    <w:p w14:paraId="6A86DBB1" w14:textId="7C6775CD" w:rsidR="00524160" w:rsidRPr="004225DF" w:rsidRDefault="00524160" w:rsidP="00684A4B">
      <w:pPr>
        <w:pStyle w:val="a6"/>
        <w:numPr>
          <w:ilvl w:val="1"/>
          <w:numId w:val="7"/>
        </w:numPr>
        <w:tabs>
          <w:tab w:val="left" w:pos="1134"/>
        </w:tabs>
        <w:suppressAutoHyphens/>
        <w:spacing w:line="276" w:lineRule="auto"/>
        <w:ind w:left="0" w:firstLine="709"/>
        <w:jc w:val="both"/>
        <w:rPr>
          <w:color w:val="000000"/>
          <w:szCs w:val="28"/>
        </w:rPr>
      </w:pPr>
      <w:r w:rsidRPr="004225DF">
        <w:rPr>
          <w:color w:val="000000"/>
          <w:szCs w:val="28"/>
        </w:rPr>
        <w:t>оплату иных расходов, не связанных непосредственно с доработкой</w:t>
      </w:r>
      <w:r w:rsidR="00E41B29">
        <w:rPr>
          <w:color w:val="000000"/>
          <w:szCs w:val="28"/>
        </w:rPr>
        <w:t xml:space="preserve"> и внедрением</w:t>
      </w:r>
      <w:r w:rsidRPr="004225DF">
        <w:rPr>
          <w:color w:val="000000"/>
          <w:szCs w:val="28"/>
        </w:rPr>
        <w:t xml:space="preserve"> решения.</w:t>
      </w:r>
    </w:p>
    <w:p w14:paraId="52A6F8F4" w14:textId="1863ACAD" w:rsidR="00524160" w:rsidRPr="001C32FB" w:rsidRDefault="00524160" w:rsidP="00684A4B">
      <w:pPr>
        <w:numPr>
          <w:ilvl w:val="0"/>
          <w:numId w:val="4"/>
        </w:numPr>
        <w:suppressAutoHyphens/>
        <w:spacing w:after="160" w:line="276" w:lineRule="auto"/>
        <w:ind w:left="0" w:firstLine="709"/>
        <w:contextualSpacing/>
        <w:rPr>
          <w:bCs/>
          <w:szCs w:val="28"/>
        </w:rPr>
      </w:pPr>
      <w:r w:rsidRPr="006C6297">
        <w:rPr>
          <w:bCs/>
          <w:szCs w:val="28"/>
        </w:rPr>
        <w:t xml:space="preserve">При планировании расходов </w:t>
      </w:r>
      <w:r w:rsidRPr="001C32FB">
        <w:rPr>
          <w:bCs/>
          <w:szCs w:val="28"/>
        </w:rPr>
        <w:t>разработчику</w:t>
      </w:r>
      <w:r w:rsidR="00551383" w:rsidRPr="001C32FB">
        <w:rPr>
          <w:bCs/>
          <w:szCs w:val="28"/>
        </w:rPr>
        <w:t>/интегратору</w:t>
      </w:r>
      <w:r w:rsidRPr="001C32FB">
        <w:rPr>
          <w:bCs/>
          <w:szCs w:val="28"/>
        </w:rPr>
        <w:t xml:space="preserve"> рекомендуется руководствоваться среднерыночными ценами на соответствующие статьи расходов по данным из открытых источников. </w:t>
      </w:r>
    </w:p>
    <w:p w14:paraId="6AA998CE" w14:textId="47352BC2" w:rsidR="00524160" w:rsidRPr="001C32FB" w:rsidRDefault="00524160" w:rsidP="00684A4B">
      <w:pPr>
        <w:numPr>
          <w:ilvl w:val="0"/>
          <w:numId w:val="4"/>
        </w:numPr>
        <w:suppressAutoHyphens/>
        <w:spacing w:line="276" w:lineRule="auto"/>
        <w:ind w:left="0" w:firstLine="709"/>
        <w:contextualSpacing/>
        <w:rPr>
          <w:bCs/>
          <w:szCs w:val="28"/>
        </w:rPr>
      </w:pPr>
      <w:r w:rsidRPr="001C32FB">
        <w:rPr>
          <w:bCs/>
          <w:szCs w:val="28"/>
        </w:rPr>
        <w:t>Планирование расходов разработчика</w:t>
      </w:r>
      <w:r w:rsidR="00551383" w:rsidRPr="001C32FB">
        <w:rPr>
          <w:bCs/>
          <w:szCs w:val="28"/>
        </w:rPr>
        <w:t>/интегратора</w:t>
      </w:r>
      <w:r w:rsidRPr="001C32FB">
        <w:rPr>
          <w:bCs/>
          <w:szCs w:val="28"/>
        </w:rPr>
        <w:t xml:space="preserve"> в рамках реализации проекта должно осуществляться с учетом приведенных далее требований и ограничений по следующим статьям</w:t>
      </w:r>
      <w:r w:rsidR="00B71E75" w:rsidRPr="001C32FB">
        <w:rPr>
          <w:bCs/>
          <w:szCs w:val="28"/>
        </w:rPr>
        <w:t>.</w:t>
      </w:r>
    </w:p>
    <w:p w14:paraId="1928D7EF" w14:textId="682AA19B" w:rsidR="00130E56" w:rsidRPr="001C32FB" w:rsidRDefault="00E26CAF" w:rsidP="00130E56">
      <w:pPr>
        <w:suppressAutoHyphens/>
        <w:spacing w:line="276" w:lineRule="auto"/>
        <w:ind w:firstLine="708"/>
        <w:rPr>
          <w:bCs/>
          <w:szCs w:val="28"/>
        </w:rPr>
      </w:pPr>
      <w:r w:rsidRPr="001C32FB">
        <w:rPr>
          <w:szCs w:val="28"/>
        </w:rPr>
        <w:t xml:space="preserve">4.1. </w:t>
      </w:r>
      <w:r w:rsidR="00524160" w:rsidRPr="001C32FB">
        <w:rPr>
          <w:szCs w:val="28"/>
        </w:rPr>
        <w:t>Расходы</w:t>
      </w:r>
      <w:r w:rsidR="00524160" w:rsidRPr="001C32FB">
        <w:rPr>
          <w:bCs/>
          <w:szCs w:val="28"/>
        </w:rPr>
        <w:t xml:space="preserve"> на оплату труда </w:t>
      </w:r>
      <w:r w:rsidR="00C36FEF">
        <w:rPr>
          <w:bCs/>
          <w:szCs w:val="28"/>
        </w:rPr>
        <w:t>работников</w:t>
      </w:r>
      <w:r w:rsidR="00524160" w:rsidRPr="001C32FB">
        <w:rPr>
          <w:bCs/>
          <w:szCs w:val="28"/>
        </w:rPr>
        <w:t xml:space="preserve"> разработчика</w:t>
      </w:r>
      <w:r w:rsidR="00551383" w:rsidRPr="001C32FB">
        <w:rPr>
          <w:bCs/>
          <w:szCs w:val="28"/>
        </w:rPr>
        <w:t>/интегратора</w:t>
      </w:r>
      <w:r w:rsidR="00524160" w:rsidRPr="001C32FB">
        <w:rPr>
          <w:bCs/>
          <w:szCs w:val="28"/>
        </w:rPr>
        <w:t>, связанных с реализацией проекта, включают заработную плату и обязательные страховые взносы.</w:t>
      </w:r>
      <w:r w:rsidR="00FA1E56" w:rsidRPr="001C32FB">
        <w:rPr>
          <w:bCs/>
          <w:szCs w:val="28"/>
        </w:rPr>
        <w:t xml:space="preserve"> Разработчик</w:t>
      </w:r>
      <w:r w:rsidR="00551383" w:rsidRPr="001C32FB">
        <w:rPr>
          <w:bCs/>
          <w:szCs w:val="28"/>
        </w:rPr>
        <w:t>/интегратор</w:t>
      </w:r>
      <w:r w:rsidR="00FA1E56" w:rsidRPr="001C32FB">
        <w:rPr>
          <w:bCs/>
          <w:szCs w:val="28"/>
        </w:rPr>
        <w:t xml:space="preserve"> планирует данные расходы поэтапно исходя из требуемого перечня ролей (должностей) для выполнения объемов работ, трудоемкости по каждой роли (количество человеко-</w:t>
      </w:r>
      <w:r w:rsidR="00130E56" w:rsidRPr="001C32FB">
        <w:rPr>
          <w:bCs/>
          <w:szCs w:val="28"/>
        </w:rPr>
        <w:t>часов</w:t>
      </w:r>
      <w:r w:rsidR="00FA1E56" w:rsidRPr="001C32FB">
        <w:rPr>
          <w:bCs/>
          <w:szCs w:val="28"/>
        </w:rPr>
        <w:t xml:space="preserve">), системы оплаты труда в организации, ставок на обязательные взносы </w:t>
      </w:r>
      <w:r w:rsidR="00130E56" w:rsidRPr="001C32FB">
        <w:rPr>
          <w:bCs/>
          <w:szCs w:val="28"/>
        </w:rPr>
        <w:t>в соответствии с</w:t>
      </w:r>
      <w:r w:rsidR="00FA1E56" w:rsidRPr="001C32FB">
        <w:rPr>
          <w:bCs/>
          <w:szCs w:val="28"/>
        </w:rPr>
        <w:t xml:space="preserve"> законодательств</w:t>
      </w:r>
      <w:r w:rsidR="00130E56" w:rsidRPr="001C32FB">
        <w:rPr>
          <w:bCs/>
          <w:szCs w:val="28"/>
        </w:rPr>
        <w:t>ом Российской Федерации</w:t>
      </w:r>
      <w:r w:rsidR="007B13D8" w:rsidRPr="001C32FB">
        <w:rPr>
          <w:bCs/>
          <w:szCs w:val="28"/>
        </w:rPr>
        <w:t xml:space="preserve"> согласно приложению № 4.1 к объявлению</w:t>
      </w:r>
      <w:r w:rsidR="00130E56" w:rsidRPr="001C32FB">
        <w:rPr>
          <w:bCs/>
          <w:szCs w:val="28"/>
        </w:rPr>
        <w:t xml:space="preserve">. </w:t>
      </w:r>
      <w:r w:rsidR="00FA1E56" w:rsidRPr="001C32FB">
        <w:rPr>
          <w:bCs/>
          <w:szCs w:val="28"/>
        </w:rPr>
        <w:t xml:space="preserve"> </w:t>
      </w:r>
    </w:p>
    <w:p w14:paraId="7FA33C6C" w14:textId="7F8129AD" w:rsidR="00524160" w:rsidRPr="001C32FB" w:rsidRDefault="00524160" w:rsidP="00130E56">
      <w:pPr>
        <w:suppressAutoHyphens/>
        <w:spacing w:line="276" w:lineRule="auto"/>
        <w:ind w:firstLine="708"/>
        <w:rPr>
          <w:bCs/>
          <w:szCs w:val="28"/>
        </w:rPr>
      </w:pPr>
      <w:r w:rsidRPr="001C32FB">
        <w:rPr>
          <w:bCs/>
          <w:szCs w:val="28"/>
        </w:rPr>
        <w:t xml:space="preserve">Накладные расходы </w:t>
      </w:r>
      <w:r w:rsidR="00E26CAF" w:rsidRPr="001C32FB">
        <w:rPr>
          <w:bCs/>
          <w:szCs w:val="28"/>
        </w:rPr>
        <w:t xml:space="preserve">по итогам реализации проекта </w:t>
      </w:r>
      <w:r w:rsidRPr="001C32FB">
        <w:rPr>
          <w:bCs/>
          <w:szCs w:val="28"/>
        </w:rPr>
        <w:t xml:space="preserve">не должны превышать 10 % </w:t>
      </w:r>
      <w:r w:rsidR="00E26CAF" w:rsidRPr="001C32FB">
        <w:rPr>
          <w:bCs/>
          <w:szCs w:val="28"/>
        </w:rPr>
        <w:t>от общего размера средств</w:t>
      </w:r>
      <w:r w:rsidR="00CA106D" w:rsidRPr="001C32FB">
        <w:rPr>
          <w:bCs/>
          <w:szCs w:val="28"/>
        </w:rPr>
        <w:t>,</w:t>
      </w:r>
      <w:r w:rsidR="00E26CAF" w:rsidRPr="001C32FB">
        <w:rPr>
          <w:bCs/>
          <w:szCs w:val="28"/>
        </w:rPr>
        <w:t xml:space="preserve"> </w:t>
      </w:r>
      <w:r w:rsidR="00CA106D" w:rsidRPr="001C32FB">
        <w:rPr>
          <w:bCs/>
          <w:szCs w:val="28"/>
        </w:rPr>
        <w:t xml:space="preserve">полученных </w:t>
      </w:r>
      <w:r w:rsidR="00E26CAF" w:rsidRPr="001C32FB">
        <w:rPr>
          <w:bCs/>
          <w:szCs w:val="28"/>
        </w:rPr>
        <w:t>от получателя гранта</w:t>
      </w:r>
      <w:r w:rsidR="00AA314C" w:rsidRPr="001C32FB">
        <w:rPr>
          <w:bCs/>
          <w:szCs w:val="28"/>
        </w:rPr>
        <w:t>.</w:t>
      </w:r>
    </w:p>
    <w:p w14:paraId="20AD21D2" w14:textId="77777777" w:rsidR="00D778FC" w:rsidRPr="001C32FB" w:rsidRDefault="00D778FC" w:rsidP="00D778FC">
      <w:pPr>
        <w:numPr>
          <w:ilvl w:val="1"/>
          <w:numId w:val="12"/>
        </w:numPr>
        <w:suppressAutoHyphens/>
        <w:spacing w:line="276" w:lineRule="auto"/>
        <w:ind w:left="0" w:firstLine="708"/>
        <w:rPr>
          <w:color w:val="000000"/>
          <w:szCs w:val="28"/>
        </w:rPr>
      </w:pPr>
      <w:r w:rsidRPr="001C32FB">
        <w:rPr>
          <w:color w:val="000000"/>
          <w:szCs w:val="28"/>
        </w:rPr>
        <w:t>Расходы на приобретение нефинансовых активов включают расходы на:</w:t>
      </w:r>
    </w:p>
    <w:p w14:paraId="2CF72A6A" w14:textId="77777777" w:rsidR="00D778FC" w:rsidRPr="001C32FB" w:rsidRDefault="00D778FC" w:rsidP="00D778FC">
      <w:pPr>
        <w:numPr>
          <w:ilvl w:val="0"/>
          <w:numId w:val="13"/>
        </w:numPr>
        <w:suppressAutoHyphens/>
        <w:spacing w:line="276" w:lineRule="auto"/>
        <w:ind w:left="0" w:firstLine="709"/>
        <w:rPr>
          <w:color w:val="000000"/>
          <w:szCs w:val="28"/>
        </w:rPr>
      </w:pPr>
      <w:r w:rsidRPr="001C32FB">
        <w:rPr>
          <w:color w:val="000000"/>
          <w:szCs w:val="28"/>
        </w:rPr>
        <w:t>приобретение программного обеспечения и иных нематериальных активов, непосредственно связанных с реализацией проекта;</w:t>
      </w:r>
    </w:p>
    <w:p w14:paraId="2122F608" w14:textId="77777777" w:rsidR="00D778FC" w:rsidRPr="001C32FB" w:rsidRDefault="00D778FC" w:rsidP="00D778FC">
      <w:pPr>
        <w:numPr>
          <w:ilvl w:val="0"/>
          <w:numId w:val="13"/>
        </w:numPr>
        <w:suppressAutoHyphens/>
        <w:spacing w:line="276" w:lineRule="auto"/>
        <w:ind w:left="0" w:firstLine="709"/>
        <w:rPr>
          <w:color w:val="000000"/>
          <w:szCs w:val="28"/>
        </w:rPr>
      </w:pPr>
      <w:r w:rsidRPr="001C32FB">
        <w:rPr>
          <w:color w:val="000000"/>
          <w:szCs w:val="28"/>
        </w:rPr>
        <w:t xml:space="preserve">приобретение аппаратных и программно-аппаратных комплексов, непосредственно связанных с реализацией проекта. </w:t>
      </w:r>
    </w:p>
    <w:p w14:paraId="0F28CDB2" w14:textId="44BDA86E" w:rsidR="00420ECB" w:rsidRPr="00092900" w:rsidRDefault="00420ECB" w:rsidP="00420ECB">
      <w:pPr>
        <w:suppressAutoHyphens/>
        <w:spacing w:line="276" w:lineRule="auto"/>
        <w:ind w:firstLine="567"/>
        <w:rPr>
          <w:color w:val="000000"/>
          <w:szCs w:val="28"/>
        </w:rPr>
      </w:pPr>
      <w:r w:rsidRPr="001C32FB">
        <w:rPr>
          <w:szCs w:val="28"/>
        </w:rPr>
        <w:t xml:space="preserve">В случае приобретения </w:t>
      </w:r>
      <w:r w:rsidRPr="001C32FB">
        <w:rPr>
          <w:color w:val="000000"/>
          <w:szCs w:val="28"/>
        </w:rPr>
        <w:t>программного обеспечения и иных нематериальных активов, непосредственно связанных с реализацией проекта, подлежащих дальнейшей продаже получателю гранта без доработ</w:t>
      </w:r>
      <w:r w:rsidR="00A25972" w:rsidRPr="001C32FB">
        <w:rPr>
          <w:color w:val="000000"/>
          <w:szCs w:val="28"/>
        </w:rPr>
        <w:t>ки</w:t>
      </w:r>
      <w:r w:rsidRPr="001C32FB">
        <w:rPr>
          <w:color w:val="000000"/>
          <w:szCs w:val="28"/>
        </w:rPr>
        <w:t xml:space="preserve"> имеющегося функционала, цена, установленная договором между получателем гранта и разработчиком</w:t>
      </w:r>
      <w:r w:rsidR="00551383" w:rsidRPr="001C32FB">
        <w:rPr>
          <w:color w:val="000000"/>
          <w:szCs w:val="28"/>
        </w:rPr>
        <w:t>/интегратором</w:t>
      </w:r>
      <w:r w:rsidR="00F82B66" w:rsidRPr="001C32FB">
        <w:rPr>
          <w:color w:val="000000"/>
          <w:szCs w:val="28"/>
        </w:rPr>
        <w:t>,</w:t>
      </w:r>
      <w:r w:rsidRPr="001C32FB">
        <w:rPr>
          <w:color w:val="000000"/>
          <w:szCs w:val="28"/>
        </w:rPr>
        <w:t xml:space="preserve"> не может превышать цену, установленную договором между разработчиком</w:t>
      </w:r>
      <w:r w:rsidR="00551383" w:rsidRPr="001C32FB">
        <w:rPr>
          <w:color w:val="000000"/>
          <w:szCs w:val="28"/>
        </w:rPr>
        <w:t>/интегратором</w:t>
      </w:r>
      <w:r w:rsidRPr="001C32FB">
        <w:rPr>
          <w:color w:val="000000"/>
          <w:szCs w:val="28"/>
        </w:rPr>
        <w:t xml:space="preserve"> и </w:t>
      </w:r>
      <w:r w:rsidR="00DC6BD9" w:rsidRPr="001C32FB">
        <w:rPr>
          <w:color w:val="000000"/>
          <w:szCs w:val="28"/>
        </w:rPr>
        <w:t>лицензиаром</w:t>
      </w:r>
      <w:r w:rsidRPr="001C32FB">
        <w:rPr>
          <w:color w:val="000000"/>
          <w:szCs w:val="28"/>
        </w:rPr>
        <w:t xml:space="preserve"> (правообладателем</w:t>
      </w:r>
      <w:r w:rsidR="00A25972" w:rsidRPr="001C32FB">
        <w:rPr>
          <w:color w:val="000000"/>
          <w:szCs w:val="28"/>
        </w:rPr>
        <w:t>)</w:t>
      </w:r>
      <w:r w:rsidRPr="001C32FB">
        <w:rPr>
          <w:color w:val="000000"/>
          <w:szCs w:val="28"/>
        </w:rPr>
        <w:t xml:space="preserve"> программного обеспечения</w:t>
      </w:r>
      <w:r w:rsidR="00A25972" w:rsidRPr="001C32FB">
        <w:rPr>
          <w:color w:val="000000"/>
          <w:szCs w:val="28"/>
        </w:rPr>
        <w:t xml:space="preserve"> </w:t>
      </w:r>
      <w:r w:rsidR="00DC6BD9" w:rsidRPr="001C32FB">
        <w:rPr>
          <w:color w:val="000000"/>
          <w:szCs w:val="28"/>
        </w:rPr>
        <w:t>и иных нематериальных активов</w:t>
      </w:r>
      <w:r w:rsidRPr="001C32FB">
        <w:rPr>
          <w:color w:val="000000"/>
          <w:szCs w:val="28"/>
        </w:rPr>
        <w:t>.</w:t>
      </w:r>
    </w:p>
    <w:p w14:paraId="086A55A4" w14:textId="5C25B37D" w:rsidR="00384342" w:rsidRPr="006729E0" w:rsidRDefault="0035049F" w:rsidP="00684A4B">
      <w:pPr>
        <w:suppressAutoHyphens/>
        <w:spacing w:line="276" w:lineRule="auto"/>
        <w:ind w:firstLine="567"/>
        <w:rPr>
          <w:rFonts w:ascii="Calibri" w:hAnsi="Calibri"/>
          <w:sz w:val="22"/>
        </w:rPr>
      </w:pPr>
      <w:r>
        <w:rPr>
          <w:szCs w:val="28"/>
        </w:rPr>
        <w:t>Н</w:t>
      </w:r>
      <w:r w:rsidRPr="006729E0">
        <w:rPr>
          <w:szCs w:val="28"/>
        </w:rPr>
        <w:t>е допускается в рамках проекта</w:t>
      </w:r>
      <w:r>
        <w:rPr>
          <w:szCs w:val="28"/>
        </w:rPr>
        <w:t xml:space="preserve"> п</w:t>
      </w:r>
      <w:r w:rsidR="00524160" w:rsidRPr="006729E0">
        <w:rPr>
          <w:szCs w:val="28"/>
        </w:rPr>
        <w:t xml:space="preserve">риобретение за счет </w:t>
      </w:r>
      <w:r w:rsidR="00524160" w:rsidRPr="00CA106D">
        <w:rPr>
          <w:szCs w:val="28"/>
        </w:rPr>
        <w:t>средств, полученных от получателя гранта</w:t>
      </w:r>
      <w:r w:rsidR="00524160" w:rsidRPr="006729E0">
        <w:rPr>
          <w:szCs w:val="28"/>
        </w:rPr>
        <w:t>, нефинансового актива зарубежного производства</w:t>
      </w:r>
      <w:r w:rsidR="00D40C26" w:rsidRPr="006729E0">
        <w:rPr>
          <w:szCs w:val="28"/>
        </w:rPr>
        <w:t xml:space="preserve">. </w:t>
      </w:r>
    </w:p>
    <w:p w14:paraId="7E9B769D" w14:textId="7B2C10C2" w:rsidR="00384342" w:rsidRDefault="00524160" w:rsidP="00130E56">
      <w:pPr>
        <w:suppressAutoHyphens/>
        <w:spacing w:line="276" w:lineRule="auto"/>
        <w:ind w:firstLine="567"/>
        <w:rPr>
          <w:rFonts w:ascii="Calibri" w:hAnsi="Calibri"/>
          <w:sz w:val="22"/>
        </w:rPr>
      </w:pPr>
      <w:r w:rsidRPr="006729E0">
        <w:rPr>
          <w:szCs w:val="28"/>
        </w:rPr>
        <w:lastRenderedPageBreak/>
        <w:t>Приобретаемый нефинансовый актив отечественного производства должен быть включен в один из реестров</w:t>
      </w:r>
      <w:r w:rsidR="00384342" w:rsidRPr="006729E0">
        <w:rPr>
          <w:szCs w:val="28"/>
        </w:rPr>
        <w:t xml:space="preserve"> </w:t>
      </w:r>
      <w:r w:rsidR="00130E56" w:rsidRPr="00130E56">
        <w:rPr>
          <w:szCs w:val="28"/>
        </w:rPr>
        <w:t>(в единый реестр российских программ для электронных вычислительных машин и баз данных и (или) реестр российской промышленной продукции и (или) единый реестр российской радиоэлектронной продукции)</w:t>
      </w:r>
      <w:r w:rsidRPr="00130E56">
        <w:rPr>
          <w:szCs w:val="28"/>
        </w:rPr>
        <w:t>.</w:t>
      </w:r>
    </w:p>
    <w:p w14:paraId="15D3587E" w14:textId="4A73BC74" w:rsidR="00D57866" w:rsidRPr="00002F7C" w:rsidRDefault="00384342" w:rsidP="00684A4B">
      <w:pPr>
        <w:suppressAutoHyphens/>
        <w:spacing w:line="276" w:lineRule="auto"/>
        <w:ind w:firstLine="567"/>
        <w:rPr>
          <w:rFonts w:ascii="Calibri" w:hAnsi="Calibri"/>
          <w:sz w:val="22"/>
        </w:rPr>
      </w:pPr>
      <w:r>
        <w:rPr>
          <w:color w:val="000000"/>
          <w:szCs w:val="28"/>
        </w:rPr>
        <w:t xml:space="preserve">4.4. </w:t>
      </w:r>
      <w:r w:rsidR="00D57866" w:rsidRPr="006C6297">
        <w:rPr>
          <w:color w:val="000000"/>
          <w:szCs w:val="28"/>
        </w:rPr>
        <w:t>Расходы на оплату работ (услуг) сторонних организаций</w:t>
      </w:r>
      <w:r w:rsidR="00D57866" w:rsidRPr="006C6297">
        <w:rPr>
          <w:bCs/>
          <w:szCs w:val="28"/>
          <w:vertAlign w:val="superscript"/>
        </w:rPr>
        <w:footnoteReference w:id="1"/>
      </w:r>
      <w:r w:rsidR="00D57866" w:rsidRPr="006C6297">
        <w:rPr>
          <w:color w:val="000000"/>
          <w:szCs w:val="28"/>
        </w:rPr>
        <w:t xml:space="preserve">, непосредственно привлекаемых к реализации проекта, </w:t>
      </w:r>
      <w:r w:rsidR="00D57866" w:rsidRPr="006C6297">
        <w:rPr>
          <w:szCs w:val="28"/>
        </w:rPr>
        <w:t xml:space="preserve">не должны превышать по </w:t>
      </w:r>
      <w:r w:rsidRPr="006969A7">
        <w:rPr>
          <w:szCs w:val="28"/>
        </w:rPr>
        <w:t>итогам реализации</w:t>
      </w:r>
      <w:r w:rsidR="00D57866" w:rsidRPr="006969A7">
        <w:rPr>
          <w:szCs w:val="28"/>
        </w:rPr>
        <w:t xml:space="preserve"> проекта 20</w:t>
      </w:r>
      <w:r w:rsidRPr="006969A7">
        <w:rPr>
          <w:szCs w:val="28"/>
        </w:rPr>
        <w:t xml:space="preserve"> </w:t>
      </w:r>
      <w:r w:rsidR="00D57866" w:rsidRPr="006969A7">
        <w:rPr>
          <w:szCs w:val="28"/>
        </w:rPr>
        <w:t xml:space="preserve">% от общего размера полученных средств от получателя </w:t>
      </w:r>
      <w:r w:rsidR="00D57866" w:rsidRPr="00002F7C">
        <w:rPr>
          <w:szCs w:val="28"/>
        </w:rPr>
        <w:t>гранта</w:t>
      </w:r>
      <w:r w:rsidR="002162D5" w:rsidRPr="00002F7C">
        <w:rPr>
          <w:szCs w:val="28"/>
        </w:rPr>
        <w:t xml:space="preserve"> </w:t>
      </w:r>
      <w:r w:rsidR="00A25972" w:rsidRPr="00002F7C">
        <w:rPr>
          <w:szCs w:val="28"/>
        </w:rPr>
        <w:t>(</w:t>
      </w:r>
      <w:r w:rsidR="002162D5" w:rsidRPr="00002F7C">
        <w:rPr>
          <w:szCs w:val="28"/>
        </w:rPr>
        <w:t xml:space="preserve">без </w:t>
      </w:r>
      <w:r w:rsidR="00A25972" w:rsidRPr="00002F7C">
        <w:rPr>
          <w:szCs w:val="28"/>
        </w:rPr>
        <w:t xml:space="preserve">учета </w:t>
      </w:r>
      <w:r w:rsidR="002162D5" w:rsidRPr="00002F7C">
        <w:rPr>
          <w:szCs w:val="28"/>
        </w:rPr>
        <w:t>НДС</w:t>
      </w:r>
      <w:r w:rsidR="00A25972" w:rsidRPr="00002F7C">
        <w:rPr>
          <w:szCs w:val="28"/>
        </w:rPr>
        <w:t>)</w:t>
      </w:r>
      <w:r w:rsidR="00D57866" w:rsidRPr="00002F7C">
        <w:rPr>
          <w:szCs w:val="28"/>
        </w:rPr>
        <w:t>.</w:t>
      </w:r>
      <w:r w:rsidR="00D57866" w:rsidRPr="00002F7C">
        <w:rPr>
          <w:color w:val="000000"/>
          <w:szCs w:val="28"/>
        </w:rPr>
        <w:t xml:space="preserve"> </w:t>
      </w:r>
      <w:r w:rsidR="00D57866" w:rsidRPr="00002F7C">
        <w:rPr>
          <w:bCs/>
          <w:szCs w:val="28"/>
        </w:rPr>
        <w:t>В данную категорию расходов включаются расходы на оплату:</w:t>
      </w:r>
    </w:p>
    <w:p w14:paraId="67F6A91F" w14:textId="64029EF5" w:rsidR="00D57866" w:rsidRPr="00002F7C" w:rsidRDefault="00D57866" w:rsidP="00684A4B">
      <w:pPr>
        <w:numPr>
          <w:ilvl w:val="0"/>
          <w:numId w:val="1"/>
        </w:numPr>
        <w:suppressAutoHyphens/>
        <w:spacing w:after="160" w:line="276" w:lineRule="auto"/>
        <w:ind w:left="0" w:firstLine="709"/>
        <w:contextualSpacing/>
        <w:rPr>
          <w:szCs w:val="28"/>
        </w:rPr>
      </w:pPr>
      <w:r w:rsidRPr="00002F7C">
        <w:rPr>
          <w:szCs w:val="28"/>
        </w:rPr>
        <w:t>работ (услуг) по доработке решения и его частей</w:t>
      </w:r>
      <w:r w:rsidR="00B20FDE" w:rsidRPr="00002F7C">
        <w:rPr>
          <w:szCs w:val="28"/>
        </w:rPr>
        <w:t>;</w:t>
      </w:r>
    </w:p>
    <w:p w14:paraId="7CC2F1CF" w14:textId="77777777" w:rsidR="00D57866" w:rsidRPr="00002F7C" w:rsidRDefault="00D57866" w:rsidP="00684A4B">
      <w:pPr>
        <w:numPr>
          <w:ilvl w:val="0"/>
          <w:numId w:val="1"/>
        </w:numPr>
        <w:suppressAutoHyphens/>
        <w:spacing w:after="160" w:line="276" w:lineRule="auto"/>
        <w:ind w:left="0" w:firstLine="709"/>
        <w:contextualSpacing/>
        <w:rPr>
          <w:szCs w:val="28"/>
        </w:rPr>
      </w:pPr>
      <w:r w:rsidRPr="00002F7C">
        <w:rPr>
          <w:szCs w:val="28"/>
        </w:rPr>
        <w:t>работ (услуг) по внедрению решения;</w:t>
      </w:r>
    </w:p>
    <w:p w14:paraId="5DC39373" w14:textId="5B97A685" w:rsidR="00D57866" w:rsidRPr="00002F7C" w:rsidRDefault="00D57866" w:rsidP="00684A4B">
      <w:pPr>
        <w:numPr>
          <w:ilvl w:val="0"/>
          <w:numId w:val="1"/>
        </w:numPr>
        <w:suppressAutoHyphens/>
        <w:spacing w:after="160" w:line="276" w:lineRule="auto"/>
        <w:ind w:left="0" w:firstLine="709"/>
        <w:contextualSpacing/>
        <w:rPr>
          <w:szCs w:val="28"/>
        </w:rPr>
      </w:pPr>
      <w:r w:rsidRPr="00002F7C">
        <w:rPr>
          <w:szCs w:val="28"/>
        </w:rPr>
        <w:t>работ (услуг) по установке, монтажу, настройке, пусконаладке внедряемого решения;</w:t>
      </w:r>
    </w:p>
    <w:p w14:paraId="32FC895B" w14:textId="0E2E1ABE" w:rsidR="00D57866" w:rsidRPr="00002F7C" w:rsidRDefault="00D57866" w:rsidP="00684A4B">
      <w:pPr>
        <w:numPr>
          <w:ilvl w:val="0"/>
          <w:numId w:val="1"/>
        </w:numPr>
        <w:suppressAutoHyphens/>
        <w:spacing w:after="160" w:line="276" w:lineRule="auto"/>
        <w:ind w:left="0" w:firstLine="709"/>
        <w:contextualSpacing/>
        <w:rPr>
          <w:szCs w:val="28"/>
        </w:rPr>
      </w:pPr>
      <w:r w:rsidRPr="00002F7C">
        <w:rPr>
          <w:szCs w:val="28"/>
        </w:rPr>
        <w:t xml:space="preserve">работ (услуг) по обучению, инструктажу </w:t>
      </w:r>
      <w:r w:rsidR="00C36FEF">
        <w:rPr>
          <w:szCs w:val="28"/>
        </w:rPr>
        <w:t>работников</w:t>
      </w:r>
      <w:r w:rsidRPr="00002F7C">
        <w:rPr>
          <w:szCs w:val="28"/>
        </w:rPr>
        <w:t xml:space="preserve"> получателя гранта по работе с внедряемым решением;</w:t>
      </w:r>
    </w:p>
    <w:p w14:paraId="1D2E3516" w14:textId="4C77BD2D" w:rsidR="00D57866" w:rsidRPr="00002F7C" w:rsidRDefault="00D57866" w:rsidP="00684A4B">
      <w:pPr>
        <w:numPr>
          <w:ilvl w:val="0"/>
          <w:numId w:val="1"/>
        </w:numPr>
        <w:suppressAutoHyphens/>
        <w:spacing w:after="160" w:line="276" w:lineRule="auto"/>
        <w:ind w:left="0" w:firstLine="709"/>
        <w:contextualSpacing/>
        <w:rPr>
          <w:color w:val="000000"/>
          <w:szCs w:val="28"/>
        </w:rPr>
      </w:pPr>
      <w:r w:rsidRPr="00002F7C">
        <w:rPr>
          <w:color w:val="000000"/>
          <w:szCs w:val="28"/>
        </w:rPr>
        <w:t xml:space="preserve">аренды специализированного оборудования (аппаратных, программно-аппаратных комплексов и </w:t>
      </w:r>
      <w:r w:rsidR="00384342" w:rsidRPr="00002F7C">
        <w:rPr>
          <w:color w:val="000000"/>
          <w:szCs w:val="28"/>
        </w:rPr>
        <w:t>др</w:t>
      </w:r>
      <w:r w:rsidRPr="00002F7C">
        <w:rPr>
          <w:color w:val="000000"/>
          <w:szCs w:val="28"/>
        </w:rPr>
        <w:t>.), непосредственно связанного с реализацией проекта;</w:t>
      </w:r>
    </w:p>
    <w:p w14:paraId="10B75C58" w14:textId="77777777" w:rsidR="00D57866" w:rsidRPr="00002F7C" w:rsidRDefault="00D57866" w:rsidP="00684A4B">
      <w:pPr>
        <w:numPr>
          <w:ilvl w:val="0"/>
          <w:numId w:val="1"/>
        </w:numPr>
        <w:suppressAutoHyphens/>
        <w:spacing w:after="160" w:line="276" w:lineRule="auto"/>
        <w:ind w:left="0" w:firstLine="709"/>
        <w:contextualSpacing/>
        <w:rPr>
          <w:color w:val="000000"/>
          <w:szCs w:val="28"/>
        </w:rPr>
      </w:pPr>
      <w:r w:rsidRPr="00002F7C">
        <w:rPr>
          <w:color w:val="000000"/>
          <w:szCs w:val="28"/>
        </w:rPr>
        <w:t>аренды специализированного программного обеспечения (сред разработки, тестовых сред и пр.), непосредственно связанного с реализацией проекта;</w:t>
      </w:r>
    </w:p>
    <w:p w14:paraId="655E5D28" w14:textId="77777777" w:rsidR="00D57866" w:rsidRPr="00002F7C" w:rsidRDefault="00D57866" w:rsidP="00684A4B">
      <w:pPr>
        <w:numPr>
          <w:ilvl w:val="0"/>
          <w:numId w:val="1"/>
        </w:numPr>
        <w:suppressAutoHyphens/>
        <w:spacing w:after="160" w:line="276" w:lineRule="auto"/>
        <w:ind w:left="0" w:firstLine="709"/>
        <w:contextualSpacing/>
        <w:rPr>
          <w:color w:val="000000"/>
          <w:szCs w:val="28"/>
        </w:rPr>
      </w:pPr>
      <w:r w:rsidRPr="00002F7C">
        <w:rPr>
          <w:color w:val="000000"/>
          <w:szCs w:val="28"/>
        </w:rPr>
        <w:t>аренды вычислительных мощностей, облачных хранилищ, непосредственно связанных с реализацией проекта;</w:t>
      </w:r>
    </w:p>
    <w:p w14:paraId="7028A26B" w14:textId="77777777" w:rsidR="00D57866" w:rsidRPr="00002F7C" w:rsidRDefault="00D57866" w:rsidP="00684A4B">
      <w:pPr>
        <w:numPr>
          <w:ilvl w:val="0"/>
          <w:numId w:val="1"/>
        </w:numPr>
        <w:suppressAutoHyphens/>
        <w:spacing w:after="160" w:line="276" w:lineRule="auto"/>
        <w:ind w:left="0" w:firstLine="709"/>
        <w:contextualSpacing/>
        <w:rPr>
          <w:color w:val="000000"/>
          <w:szCs w:val="28"/>
        </w:rPr>
      </w:pPr>
      <w:r w:rsidRPr="00002F7C">
        <w:rPr>
          <w:color w:val="000000"/>
          <w:szCs w:val="28"/>
        </w:rPr>
        <w:t>иных работ (услуг), непосредственно связанных с реализацией проекта.</w:t>
      </w:r>
    </w:p>
    <w:p w14:paraId="61EBC95F" w14:textId="4C3C876B" w:rsidR="00D57866" w:rsidRPr="001C32FB" w:rsidRDefault="009D23B4" w:rsidP="00684A4B">
      <w:pPr>
        <w:suppressAutoHyphens/>
        <w:spacing w:line="276" w:lineRule="auto"/>
        <w:ind w:firstLine="709"/>
        <w:contextualSpacing/>
        <w:rPr>
          <w:bCs/>
          <w:szCs w:val="28"/>
        </w:rPr>
      </w:pPr>
      <w:r w:rsidRPr="00002F7C">
        <w:rPr>
          <w:rFonts w:eastAsia="Times New Roman"/>
          <w:bCs/>
          <w:szCs w:val="28"/>
          <w:lang w:eastAsia="ru-RU"/>
        </w:rPr>
        <w:t xml:space="preserve">В рамках </w:t>
      </w:r>
      <w:r w:rsidRPr="001C32FB">
        <w:rPr>
          <w:rFonts w:eastAsia="Times New Roman"/>
          <w:bCs/>
          <w:szCs w:val="28"/>
          <w:lang w:eastAsia="ru-RU"/>
        </w:rPr>
        <w:t xml:space="preserve">реализации проекта </w:t>
      </w:r>
      <w:r w:rsidRPr="001C32FB">
        <w:rPr>
          <w:color w:val="000000"/>
          <w:szCs w:val="28"/>
        </w:rPr>
        <w:t>п</w:t>
      </w:r>
      <w:r w:rsidR="00D57866" w:rsidRPr="001C32FB">
        <w:rPr>
          <w:color w:val="000000"/>
          <w:szCs w:val="28"/>
        </w:rPr>
        <w:t xml:space="preserve">ередача контрагентами </w:t>
      </w:r>
      <w:r w:rsidR="00384342" w:rsidRPr="001C32FB">
        <w:rPr>
          <w:color w:val="000000"/>
          <w:szCs w:val="28"/>
        </w:rPr>
        <w:t>р</w:t>
      </w:r>
      <w:r w:rsidR="00D57866" w:rsidRPr="001C32FB">
        <w:rPr>
          <w:color w:val="000000"/>
          <w:szCs w:val="28"/>
        </w:rPr>
        <w:t>азработчика</w:t>
      </w:r>
      <w:r w:rsidR="00551383" w:rsidRPr="001C32FB">
        <w:rPr>
          <w:color w:val="000000"/>
          <w:szCs w:val="28"/>
        </w:rPr>
        <w:t>/интегратора</w:t>
      </w:r>
      <w:r w:rsidR="00D57866" w:rsidRPr="001C32FB">
        <w:rPr>
          <w:color w:val="000000"/>
          <w:szCs w:val="28"/>
        </w:rPr>
        <w:t xml:space="preserve"> обязательств по исполнению </w:t>
      </w:r>
      <w:r w:rsidR="00D57866" w:rsidRPr="001C32FB">
        <w:rPr>
          <w:rFonts w:eastAsia="Times New Roman"/>
          <w:bCs/>
          <w:szCs w:val="28"/>
          <w:lang w:eastAsia="ru-RU"/>
        </w:rPr>
        <w:t>договоров на осуществление работ (услуг)</w:t>
      </w:r>
      <w:r w:rsidR="00BF42E6" w:rsidRPr="001C32FB">
        <w:rPr>
          <w:rFonts w:eastAsia="Times New Roman"/>
          <w:bCs/>
          <w:szCs w:val="28"/>
          <w:lang w:eastAsia="ru-RU"/>
        </w:rPr>
        <w:t xml:space="preserve"> </w:t>
      </w:r>
      <w:r w:rsidR="00D57866" w:rsidRPr="001C32FB">
        <w:rPr>
          <w:rFonts w:eastAsia="Times New Roman"/>
          <w:bCs/>
          <w:szCs w:val="28"/>
          <w:lang w:eastAsia="ru-RU"/>
        </w:rPr>
        <w:t>иным лицам запрещена</w:t>
      </w:r>
      <w:r w:rsidR="00D57866" w:rsidRPr="001C32FB">
        <w:rPr>
          <w:bCs/>
          <w:color w:val="000000"/>
          <w:szCs w:val="28"/>
        </w:rPr>
        <w:t>.</w:t>
      </w:r>
    </w:p>
    <w:p w14:paraId="2D992DEF" w14:textId="31191469" w:rsidR="00D57866" w:rsidRPr="001C32FB" w:rsidRDefault="00D57866" w:rsidP="00684A4B">
      <w:pPr>
        <w:numPr>
          <w:ilvl w:val="0"/>
          <w:numId w:val="4"/>
        </w:numPr>
        <w:suppressAutoHyphens/>
        <w:spacing w:after="160" w:line="276" w:lineRule="auto"/>
        <w:ind w:left="0" w:firstLine="709"/>
        <w:contextualSpacing/>
        <w:rPr>
          <w:sz w:val="26"/>
          <w:szCs w:val="26"/>
        </w:rPr>
      </w:pPr>
      <w:r w:rsidRPr="001C32FB">
        <w:rPr>
          <w:szCs w:val="28"/>
        </w:rPr>
        <w:t xml:space="preserve">При необходимости подтверждения обоснованности размера </w:t>
      </w:r>
      <w:r w:rsidRPr="001C32FB">
        <w:rPr>
          <w:color w:val="000000"/>
          <w:szCs w:val="28"/>
        </w:rPr>
        <w:t>расходов</w:t>
      </w:r>
      <w:r w:rsidRPr="001C32FB">
        <w:rPr>
          <w:szCs w:val="28"/>
        </w:rPr>
        <w:t xml:space="preserve"> </w:t>
      </w:r>
      <w:r w:rsidR="00384342" w:rsidRPr="001C32FB">
        <w:rPr>
          <w:szCs w:val="28"/>
        </w:rPr>
        <w:t>р</w:t>
      </w:r>
      <w:r w:rsidRPr="001C32FB">
        <w:rPr>
          <w:szCs w:val="28"/>
        </w:rPr>
        <w:t>азработчика</w:t>
      </w:r>
      <w:r w:rsidR="00551383" w:rsidRPr="001C32FB">
        <w:rPr>
          <w:szCs w:val="28"/>
        </w:rPr>
        <w:t>/интегратора</w:t>
      </w:r>
      <w:r w:rsidRPr="001C32FB">
        <w:rPr>
          <w:szCs w:val="28"/>
        </w:rPr>
        <w:t xml:space="preserve"> и (или) его контрагентов </w:t>
      </w:r>
      <w:r w:rsidR="002162D5" w:rsidRPr="001C32FB">
        <w:rPr>
          <w:szCs w:val="28"/>
        </w:rPr>
        <w:t xml:space="preserve">получателем гранта и/или </w:t>
      </w:r>
      <w:r w:rsidR="00384342" w:rsidRPr="001C32FB">
        <w:rPr>
          <w:szCs w:val="28"/>
        </w:rPr>
        <w:t>оператором</w:t>
      </w:r>
      <w:r w:rsidRPr="001C32FB">
        <w:rPr>
          <w:szCs w:val="28"/>
        </w:rPr>
        <w:t xml:space="preserve"> могут быть запрошены </w:t>
      </w:r>
      <w:r w:rsidR="00A25972" w:rsidRPr="001C32FB">
        <w:rPr>
          <w:szCs w:val="28"/>
        </w:rPr>
        <w:t>необходимые</w:t>
      </w:r>
      <w:r w:rsidRPr="001C32FB">
        <w:rPr>
          <w:szCs w:val="28"/>
        </w:rPr>
        <w:t xml:space="preserve"> материалы.</w:t>
      </w:r>
    </w:p>
    <w:p w14:paraId="623CF114" w14:textId="2112CD46" w:rsidR="00F83B91" w:rsidRDefault="00F83B91" w:rsidP="00D57866"/>
    <w:sectPr w:rsidR="00F8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5D7B5" w14:textId="77777777" w:rsidR="00180274" w:rsidRDefault="00180274" w:rsidP="00D57866">
      <w:r>
        <w:separator/>
      </w:r>
    </w:p>
  </w:endnote>
  <w:endnote w:type="continuationSeparator" w:id="0">
    <w:p w14:paraId="14BBB365" w14:textId="77777777" w:rsidR="00180274" w:rsidRDefault="00180274" w:rsidP="00D5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47F0A" w14:textId="77777777" w:rsidR="00180274" w:rsidRDefault="00180274" w:rsidP="00D57866">
      <w:r>
        <w:separator/>
      </w:r>
    </w:p>
  </w:footnote>
  <w:footnote w:type="continuationSeparator" w:id="0">
    <w:p w14:paraId="45473AE6" w14:textId="77777777" w:rsidR="00180274" w:rsidRDefault="00180274" w:rsidP="00D57866">
      <w:r>
        <w:continuationSeparator/>
      </w:r>
    </w:p>
  </w:footnote>
  <w:footnote w:id="1">
    <w:p w14:paraId="2A990D6D" w14:textId="7DD06FF4" w:rsidR="00D57866" w:rsidRPr="009F38FF" w:rsidRDefault="00D57866" w:rsidP="00D57866">
      <w:pPr>
        <w:pStyle w:val="a3"/>
        <w:jc w:val="both"/>
      </w:pPr>
      <w:r w:rsidRPr="009F38FF">
        <w:rPr>
          <w:rStyle w:val="a5"/>
        </w:rPr>
        <w:footnoteRef/>
      </w:r>
      <w:r w:rsidRPr="009F38FF">
        <w:t xml:space="preserve"> </w:t>
      </w:r>
      <w:r w:rsidRPr="002D3A4F">
        <w:rPr>
          <w:sz w:val="24"/>
          <w:szCs w:val="24"/>
        </w:rPr>
        <w:t>Индивидуальные предприниматели к категории организаций не относятся, в связи с чем</w:t>
      </w:r>
      <w:r w:rsidR="00384342">
        <w:rPr>
          <w:sz w:val="24"/>
          <w:szCs w:val="24"/>
        </w:rPr>
        <w:t xml:space="preserve"> </w:t>
      </w:r>
      <w:r w:rsidRPr="002D3A4F">
        <w:rPr>
          <w:sz w:val="24"/>
          <w:szCs w:val="24"/>
        </w:rPr>
        <w:t>привлечение их в качестве поставщика услуг недопустимо.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6C4"/>
    <w:multiLevelType w:val="multilevel"/>
    <w:tmpl w:val="B5AE6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C8447B3"/>
    <w:multiLevelType w:val="hybridMultilevel"/>
    <w:tmpl w:val="B4665A9A"/>
    <w:lvl w:ilvl="0" w:tplc="D87A6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804A00"/>
    <w:multiLevelType w:val="hybridMultilevel"/>
    <w:tmpl w:val="FE769D70"/>
    <w:lvl w:ilvl="0" w:tplc="657CA05C">
      <w:start w:val="3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9412CD"/>
    <w:multiLevelType w:val="hybridMultilevel"/>
    <w:tmpl w:val="CEB0B40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ACBCA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056577"/>
    <w:multiLevelType w:val="hybridMultilevel"/>
    <w:tmpl w:val="8716FC28"/>
    <w:lvl w:ilvl="0" w:tplc="80ACBCAC">
      <w:start w:val="1"/>
      <w:numFmt w:val="bullet"/>
      <w:lvlText w:val="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22D06"/>
    <w:multiLevelType w:val="multilevel"/>
    <w:tmpl w:val="D8A267EE"/>
    <w:lvl w:ilvl="0">
      <w:start w:val="1"/>
      <w:numFmt w:val="decimal"/>
      <w:lvlText w:val="%1)"/>
      <w:lvlJc w:val="left"/>
      <w:pPr>
        <w:tabs>
          <w:tab w:val="num" w:pos="0"/>
        </w:tabs>
        <w:ind w:left="106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2" w:hanging="180"/>
      </w:pPr>
    </w:lvl>
  </w:abstractNum>
  <w:abstractNum w:abstractNumId="6" w15:restartNumberingAfterBreak="0">
    <w:nsid w:val="3FC5293F"/>
    <w:multiLevelType w:val="multilevel"/>
    <w:tmpl w:val="70247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48C56C51"/>
    <w:multiLevelType w:val="multilevel"/>
    <w:tmpl w:val="75E65BF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0E70AF"/>
    <w:multiLevelType w:val="hybridMultilevel"/>
    <w:tmpl w:val="7C705AA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50441"/>
    <w:multiLevelType w:val="multilevel"/>
    <w:tmpl w:val="E2AC73F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A702317"/>
    <w:multiLevelType w:val="hybridMultilevel"/>
    <w:tmpl w:val="C8805A26"/>
    <w:lvl w:ilvl="0" w:tplc="80ACBCAC">
      <w:start w:val="1"/>
      <w:numFmt w:val="bullet"/>
      <w:lvlText w:val=""/>
      <w:lvlJc w:val="left"/>
      <w:pPr>
        <w:ind w:left="1422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 w16cid:durableId="970981825">
    <w:abstractNumId w:val="7"/>
  </w:num>
  <w:num w:numId="2" w16cid:durableId="524947340">
    <w:abstractNumId w:val="5"/>
  </w:num>
  <w:num w:numId="3" w16cid:durableId="1992439517">
    <w:abstractNumId w:val="6"/>
  </w:num>
  <w:num w:numId="4" w16cid:durableId="1211499629">
    <w:abstractNumId w:val="2"/>
  </w:num>
  <w:num w:numId="5" w16cid:durableId="11614672">
    <w:abstractNumId w:val="1"/>
  </w:num>
  <w:num w:numId="6" w16cid:durableId="1955021071">
    <w:abstractNumId w:val="10"/>
  </w:num>
  <w:num w:numId="7" w16cid:durableId="2122606664">
    <w:abstractNumId w:val="3"/>
  </w:num>
  <w:num w:numId="8" w16cid:durableId="1927807864">
    <w:abstractNumId w:val="9"/>
  </w:num>
  <w:num w:numId="9" w16cid:durableId="881358652">
    <w:abstractNumId w:val="0"/>
  </w:num>
  <w:num w:numId="10" w16cid:durableId="1582593281">
    <w:abstractNumId w:val="8"/>
  </w:num>
  <w:num w:numId="11" w16cid:durableId="1233587646">
    <w:abstractNumId w:val="4"/>
  </w:num>
  <w:num w:numId="12" w16cid:durableId="1438988022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08573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91"/>
    <w:rsid w:val="00002F7C"/>
    <w:rsid w:val="00035EEA"/>
    <w:rsid w:val="00044679"/>
    <w:rsid w:val="00054A4D"/>
    <w:rsid w:val="00082E8A"/>
    <w:rsid w:val="000A212A"/>
    <w:rsid w:val="000B756A"/>
    <w:rsid w:val="000D619B"/>
    <w:rsid w:val="000E40F1"/>
    <w:rsid w:val="00100A16"/>
    <w:rsid w:val="00130E56"/>
    <w:rsid w:val="001472EF"/>
    <w:rsid w:val="00180274"/>
    <w:rsid w:val="00186AC6"/>
    <w:rsid w:val="0018728D"/>
    <w:rsid w:val="00187511"/>
    <w:rsid w:val="001C32FB"/>
    <w:rsid w:val="001E6286"/>
    <w:rsid w:val="0021367E"/>
    <w:rsid w:val="002162D5"/>
    <w:rsid w:val="00231D36"/>
    <w:rsid w:val="00255A1F"/>
    <w:rsid w:val="002A297C"/>
    <w:rsid w:val="002D3A4F"/>
    <w:rsid w:val="002D68AB"/>
    <w:rsid w:val="00316D35"/>
    <w:rsid w:val="00333E7B"/>
    <w:rsid w:val="0035049F"/>
    <w:rsid w:val="00350542"/>
    <w:rsid w:val="00354178"/>
    <w:rsid w:val="00383DB3"/>
    <w:rsid w:val="00384342"/>
    <w:rsid w:val="003A2A28"/>
    <w:rsid w:val="003E4051"/>
    <w:rsid w:val="003E63E6"/>
    <w:rsid w:val="00405D4B"/>
    <w:rsid w:val="00420ECB"/>
    <w:rsid w:val="00432162"/>
    <w:rsid w:val="004531AA"/>
    <w:rsid w:val="00473334"/>
    <w:rsid w:val="004843EF"/>
    <w:rsid w:val="004A4840"/>
    <w:rsid w:val="00506715"/>
    <w:rsid w:val="005210F8"/>
    <w:rsid w:val="00524160"/>
    <w:rsid w:val="005479BE"/>
    <w:rsid w:val="00551383"/>
    <w:rsid w:val="00564579"/>
    <w:rsid w:val="005766C1"/>
    <w:rsid w:val="00581BC6"/>
    <w:rsid w:val="005A6F26"/>
    <w:rsid w:val="005B23A6"/>
    <w:rsid w:val="005C1980"/>
    <w:rsid w:val="005C4A75"/>
    <w:rsid w:val="005D7CA9"/>
    <w:rsid w:val="005F7545"/>
    <w:rsid w:val="00621328"/>
    <w:rsid w:val="00660E09"/>
    <w:rsid w:val="00665F7E"/>
    <w:rsid w:val="006729E0"/>
    <w:rsid w:val="00684A4B"/>
    <w:rsid w:val="006969A7"/>
    <w:rsid w:val="006F6939"/>
    <w:rsid w:val="0071133D"/>
    <w:rsid w:val="007B13D8"/>
    <w:rsid w:val="007B2951"/>
    <w:rsid w:val="007D2853"/>
    <w:rsid w:val="008368AD"/>
    <w:rsid w:val="00852265"/>
    <w:rsid w:val="00854A2A"/>
    <w:rsid w:val="00867384"/>
    <w:rsid w:val="00874D0D"/>
    <w:rsid w:val="008A69A5"/>
    <w:rsid w:val="008B21EA"/>
    <w:rsid w:val="008B6004"/>
    <w:rsid w:val="008D2568"/>
    <w:rsid w:val="008E5E4B"/>
    <w:rsid w:val="00903347"/>
    <w:rsid w:val="00963360"/>
    <w:rsid w:val="00963664"/>
    <w:rsid w:val="009669C6"/>
    <w:rsid w:val="00966D15"/>
    <w:rsid w:val="009969AD"/>
    <w:rsid w:val="009D23B4"/>
    <w:rsid w:val="009D421D"/>
    <w:rsid w:val="00A0461C"/>
    <w:rsid w:val="00A25972"/>
    <w:rsid w:val="00AA314C"/>
    <w:rsid w:val="00AB235B"/>
    <w:rsid w:val="00AB3F16"/>
    <w:rsid w:val="00AC6C99"/>
    <w:rsid w:val="00B20FDE"/>
    <w:rsid w:val="00B34234"/>
    <w:rsid w:val="00B36BC9"/>
    <w:rsid w:val="00B4797D"/>
    <w:rsid w:val="00B528FF"/>
    <w:rsid w:val="00B71E75"/>
    <w:rsid w:val="00B754B0"/>
    <w:rsid w:val="00B87FEA"/>
    <w:rsid w:val="00BB1924"/>
    <w:rsid w:val="00BC7E13"/>
    <w:rsid w:val="00BF42E6"/>
    <w:rsid w:val="00C36FEF"/>
    <w:rsid w:val="00C55066"/>
    <w:rsid w:val="00C85043"/>
    <w:rsid w:val="00CA106D"/>
    <w:rsid w:val="00D40C26"/>
    <w:rsid w:val="00D57866"/>
    <w:rsid w:val="00D66A73"/>
    <w:rsid w:val="00D778FC"/>
    <w:rsid w:val="00D846A4"/>
    <w:rsid w:val="00D97055"/>
    <w:rsid w:val="00DB18DE"/>
    <w:rsid w:val="00DC6BD9"/>
    <w:rsid w:val="00DD32C8"/>
    <w:rsid w:val="00DD78C7"/>
    <w:rsid w:val="00DF5536"/>
    <w:rsid w:val="00E22FFB"/>
    <w:rsid w:val="00E26CAF"/>
    <w:rsid w:val="00E37259"/>
    <w:rsid w:val="00E41B29"/>
    <w:rsid w:val="00E55168"/>
    <w:rsid w:val="00E76842"/>
    <w:rsid w:val="00E80F41"/>
    <w:rsid w:val="00E95B8F"/>
    <w:rsid w:val="00EA22F6"/>
    <w:rsid w:val="00EB7267"/>
    <w:rsid w:val="00EB75AD"/>
    <w:rsid w:val="00EC4A72"/>
    <w:rsid w:val="00F07379"/>
    <w:rsid w:val="00F656F4"/>
    <w:rsid w:val="00F82B66"/>
    <w:rsid w:val="00F83B91"/>
    <w:rsid w:val="00F92D21"/>
    <w:rsid w:val="00FA1E56"/>
    <w:rsid w:val="00FA2A93"/>
    <w:rsid w:val="00FA50CC"/>
    <w:rsid w:val="00FC640E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6280"/>
  <w15:chartTrackingRefBased/>
  <w15:docId w15:val="{47134F0F-EDCF-4D93-A868-737B831F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866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D57866"/>
    <w:pPr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D57866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character" w:styleId="a5">
    <w:name w:val="footnote reference"/>
    <w:uiPriority w:val="99"/>
    <w:semiHidden/>
    <w:unhideWhenUsed/>
    <w:rsid w:val="00D57866"/>
    <w:rPr>
      <w:vertAlign w:val="superscript"/>
    </w:rPr>
  </w:style>
  <w:style w:type="paragraph" w:styleId="a6">
    <w:name w:val="List Paragraph"/>
    <w:basedOn w:val="a"/>
    <w:uiPriority w:val="34"/>
    <w:qFormat/>
    <w:rsid w:val="00524160"/>
    <w:pPr>
      <w:ind w:left="720"/>
      <w:contextualSpacing/>
      <w:jc w:val="left"/>
    </w:pPr>
  </w:style>
  <w:style w:type="character" w:styleId="a7">
    <w:name w:val="annotation reference"/>
    <w:basedOn w:val="a0"/>
    <w:uiPriority w:val="99"/>
    <w:semiHidden/>
    <w:unhideWhenUsed/>
    <w:rsid w:val="00DD32C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D32C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D32C8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D32C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D32C8"/>
    <w:rPr>
      <w:rFonts w:ascii="Times New Roman" w:eastAsia="Calibri" w:hAnsi="Times New Roman" w:cs="Times New Roman"/>
      <w:b/>
      <w:bCs/>
      <w:kern w:val="0"/>
      <w:sz w:val="20"/>
      <w:szCs w:val="20"/>
      <w14:ligatures w14:val="none"/>
    </w:rPr>
  </w:style>
  <w:style w:type="paragraph" w:styleId="ac">
    <w:name w:val="Balloon Text"/>
    <w:basedOn w:val="a"/>
    <w:link w:val="ad"/>
    <w:uiPriority w:val="99"/>
    <w:semiHidden/>
    <w:unhideWhenUsed/>
    <w:rsid w:val="00DD32C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D32C8"/>
    <w:rPr>
      <w:rFonts w:ascii="Segoe UI" w:eastAsia="Calibri" w:hAnsi="Segoe UI" w:cs="Segoe UI"/>
      <w:kern w:val="0"/>
      <w:sz w:val="18"/>
      <w:szCs w:val="18"/>
      <w14:ligatures w14:val="none"/>
    </w:rPr>
  </w:style>
  <w:style w:type="paragraph" w:styleId="ae">
    <w:name w:val="Revision"/>
    <w:hidden/>
    <w:uiPriority w:val="99"/>
    <w:semiHidden/>
    <w:rsid w:val="00186AC6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27DDB-395B-4C48-A102-918EEF76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Асророва Нигина Шарифджоновна</dc:creator>
  <cp:keywords/>
  <dc:description/>
  <cp:lastModifiedBy>Асророва Нигина Шарифджоновна</cp:lastModifiedBy>
  <cp:revision>68</cp:revision>
  <cp:lastPrinted>2024-08-16T14:42:00Z</cp:lastPrinted>
  <dcterms:created xsi:type="dcterms:W3CDTF">2025-03-26T13:21:00Z</dcterms:created>
  <dcterms:modified xsi:type="dcterms:W3CDTF">2025-09-25T09:17:00Z</dcterms:modified>
</cp:coreProperties>
</file>