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9.xml" ContentType="application/vnd.openxmlformats-officedocument.wordprocessingml.header+xml"/>
  <Override PartName="/word/footer12.xml" ContentType="application/vnd.openxmlformats-officedocument.wordprocessingml.footer+xml"/>
  <Override PartName="/word/styles.xml" ContentType="application/vnd.openxmlformats-officedocument.wordprocessingml.styles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16.xml" ContentType="application/vnd.openxmlformats-officedocument.wordprocessingml.footer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theme/theme1.xml" ContentType="application/vnd.openxmlformats-officedocument.theme+xml"/>
  <Override PartName="/word/header18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15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spacing w:lineRule="auto" w:line="449" w:before="0" w:after="720"/>
        <w:ind w:hanging="0"/>
        <w:jc w:val="center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ФЕДЕРАЛЬНОЕ АГЕНТСТВО</w:t>
        <w:br/>
        <w:t>ПО ТЕХНИЧЕСКОМУ РЕГУЛИРОВАНИЮ И МЕТРОЛОГИИ</w:t>
      </w:r>
      <w:r>
        <mc:AlternateContent>
          <mc:Choice Requires="wps">
            <w:drawing>
              <wp:anchor behindDoc="0" distT="72390" distB="72390" distL="114300" distR="114300" simplePos="0" locked="0" layoutInCell="0" allowOverlap="1" relativeHeight="17">
                <wp:simplePos x="0" y="0"/>
                <wp:positionH relativeFrom="column">
                  <wp:posOffset>4754880</wp:posOffset>
                </wp:positionH>
                <wp:positionV relativeFrom="paragraph">
                  <wp:posOffset>901700</wp:posOffset>
                </wp:positionV>
                <wp:extent cx="1000125" cy="942975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0125" cy="94297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61"/>
                              <w:spacing w:lineRule="auto" w:line="266" w:before="0" w:after="0"/>
                              <w:rPr>
                                <w:rFonts w:ascii="Courier New" w:hAnsi="Courier New"/>
                                <w:b w:val="false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Style w:val="6"/>
                                <w:b w:val="false"/>
                                <w:color w:val="000000"/>
                                <w:spacing w:val="0"/>
                                <w:w w:val="100"/>
                                <w:lang w:val="ru-RU" w:eastAsia="ru-RU"/>
                              </w:rPr>
                              <w:t>ГОСТР</w:t>
                              <w:br/>
                              <w:t>55062—</w:t>
                              <w:br/>
                            </w:r>
                            <w:r>
                              <w:rPr>
                                <w:rStyle w:val="6"/>
                                <w:b w:val="false"/>
                                <w:color w:val="000000"/>
                                <w:spacing w:val="0"/>
                                <w:w w:val="100"/>
                                <w:sz w:val="34"/>
                                <w:lang w:val="ru-RU" w:eastAsia="ru-RU"/>
                              </w:rPr>
                              <w:t>2021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78.75pt;height:74.25pt;mso-wrap-distance-left:9pt;mso-wrap-distance-right:9pt;mso-wrap-distance-top:5.7pt;mso-wrap-distance-bottom:5.7pt;margin-top:71pt;mso-position-vertical-relative:text;margin-left:374.4pt;mso-position-horizontal-relative:text">
                <v:fill opacity="0f"/>
                <v:textbox inset="0in,0in,0in,0in">
                  <w:txbxContent>
                    <w:p>
                      <w:pPr>
                        <w:pStyle w:val="61"/>
                        <w:spacing w:lineRule="auto" w:line="266" w:before="0" w:after="0"/>
                        <w:rPr>
                          <w:rFonts w:ascii="Courier New" w:hAnsi="Courier New"/>
                          <w:b w:val="false"/>
                          <w:sz w:val="24"/>
                          <w:lang w:val="ru-RU"/>
                        </w:rPr>
                      </w:pPr>
                      <w:r>
                        <w:rPr>
                          <w:rStyle w:val="6"/>
                          <w:b w:val="false"/>
                          <w:color w:val="000000"/>
                          <w:spacing w:val="0"/>
                          <w:w w:val="100"/>
                          <w:lang w:val="ru-RU" w:eastAsia="ru-RU"/>
                        </w:rPr>
                        <w:t>ГОСТР</w:t>
                        <w:br/>
                        <w:t>55062—</w:t>
                        <w:br/>
                      </w:r>
                      <w:r>
                        <w:rPr>
                          <w:rStyle w:val="6"/>
                          <w:b w:val="false"/>
                          <w:color w:val="000000"/>
                          <w:spacing w:val="0"/>
                          <w:w w:val="100"/>
                          <w:sz w:val="34"/>
                          <w:lang w:val="ru-RU" w:eastAsia="ru-RU"/>
                        </w:rPr>
                        <w:t>2021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51"/>
        <w:spacing w:lineRule="auto" w:line="341" w:before="0" w:after="1880"/>
        <w:rPr>
          <w:rFonts w:ascii="Courier New" w:hAnsi="Courier New"/>
          <w:b w:val="false"/>
          <w:sz w:val="24"/>
          <w:lang w:val="ru-RU"/>
        </w:rPr>
      </w:pPr>
      <w:r>
        <w:drawing>
          <wp:anchor behindDoc="0" distT="0" distB="0" distL="114300" distR="114300" simplePos="0" locked="0" layoutInCell="0" allowOverlap="1" relativeHeight="20">
            <wp:simplePos x="0" y="0"/>
            <wp:positionH relativeFrom="column">
              <wp:posOffset>-348615</wp:posOffset>
            </wp:positionH>
            <wp:positionV relativeFrom="paragraph">
              <wp:posOffset>12700</wp:posOffset>
            </wp:positionV>
            <wp:extent cx="1440180" cy="908685"/>
            <wp:effectExtent l="0" t="0" r="0" b="0"/>
            <wp:wrapSquare wrapText="bothSides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908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5"/>
          <w:b w:val="false"/>
          <w:color w:val="000000"/>
          <w:spacing w:val="0"/>
          <w:w w:val="100"/>
          <w:lang w:val="ru-RU" w:eastAsia="ru-RU"/>
        </w:rPr>
        <w:t>НАЦИОНАЛЬНЫЙ</w:t>
        <w:br/>
        <w:t>СТАНДАРТ</w:t>
        <w:br/>
        <w:t>РОССИЙСКОЙ</w:t>
        <w:br/>
        <w:t>ФЕДЕРАЦИИ</w:t>
      </w:r>
    </w:p>
    <w:p>
      <w:pPr>
        <w:pStyle w:val="41"/>
        <w:spacing w:lineRule="auto" w:line="240" w:before="0" w:after="300"/>
        <w:ind w:hanging="0" w:start="146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4"/>
          <w:b w:val="false"/>
          <w:color w:val="000000"/>
          <w:spacing w:val="0"/>
          <w:w w:val="100"/>
          <w:lang w:val="ru-RU" w:eastAsia="ru-RU"/>
        </w:rPr>
        <w:t>Информационные технологии</w:t>
      </w:r>
    </w:p>
    <w:p>
      <w:pPr>
        <w:pStyle w:val="11"/>
        <w:keepNext w:val="true"/>
        <w:keepLines/>
        <w:spacing w:lineRule="auto" w:line="240" w:before="0" w:after="300"/>
        <w:jc w:val="both"/>
        <w:rPr>
          <w:rFonts w:ascii="Courier New" w:hAnsi="Courier New"/>
          <w:b w:val="false"/>
          <w:sz w:val="24"/>
        </w:rPr>
      </w:pPr>
      <w:bookmarkStart w:id="0" w:name="bookmark0"/>
      <w:r>
        <w:rPr>
          <w:rStyle w:val="1"/>
          <w:b w:val="false"/>
          <w:color w:val="000000"/>
          <w:spacing w:val="0"/>
          <w:w w:val="100"/>
          <w:lang w:val="ru-RU" w:eastAsia="ru-RU"/>
        </w:rPr>
        <w:t>ИНТЕРОПЕРАБЕЛЬНОСТЬ</w:t>
      </w:r>
      <w:bookmarkEnd w:id="0"/>
    </w:p>
    <w:p>
      <w:pPr>
        <w:pStyle w:val="41"/>
        <w:spacing w:lineRule="auto" w:line="240" w:before="0" w:after="900"/>
        <w:ind w:hanging="0" w:start="0"/>
        <w:jc w:val="center"/>
        <w:rPr>
          <w:rFonts w:ascii="Courier New" w:hAnsi="Courier New"/>
          <w:b w:val="false"/>
          <w:sz w:val="24"/>
          <w:lang w:val="ru-RU"/>
        </w:rPr>
      </w:pPr>
      <w:r>
        <w:rPr>
          <w:rStyle w:val="4"/>
          <w:b w:val="false"/>
          <w:color w:val="000000"/>
          <w:spacing w:val="0"/>
          <w:w w:val="100"/>
          <w:lang w:val="ru-RU" w:eastAsia="ru-RU"/>
        </w:rPr>
        <w:t>Основные положения</w:t>
      </w:r>
    </w:p>
    <w:p>
      <w:pPr>
        <w:pStyle w:val="Style17"/>
        <w:spacing w:lineRule="auto" w:line="240" w:before="0" w:after="5040"/>
        <w:ind w:hanging="0" w:start="3120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Издание официальное</w:t>
      </w:r>
    </w:p>
    <w:p>
      <w:pPr>
        <w:pStyle w:val="23"/>
        <w:spacing w:lineRule="auto" w:line="293" w:before="0" w:after="0"/>
        <w:jc w:val="center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Москва</w:t>
        <w:br/>
        <w:t>Российский институт стандартизации</w:t>
        <w:br/>
        <w:t>2021</w:t>
      </w:r>
    </w:p>
    <w:p>
      <w:pPr>
        <w:pStyle w:val="24"/>
        <w:keepNext w:val="true"/>
        <w:keepLines/>
        <w:spacing w:lineRule="auto" w:line="240" w:before="0" w:after="200"/>
        <w:ind w:hanging="0"/>
        <w:jc w:val="center"/>
        <w:rPr>
          <w:rFonts w:ascii="Courier New" w:hAnsi="Courier New"/>
          <w:b w:val="false"/>
          <w:sz w:val="24"/>
        </w:rPr>
      </w:pPr>
      <w:bookmarkStart w:id="1" w:name="bookmark2"/>
      <w:r>
        <w:rPr>
          <w:rStyle w:val="21"/>
          <w:b w:val="false"/>
          <w:color w:val="000000"/>
          <w:spacing w:val="0"/>
          <w:w w:val="100"/>
          <w:lang w:val="ru-RU" w:eastAsia="ru-RU"/>
        </w:rPr>
        <w:t>Предисловие</w:t>
      </w:r>
      <w:bookmarkEnd w:id="1"/>
    </w:p>
    <w:p>
      <w:pPr>
        <w:pStyle w:val="Style17"/>
        <w:numPr>
          <w:ilvl w:val="0"/>
          <w:numId w:val="2"/>
        </w:numPr>
        <w:tabs>
          <w:tab w:val="clear" w:pos="720"/>
          <w:tab w:val="left" w:pos="729" w:leader="none"/>
        </w:tabs>
        <w:spacing w:lineRule="auto" w:line="283" w:before="0" w:after="2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РАЗРАБОТАН Федеральным государственным автономным образовательным учреждением</w:t>
        <w:br/>
        <w:t>высшего образования «Национальный исследовательский университет «Высшая школа экономики»</w:t>
        <w:br/>
        <w:t>(НИУ ВШЭ). Обществом с ограниченной ответственностью «Информационно-аналитический вычисли-</w:t>
        <w:br/>
        <w:t>тельный центр» (ООО ИАВЦ). Федеральным государственным бюджетным учреждением науки Инсти-</w:t>
        <w:br/>
        <w:t>тутом радиотехники и электроники им. В.А. Котельникова РАН (ИРЭ им. В.А. Котельникова РАН)</w:t>
      </w:r>
    </w:p>
    <w:p>
      <w:pPr>
        <w:pStyle w:val="Style17"/>
        <w:numPr>
          <w:ilvl w:val="0"/>
          <w:numId w:val="2"/>
        </w:numPr>
        <w:tabs>
          <w:tab w:val="clear" w:pos="720"/>
          <w:tab w:val="left" w:pos="752" w:leader="none"/>
        </w:tabs>
        <w:spacing w:lineRule="auto" w:line="283" w:before="0" w:after="2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ВНЕСЕН Техническим комитетом ло стандартизации ТК 22 «Информационные технологии» и</w:t>
        <w:br/>
        <w:t>ТК459 «Информационная поддержка жизненного цикла изделий»</w:t>
      </w:r>
    </w:p>
    <w:p>
      <w:pPr>
        <w:pStyle w:val="Style17"/>
        <w:numPr>
          <w:ilvl w:val="0"/>
          <w:numId w:val="2"/>
        </w:numPr>
        <w:tabs>
          <w:tab w:val="clear" w:pos="720"/>
          <w:tab w:val="left" w:pos="761" w:leader="none"/>
        </w:tabs>
        <w:spacing w:lineRule="auto" w:line="293" w:before="0" w:after="2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УТВЕРЖДЕН И ВВЕДЕН В ДЕЙСТВИЕ Приказом Федерального агентства ло техническому ре-</w:t>
        <w:br/>
        <w:t>гулированию и метрологии от 25 октября 2021 г. Не 1296-ст</w:t>
      </w:r>
    </w:p>
    <w:p>
      <w:pPr>
        <w:pStyle w:val="Style17"/>
        <w:numPr>
          <w:ilvl w:val="0"/>
          <w:numId w:val="2"/>
        </w:numPr>
        <w:tabs>
          <w:tab w:val="clear" w:pos="720"/>
          <w:tab w:val="left" w:pos="1249" w:leader="none"/>
        </w:tabs>
        <w:spacing w:lineRule="auto" w:line="283" w:before="0" w:after="72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ВЗАМЕН ГОСТ Р 55062—2012</w:t>
      </w:r>
    </w:p>
    <w:p>
      <w:pPr>
        <w:pStyle w:val="Style17"/>
        <w:spacing w:lineRule="auto" w:line="276" w:before="0" w:after="56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Правила </w:t>
      </w:r>
      <w:r>
        <w:rPr>
          <w:rStyle w:val="Style14"/>
          <w:b w:val="false"/>
          <w:i/>
          <w:color w:val="000000"/>
          <w:spacing w:val="0"/>
          <w:w w:val="100"/>
          <w:lang w:val="ru-RU" w:eastAsia="ru-RU"/>
        </w:rPr>
        <w:t>применения настоящего стандарта установлены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 в </w:t>
      </w:r>
      <w:r>
        <w:rPr>
          <w:rStyle w:val="Style14"/>
          <w:b w:val="false"/>
          <w:i/>
          <w:color w:val="000000"/>
          <w:spacing w:val="0"/>
          <w:w w:val="100"/>
          <w:lang w:val="ru-RU" w:eastAsia="ru-RU"/>
        </w:rPr>
        <w:t>статье 26 Федерального закона</w:t>
        <w:br/>
        <w:t xml:space="preserve">от 29 июня 2015 г. </w:t>
      </w:r>
      <w:r>
        <w:rPr>
          <w:rStyle w:val="Style14"/>
          <w:b w:val="false"/>
          <w:i/>
          <w:color w:val="000000"/>
          <w:spacing w:val="0"/>
          <w:w w:val="100"/>
          <w:lang w:val="en-US" w:eastAsia="en-US"/>
        </w:rPr>
        <w:t xml:space="preserve">Nt </w:t>
      </w:r>
      <w:r>
        <w:rPr>
          <w:rStyle w:val="Style14"/>
          <w:b w:val="false"/>
          <w:i/>
          <w:color w:val="000000"/>
          <w:spacing w:val="0"/>
          <w:w w:val="100"/>
          <w:lang w:val="ru-RU" w:eastAsia="ru-RU"/>
        </w:rPr>
        <w:t>162-ФЗ «О стандартизации е Российской Федерации». Информация об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 из-</w:t>
        <w:br/>
        <w:t xml:space="preserve">менениях </w:t>
      </w:r>
      <w:r>
        <w:rPr>
          <w:rStyle w:val="Style14"/>
          <w:b w:val="false"/>
          <w:i/>
          <w:color w:val="000000"/>
          <w:spacing w:val="0"/>
          <w:w w:val="100"/>
          <w:lang w:val="ru-RU" w:eastAsia="ru-RU"/>
        </w:rPr>
        <w:t>к настоящему стандарту публикуется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 в </w:t>
      </w:r>
      <w:r>
        <w:rPr>
          <w:rStyle w:val="Style14"/>
          <w:b w:val="false"/>
          <w:i/>
          <w:color w:val="000000"/>
          <w:spacing w:val="0"/>
          <w:w w:val="100"/>
          <w:lang w:val="ru-RU" w:eastAsia="ru-RU"/>
        </w:rPr>
        <w:t>ежегодном (ло состоянию на 1 января текущего</w:t>
        <w:br/>
        <w:t>года) информационном указателе «Национальные стандарты», а официальный текст изменений</w:t>
        <w:br/>
        <w:t>и поправок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 — в </w:t>
      </w:r>
      <w:r>
        <w:rPr>
          <w:rStyle w:val="Style14"/>
          <w:b w:val="false"/>
          <w:i/>
          <w:color w:val="000000"/>
          <w:spacing w:val="0"/>
          <w:w w:val="100"/>
          <w:lang w:val="ru-RU" w:eastAsia="ru-RU"/>
        </w:rPr>
        <w:t>ежемесячном информационном указателе «Национальные стандарты». В случае</w:t>
        <w:br/>
        <w:t>пересмотра (замены) или отмены настоящего стандарта соответствующее уведомление будет</w:t>
        <w:br/>
        <w:t>опубликовано в ближайшем выпуске ежемесячного информационного указателя «Национальные</w:t>
        <w:br/>
        <w:t>стандарты». Соответствующая информация, уведомление и тексты размещаются также в ин-</w:t>
        <w:br/>
        <w:t>формационной системе общего пользования — на официальном сайте Федерального агентства по</w:t>
        <w:br/>
        <w:t xml:space="preserve">техническому регулированию и метрологии в сети Интернет </w:t>
      </w:r>
      <w:r>
        <w:rPr>
          <w:rStyle w:val="Style14"/>
          <w:b w:val="false"/>
          <w:i/>
          <w:color w:val="000000"/>
          <w:spacing w:val="0"/>
          <w:w w:val="100"/>
          <w:lang w:val="en-US" w:eastAsia="en-US"/>
        </w:rPr>
        <w:t>(</w:t>
      </w:r>
      <w:hyperlink r:id="rId3">
        <w:r>
          <w:rPr>
            <w:rStyle w:val="Hyperlink"/>
            <w:rFonts w:ascii="Courier New" w:hAnsi="Courier New"/>
            <w:i/>
            <w:spacing w:val="0"/>
            <w:w w:val="100"/>
            <w:lang w:val="en-US" w:eastAsia="en-US"/>
          </w:rPr>
          <w:t>www.rst.gov.ru</w:t>
        </w:r>
      </w:hyperlink>
      <w:r>
        <w:rPr>
          <w:rStyle w:val="Style14"/>
          <w:b w:val="false"/>
          <w:i/>
          <w:color w:val="000000"/>
          <w:spacing w:val="0"/>
          <w:w w:val="100"/>
          <w:lang w:val="en-US" w:eastAsia="en-US"/>
        </w:rPr>
        <w:t>)</w:t>
      </w:r>
    </w:p>
    <w:p>
      <w:pPr>
        <w:pStyle w:val="Style17"/>
        <w:spacing w:lineRule="auto" w:line="271" w:before="0" w:after="200"/>
        <w:ind w:hanging="0"/>
        <w:jc w:val="end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©Оформление. ФГБУ «РСТ». 2021</w:t>
      </w:r>
    </w:p>
    <w:p>
      <w:pPr>
        <w:pStyle w:val="Style17"/>
        <w:spacing w:lineRule="auto" w:line="271" w:before="0" w:after="1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Настоящий стандарт не может быть полностью или частично воспроизведен, тиражирован и рас-</w:t>
        <w:br/>
        <w:t>пространен в качестве официального издания без разрешения Федерального агентства по техническо-</w:t>
        <w:br/>
        <w:t>му регулированию и метрологии</w:t>
      </w:r>
    </w:p>
    <w:p>
      <w:pPr>
        <w:pStyle w:val="23"/>
        <w:spacing w:lineRule="auto" w:line="240" w:before="0" w:after="200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II</w:t>
      </w:r>
    </w:p>
    <w:p>
      <w:pPr>
        <w:pStyle w:val="24"/>
        <w:keepNext w:val="true"/>
        <w:keepLines/>
        <w:tabs>
          <w:tab w:val="clear" w:pos="720"/>
          <w:tab w:val="right" w:pos="9594" w:leader="dot"/>
        </w:tabs>
        <w:spacing w:lineRule="auto" w:line="526" w:before="0" w:after="0"/>
        <w:ind w:hanging="0"/>
        <w:jc w:val="center"/>
        <w:rPr>
          <w:rFonts w:ascii="Courier New" w:hAnsi="Courier New"/>
          <w:b w:val="false"/>
          <w:sz w:val="24"/>
        </w:rPr>
      </w:pPr>
      <w:bookmarkStart w:id="2" w:name="bookmark4"/>
      <w:r>
        <w:rPr>
          <w:rStyle w:val="21"/>
          <w:b w:val="false"/>
          <w:color w:val="000000"/>
          <w:spacing w:val="0"/>
          <w:w w:val="100"/>
          <w:lang w:val="ru-RU" w:eastAsia="ru-RU"/>
        </w:rPr>
        <w:t>Содержание</w:t>
      </w:r>
      <w:bookmarkEnd w:id="2"/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18"/>
            <w:keepNext w:val="true"/>
            <w:keepLines/>
            <w:numPr>
              <w:ilvl w:val="0"/>
              <w:numId w:val="0"/>
            </w:numPr>
            <w:tabs>
              <w:tab w:val="clear" w:pos="720"/>
              <w:tab w:val="right" w:pos="9629" w:leader="dot"/>
            </w:tabs>
            <w:spacing w:lineRule="auto" w:line="526" w:before="0" w:after="0"/>
            <w:ind w:hanging="0"/>
            <w:jc w:val="center"/>
            <w:outlineLvl w:val="1"/>
            <w:rPr>
              <w:rFonts w:ascii="Courier New" w:hAnsi="Courier New"/>
              <w:b w:val="false"/>
              <w:sz w:val="24"/>
            </w:rPr>
          </w:pPr>
          <w:r>
            <w:fldChar w:fldCharType="begin"/>
          </w:r>
          <w:r>
            <w:rPr>
              <w:rStyle w:val="IndexLink"/>
              <w:webHidden/>
              <w:color w:val="000000"/>
              <w:spacing w:val="0"/>
              <w:w w:val="100"/>
              <w:lang w:val="ru-RU" w:eastAsia="ru-RU"/>
            </w:rPr>
            <w:instrText xml:space="preserve"> TOC \z \o "1-5" \h</w:instrText>
          </w:r>
          <w:r>
            <w:rPr>
              <w:rStyle w:val="IndexLink"/>
              <w:webHidden/>
              <w:color w:val="000000"/>
              <w:spacing w:val="0"/>
              <w:w w:val="100"/>
              <w:lang w:val="ru-RU" w:eastAsia="ru-RU"/>
            </w:rPr>
            <w:fldChar w:fldCharType="separate"/>
          </w:r>
          <w:hyperlink w:anchor="bookmark10">
            <w:r>
              <w:rPr>
                <w:rStyle w:val="IndexLink"/>
                <w:webHidden/>
                <w:color w:val="000000"/>
                <w:spacing w:val="0"/>
                <w:w w:val="100"/>
                <w:lang w:val="ru-RU" w:eastAsia="ru-RU"/>
              </w:rPr>
              <w:t>1 Область применения</w:t>
              <w:tab/>
              <w:t>1</w:t>
            </w:r>
          </w:hyperlink>
        </w:p>
        <w:p>
          <w:pPr>
            <w:pStyle w:val="Style18"/>
            <w:numPr>
              <w:ilvl w:val="0"/>
              <w:numId w:val="3"/>
            </w:numPr>
            <w:tabs>
              <w:tab w:val="clear" w:pos="720"/>
              <w:tab w:val="left" w:pos="299" w:leader="none"/>
              <w:tab w:val="right" w:pos="9629" w:leader="dot"/>
            </w:tabs>
            <w:spacing w:lineRule="auto" w:line="240" w:before="0" w:after="120"/>
            <w:ind w:hanging="0"/>
            <w:rPr>
              <w:b w:val="false"/>
              <w:sz w:val="24"/>
            </w:rPr>
          </w:pPr>
          <w:hyperlink w:anchor="bookmark12">
            <w:r>
              <w:rPr>
                <w:rStyle w:val="IndexLink"/>
                <w:webHidden/>
                <w:color w:val="000000"/>
                <w:spacing w:val="0"/>
                <w:w w:val="100"/>
                <w:lang w:val="ru-RU" w:eastAsia="ru-RU"/>
              </w:rPr>
              <w:t>Нормативные ссылки</w:t>
              <w:tab/>
              <w:t>1</w:t>
            </w:r>
          </w:hyperlink>
        </w:p>
        <w:p>
          <w:pPr>
            <w:pStyle w:val="Style18"/>
            <w:numPr>
              <w:ilvl w:val="0"/>
              <w:numId w:val="3"/>
            </w:numPr>
            <w:tabs>
              <w:tab w:val="clear" w:pos="720"/>
              <w:tab w:val="left" w:pos="308" w:leader="none"/>
              <w:tab w:val="right" w:pos="9629" w:leader="dot"/>
            </w:tabs>
            <w:spacing w:lineRule="auto" w:line="240" w:before="0" w:after="120"/>
            <w:ind w:hanging="0"/>
            <w:rPr>
              <w:b w:val="false"/>
              <w:sz w:val="24"/>
            </w:rPr>
          </w:pPr>
          <w:hyperlink w:anchor="bookmark14">
            <w:r>
              <w:rPr>
                <w:rStyle w:val="IndexLink"/>
                <w:webHidden/>
                <w:color w:val="000000"/>
                <w:spacing w:val="0"/>
                <w:w w:val="100"/>
                <w:lang w:val="ru-RU" w:eastAsia="ru-RU"/>
              </w:rPr>
              <w:t>Термины, определения и сокращения</w:t>
              <w:tab/>
              <w:t>2</w:t>
            </w:r>
          </w:hyperlink>
        </w:p>
        <w:p>
          <w:pPr>
            <w:pStyle w:val="Style18"/>
            <w:numPr>
              <w:ilvl w:val="0"/>
              <w:numId w:val="3"/>
            </w:numPr>
            <w:tabs>
              <w:tab w:val="clear" w:pos="720"/>
              <w:tab w:val="left" w:pos="308" w:leader="none"/>
              <w:tab w:val="right" w:pos="9629" w:leader="dot"/>
            </w:tabs>
            <w:spacing w:lineRule="auto" w:line="240" w:before="0" w:after="120"/>
            <w:ind w:hanging="0"/>
            <w:rPr>
              <w:b w:val="false"/>
              <w:sz w:val="24"/>
            </w:rPr>
          </w:pPr>
          <w:hyperlink w:anchor="bookmark16">
            <w:r>
              <w:rPr>
                <w:rStyle w:val="IndexLink"/>
                <w:webHidden/>
                <w:color w:val="000000"/>
                <w:spacing w:val="0"/>
                <w:w w:val="100"/>
                <w:lang w:val="ru-RU" w:eastAsia="ru-RU"/>
              </w:rPr>
              <w:t>Общие положения</w:t>
              <w:tab/>
              <w:t>3</w:t>
            </w:r>
          </w:hyperlink>
        </w:p>
        <w:p>
          <w:pPr>
            <w:pStyle w:val="Style18"/>
            <w:numPr>
              <w:ilvl w:val="0"/>
              <w:numId w:val="3"/>
            </w:numPr>
            <w:tabs>
              <w:tab w:val="clear" w:pos="720"/>
              <w:tab w:val="left" w:pos="308" w:leader="none"/>
              <w:tab w:val="right" w:pos="9629" w:leader="dot"/>
            </w:tabs>
            <w:spacing w:lineRule="auto" w:line="240" w:before="0" w:after="120"/>
            <w:ind w:hanging="0"/>
            <w:rPr>
              <w:b w:val="false"/>
              <w:sz w:val="24"/>
            </w:rPr>
          </w:pPr>
          <w:hyperlink w:anchor="bookmark18">
            <w:r>
              <w:rPr>
                <w:rStyle w:val="IndexLink"/>
                <w:webHidden/>
                <w:color w:val="000000"/>
                <w:spacing w:val="0"/>
                <w:w w:val="100"/>
                <w:lang w:val="ru-RU" w:eastAsia="ru-RU"/>
              </w:rPr>
              <w:t>Эталонная модель интероперабельности</w:t>
              <w:tab/>
              <w:t>3</w:t>
            </w:r>
          </w:hyperlink>
        </w:p>
        <w:p>
          <w:pPr>
            <w:pStyle w:val="Style18"/>
            <w:numPr>
              <w:ilvl w:val="1"/>
              <w:numId w:val="3"/>
            </w:numPr>
            <w:tabs>
              <w:tab w:val="clear" w:pos="720"/>
              <w:tab w:val="left" w:pos="623" w:leader="none"/>
              <w:tab w:val="right" w:pos="9629" w:leader="dot"/>
            </w:tabs>
            <w:spacing w:lineRule="auto" w:line="240" w:before="0" w:after="120"/>
            <w:ind w:firstLine="180"/>
            <w:jc w:val="both"/>
            <w:rPr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Технический уровень</w:t>
            <w:tab/>
            <w:t>4</w:t>
          </w:r>
        </w:p>
        <w:p>
          <w:pPr>
            <w:pStyle w:val="Style18"/>
            <w:numPr>
              <w:ilvl w:val="1"/>
              <w:numId w:val="3"/>
            </w:numPr>
            <w:tabs>
              <w:tab w:val="clear" w:pos="720"/>
              <w:tab w:val="left" w:pos="650" w:leader="none"/>
              <w:tab w:val="right" w:pos="9629" w:leader="dot"/>
            </w:tabs>
            <w:spacing w:lineRule="auto" w:line="240" w:before="0" w:after="120"/>
            <w:ind w:firstLine="180"/>
            <w:jc w:val="both"/>
            <w:rPr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Семантический уровень</w:t>
            <w:tab/>
            <w:t>4</w:t>
          </w:r>
        </w:p>
        <w:p>
          <w:pPr>
            <w:pStyle w:val="Style18"/>
            <w:numPr>
              <w:ilvl w:val="1"/>
              <w:numId w:val="3"/>
            </w:numPr>
            <w:tabs>
              <w:tab w:val="clear" w:pos="720"/>
              <w:tab w:val="left" w:pos="650" w:leader="none"/>
              <w:tab w:val="right" w:pos="9629" w:leader="dot"/>
            </w:tabs>
            <w:spacing w:lineRule="auto" w:line="240" w:before="0" w:after="120"/>
            <w:ind w:firstLine="180"/>
            <w:jc w:val="both"/>
            <w:rPr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Организационный уровень</w:t>
            <w:tab/>
            <w:t>4</w:t>
          </w:r>
        </w:p>
        <w:p>
          <w:pPr>
            <w:pStyle w:val="Style18"/>
            <w:numPr>
              <w:ilvl w:val="0"/>
              <w:numId w:val="3"/>
            </w:numPr>
            <w:tabs>
              <w:tab w:val="clear" w:pos="720"/>
              <w:tab w:val="left" w:pos="308" w:leader="none"/>
              <w:tab w:val="right" w:pos="9629" w:leader="dot"/>
            </w:tabs>
            <w:spacing w:lineRule="auto" w:line="240" w:before="0" w:after="120"/>
            <w:ind w:hanging="0"/>
            <w:rPr>
              <w:b w:val="false"/>
              <w:sz w:val="24"/>
            </w:rPr>
          </w:pPr>
          <w:hyperlink w:anchor="bookmark20">
            <w:r>
              <w:rPr>
                <w:rStyle w:val="IndexLink"/>
                <w:webHidden/>
                <w:color w:val="000000"/>
                <w:spacing w:val="0"/>
                <w:w w:val="100"/>
                <w:lang w:val="ru-RU" w:eastAsia="ru-RU"/>
              </w:rPr>
              <w:t>Методика обеспечения интероперабельности</w:t>
              <w:tab/>
              <w:t>4</w:t>
            </w:r>
          </w:hyperlink>
        </w:p>
        <w:p>
          <w:pPr>
            <w:pStyle w:val="Style18"/>
            <w:numPr>
              <w:ilvl w:val="1"/>
              <w:numId w:val="3"/>
            </w:numPr>
            <w:tabs>
              <w:tab w:val="clear" w:pos="720"/>
              <w:tab w:val="left" w:pos="683" w:leader="none"/>
              <w:tab w:val="right" w:pos="9629" w:leader="dot"/>
            </w:tabs>
            <w:spacing w:lineRule="auto" w:line="240" w:before="0" w:after="120"/>
            <w:ind w:firstLine="240"/>
            <w:jc w:val="both"/>
            <w:rPr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Создание концепции</w:t>
            <w:tab/>
            <w:t>5</w:t>
          </w:r>
        </w:p>
        <w:p>
          <w:pPr>
            <w:pStyle w:val="Style18"/>
            <w:numPr>
              <w:ilvl w:val="1"/>
              <w:numId w:val="3"/>
            </w:numPr>
            <w:tabs>
              <w:tab w:val="clear" w:pos="720"/>
              <w:tab w:val="left" w:pos="710" w:leader="none"/>
              <w:tab w:val="right" w:pos="9629" w:leader="dot"/>
            </w:tabs>
            <w:spacing w:lineRule="auto" w:line="240" w:before="0" w:after="120"/>
            <w:ind w:firstLine="240"/>
            <w:jc w:val="both"/>
            <w:rPr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Построение архитектуры</w:t>
            <w:tab/>
            <w:t>7</w:t>
          </w:r>
        </w:p>
        <w:p>
          <w:pPr>
            <w:pStyle w:val="Style18"/>
            <w:numPr>
              <w:ilvl w:val="1"/>
              <w:numId w:val="3"/>
            </w:numPr>
            <w:tabs>
              <w:tab w:val="clear" w:pos="720"/>
              <w:tab w:val="left" w:pos="710" w:leader="none"/>
              <w:tab w:val="right" w:pos="9629" w:leader="dot"/>
            </w:tabs>
            <w:spacing w:lineRule="auto" w:line="240" w:before="0" w:after="120"/>
            <w:ind w:firstLine="240"/>
            <w:jc w:val="both"/>
            <w:rPr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Построение проблемно-ориентированной модели интероперабельности</w:t>
            <w:tab/>
            <w:t>7</w:t>
          </w:r>
        </w:p>
        <w:p>
          <w:pPr>
            <w:pStyle w:val="Style18"/>
            <w:numPr>
              <w:ilvl w:val="1"/>
              <w:numId w:val="3"/>
            </w:numPr>
            <w:tabs>
              <w:tab w:val="clear" w:pos="720"/>
              <w:tab w:val="left" w:pos="710" w:leader="none"/>
              <w:tab w:val="right" w:pos="9629" w:leader="dot"/>
            </w:tabs>
            <w:spacing w:lineRule="auto" w:line="240" w:before="0" w:after="120"/>
            <w:ind w:firstLine="240"/>
            <w:jc w:val="both"/>
            <w:rPr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Построение профиля интероперабельности</w:t>
            <w:tab/>
            <w:t>7</w:t>
          </w:r>
        </w:p>
        <w:p>
          <w:pPr>
            <w:pStyle w:val="Style18"/>
            <w:numPr>
              <w:ilvl w:val="1"/>
              <w:numId w:val="3"/>
            </w:numPr>
            <w:tabs>
              <w:tab w:val="clear" w:pos="720"/>
              <w:tab w:val="left" w:pos="719" w:leader="none"/>
              <w:tab w:val="right" w:pos="9629" w:leader="dot"/>
            </w:tabs>
            <w:spacing w:lineRule="auto" w:line="240" w:before="0" w:after="120"/>
            <w:ind w:firstLine="240"/>
            <w:jc w:val="both"/>
            <w:rPr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Программно-аппаратная реализация</w:t>
            <w:tab/>
            <w:t>7</w:t>
          </w:r>
        </w:p>
        <w:p>
          <w:pPr>
            <w:pStyle w:val="Style18"/>
            <w:numPr>
              <w:ilvl w:val="1"/>
              <w:numId w:val="3"/>
            </w:numPr>
            <w:tabs>
              <w:tab w:val="clear" w:pos="720"/>
              <w:tab w:val="left" w:pos="710" w:leader="none"/>
              <w:tab w:val="right" w:pos="9629" w:leader="dot"/>
            </w:tabs>
            <w:spacing w:lineRule="auto" w:line="240" w:before="0" w:after="120"/>
            <w:ind w:firstLine="240"/>
            <w:jc w:val="both"/>
            <w:rPr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Аттестационное тестирование</w:t>
            <w:tab/>
            <w:t>7</w:t>
          </w:r>
        </w:p>
        <w:p>
          <w:pPr>
            <w:pStyle w:val="Style18"/>
            <w:tabs>
              <w:tab w:val="clear" w:pos="720"/>
              <w:tab w:val="right" w:pos="9629" w:leader="dot"/>
            </w:tabs>
            <w:spacing w:lineRule="auto" w:line="240" w:before="0" w:after="120"/>
            <w:ind w:hanging="0"/>
            <w:jc w:val="both"/>
            <w:rPr>
              <w:rFonts w:ascii="Courier New" w:hAnsi="Courier New"/>
              <w:b w:val="false"/>
              <w:sz w:val="24"/>
              <w:lang w:val="ru-RU"/>
            </w:rPr>
          </w:pPr>
          <w:r>
            <w:rPr>
              <w:color w:val="000000"/>
              <w:spacing w:val="0"/>
              <w:w w:val="100"/>
              <w:lang w:val="ru-RU" w:eastAsia="ru-RU"/>
            </w:rPr>
            <w:t>Библиография</w:t>
            <w:tab/>
            <w:t>8</w:t>
          </w:r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  <w:p>
          <w:pPr>
            <w:sectPr>
              <w:headerReference w:type="even" r:id="rId4"/>
              <w:headerReference w:type="default" r:id="rId5"/>
              <w:headerReference w:type="first" r:id="rId6"/>
              <w:type w:val="nextPage"/>
              <w:pgSz w:w="11906" w:h="16838"/>
              <w:pgMar w:left="1195" w:right="1003" w:gutter="0" w:header="0" w:top="1550" w:footer="0" w:bottom="1510"/>
              <w:pgNumType w:start="1" w:fmt="decimal"/>
              <w:formProt w:val="false"/>
              <w:titlePg/>
              <w:textDirection w:val="lrTb"/>
              <w:docGrid w:type="default" w:linePitch="100" w:charSpace="0"/>
            </w:sectPr>
          </w:pPr>
        </w:p>
      </w:sdtContent>
    </w:sdt>
    <w:p>
      <w:pPr>
        <w:pStyle w:val="24"/>
        <w:keepNext w:val="true"/>
        <w:keepLines/>
        <w:spacing w:lineRule="auto" w:line="240" w:before="0" w:after="180"/>
        <w:ind w:hanging="0"/>
        <w:jc w:val="center"/>
        <w:rPr>
          <w:rFonts w:ascii="Courier New" w:hAnsi="Courier New"/>
          <w:b w:val="false"/>
          <w:sz w:val="24"/>
        </w:rPr>
      </w:pPr>
      <w:bookmarkStart w:id="3" w:name="bookmark6"/>
      <w:r>
        <w:rPr>
          <w:rStyle w:val="21"/>
          <w:b w:val="false"/>
          <w:color w:val="000000"/>
          <w:spacing w:val="0"/>
          <w:w w:val="100"/>
          <w:lang w:val="ru-RU" w:eastAsia="ru-RU"/>
        </w:rPr>
        <w:t>Введение</w:t>
      </w:r>
      <w:bookmarkEnd w:id="3"/>
    </w:p>
    <w:p>
      <w:pPr>
        <w:pStyle w:val="Style17"/>
        <w:spacing w:lineRule="auto" w:line="276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Интероперабельность — способность двух или более информационных систем (ИС) или компо-</w:t>
        <w:br/>
        <w:t>нентов к обмену информацией и к использованию информации, полученной в результате обмена. В ус-</w:t>
        <w:br/>
        <w:t>ловиях всеобщей цифровизации интероперабельность играет ключевую роль при создании, развитии</w:t>
        <w:br/>
        <w:t>и объединении информационных систем практически всех классов и. наряду со свойством переноси-</w:t>
        <w:br/>
        <w:t>мости и масштабируемости, является важнейшей составляющей понятия «открытые системы». В на-</w:t>
        <w:br/>
        <w:t>стоящее время все большее внимание уделяется именно вопросам обеспечения интероперабельности</w:t>
        <w:br/>
        <w:t>для информационных систем (ИС) различного масштаба (от наносистем до систем класса «системы</w:t>
        <w:br/>
        <w:t>систем») и различных областей назначения. Интероперабельность приобретает все большее значение,</w:t>
        <w:br/>
        <w:t>в первую очередь потому, что сегодня практически ни одна сфера жизни (государственное управление,</w:t>
        <w:br/>
        <w:t>обороноспособность, здравоохранение, образование, наука, бизнес, в числе первых промышленность</w:t>
        <w:br/>
        <w:t>и др.) не обходится без использования информационно-коммуникационных технологий (ИКТ). Можно</w:t>
        <w:br/>
        <w:t>констатировать, что обеспечение интероперабельности является одной из главных основ формирова-</w:t>
        <w:br/>
        <w:t>ния и развития информационного общества и цифровой экономики. Причина этого состоит в том. что</w:t>
        <w:br/>
        <w:t>развитие ИКТ и насыщение всех сфер деятельности различными средствами вычислительной техники</w:t>
        <w:br/>
        <w:t>привели ксозданию гетерогенной среды, в которой разнородные информационные системы (компонен-</w:t>
        <w:br/>
        <w:t>ты) должны взаимодействовать друг с другом, причем уровень гетерогенности среды постоянно уве-</w:t>
        <w:br/>
        <w:t>личивается. Основным способом решения проблемы интероперабельности или «прозрачности» гете-</w:t>
        <w:br/>
        <w:t>рогенной среды выступает последовательное применение принципов открытых систем и методологии</w:t>
        <w:br/>
        <w:t>функциональной стандартизации [1].</w:t>
      </w:r>
    </w:p>
    <w:p>
      <w:pPr>
        <w:pStyle w:val="Style17"/>
        <w:spacing w:lineRule="auto" w:line="276" w:before="0" w:after="80"/>
        <w:ind w:firstLine="520"/>
        <w:jc w:val="both"/>
        <w:rPr>
          <w:rFonts w:ascii="Courier New" w:hAnsi="Courier New"/>
          <w:b w:val="false"/>
          <w:sz w:val="24"/>
          <w:lang w:val="ru-RU"/>
        </w:rPr>
        <w:sectPr>
          <w:headerReference w:type="even" r:id="rId7"/>
          <w:headerReference w:type="default" r:id="rId8"/>
          <w:headerReference w:type="first" r:id="rId9"/>
          <w:footerReference w:type="even" r:id="rId10"/>
          <w:footerReference w:type="default" r:id="rId11"/>
          <w:type w:val="nextPage"/>
          <w:pgSz w:w="11906" w:h="16838"/>
          <w:pgMar w:left="1378" w:right="811" w:gutter="0" w:header="0" w:top="1662" w:footer="3" w:bottom="1662"/>
          <w:pgNumType w:fmt="upperRoman"/>
          <w:formProt w:val="false"/>
          <w:textDirection w:val="lrTb"/>
          <w:docGrid w:type="default" w:linePitch="100" w:charSpace="0"/>
        </w:sect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На основе данного стандарта могут создаваться интероперабельные системы самого широкого</w:t>
        <w:br/>
        <w:t>класса по масштабу и областям применения с учетом их особенностей.</w:t>
      </w:r>
    </w:p>
    <w:p>
      <w:pPr>
        <w:pStyle w:val="24"/>
        <w:keepNext w:val="true"/>
        <w:keepLines/>
        <w:spacing w:lineRule="auto" w:line="240" w:before="0" w:after="480"/>
        <w:ind w:hanging="0"/>
        <w:jc w:val="end"/>
        <w:rPr>
          <w:rFonts w:ascii="Courier New" w:hAnsi="Courier New"/>
          <w:b w:val="false"/>
          <w:sz w:val="24"/>
        </w:rPr>
      </w:pPr>
      <w:bookmarkStart w:id="4" w:name="bookmark8"/>
      <w:r>
        <w:rPr>
          <w:rStyle w:val="21"/>
          <w:b w:val="false"/>
          <w:color w:val="000000"/>
          <w:spacing w:val="0"/>
          <w:w w:val="100"/>
          <w:lang w:val="ru-RU" w:eastAsia="ru-RU"/>
        </w:rPr>
        <w:t>ГОСТ Р 55062—2021</w:t>
      </w:r>
      <w:bookmarkEnd w:id="4"/>
    </w:p>
    <w:p>
      <w:pPr>
        <w:pStyle w:val="Style17"/>
        <w:spacing w:lineRule="auto" w:line="240" w:before="0" w:after="540"/>
        <w:ind w:hanging="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u w:val="single"/>
          <w:lang w:val="ru-RU" w:eastAsia="ru-RU"/>
        </w:rPr>
        <w:t>НАЦИОНАЛЬНЫЙ СТАНДАРТ РОССИЙСКОЙ ФЕДЕРАЦИИ</w:t>
      </w:r>
    </w:p>
    <w:p>
      <w:pPr>
        <w:pStyle w:val="Style17"/>
        <w:spacing w:lineRule="auto" w:line="542" w:before="0" w:after="0"/>
        <w:ind w:hanging="0"/>
        <w:jc w:val="center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Информационные технологии</w:t>
        <w:br/>
        <w:t>ИНТЕРОПЕРАБЕЛЬНОСТЬ</w:t>
        <w:br/>
        <w:t>Основные положения</w:t>
      </w:r>
    </w:p>
    <w:p>
      <w:pPr>
        <w:pStyle w:val="23"/>
        <w:spacing w:lineRule="auto" w:line="240" w:before="0" w:after="420"/>
        <w:jc w:val="center"/>
        <w:rPr>
          <w:rFonts w:ascii="Courier New" w:hAnsi="Courier New"/>
          <w:b w:val="false"/>
          <w:sz w:val="24"/>
          <w:lang w:val="en-US"/>
        </w:rPr>
      </w:pPr>
      <w:r>
        <w:rPr>
          <w:rStyle w:val="2"/>
          <w:b w:val="false"/>
          <w:color w:val="000000"/>
          <w:spacing w:val="0"/>
          <w:w w:val="100"/>
          <w:lang w:val="en-US" w:eastAsia="en-US"/>
        </w:rPr>
        <w:t>Information technologies. Interoperability. Sasic principles</w:t>
      </w:r>
    </w:p>
    <w:p>
      <w:pPr>
        <w:pStyle w:val="23"/>
        <w:spacing w:lineRule="auto" w:line="240" w:before="0" w:after="900"/>
        <w:jc w:val="end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 xml:space="preserve">Дата введения </w:t>
      </w:r>
      <w:r>
        <w:rPr>
          <w:rStyle w:val="2"/>
          <w:b w:val="false"/>
          <w:color w:val="000000"/>
          <w:spacing w:val="0"/>
          <w:w w:val="100"/>
          <w:lang w:val="en-US" w:eastAsia="en-US"/>
        </w:rPr>
        <w:t>— 2022—04—30</w:t>
      </w:r>
    </w:p>
    <w:p>
      <w:pPr>
        <w:pStyle w:val="24"/>
        <w:keepNext w:val="true"/>
        <w:keepLines/>
        <w:numPr>
          <w:ilvl w:val="0"/>
          <w:numId w:val="4"/>
        </w:numPr>
        <w:tabs>
          <w:tab w:val="clear" w:pos="720"/>
          <w:tab w:val="left" w:pos="755" w:leader="none"/>
        </w:tabs>
        <w:spacing w:lineRule="auto" w:line="240" w:before="0" w:after="180"/>
        <w:ind w:firstLine="520"/>
        <w:jc w:val="both"/>
        <w:rPr>
          <w:b w:val="false"/>
          <w:sz w:val="24"/>
        </w:rPr>
      </w:pPr>
      <w:bookmarkStart w:id="5" w:name="bookmark10"/>
      <w:r>
        <w:rPr>
          <w:rStyle w:val="21"/>
          <w:b w:val="false"/>
          <w:color w:val="000000"/>
          <w:spacing w:val="0"/>
          <w:w w:val="100"/>
          <w:lang w:val="ru-RU" w:eastAsia="ru-RU"/>
        </w:rPr>
        <w:t>Область применения</w:t>
      </w:r>
      <w:bookmarkEnd w:id="5"/>
    </w:p>
    <w:p>
      <w:pPr>
        <w:pStyle w:val="Style17"/>
        <w:numPr>
          <w:ilvl w:val="1"/>
          <w:numId w:val="4"/>
        </w:numPr>
        <w:tabs>
          <w:tab w:val="clear" w:pos="720"/>
          <w:tab w:val="left" w:pos="899" w:leader="none"/>
        </w:tabs>
        <w:spacing w:lineRule="auto" w:line="28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Настоящий стандарт определяет:</w:t>
      </w:r>
    </w:p>
    <w:p>
      <w:pPr>
        <w:pStyle w:val="Style17"/>
        <w:numPr>
          <w:ilvl w:val="0"/>
          <w:numId w:val="5"/>
        </w:numPr>
        <w:tabs>
          <w:tab w:val="clear" w:pos="720"/>
          <w:tab w:val="left" w:pos="735" w:leader="none"/>
        </w:tabs>
        <w:spacing w:lineRule="auto" w:line="28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основные понятия, связанные с понятием «интероперабельность»;</w:t>
      </w:r>
    </w:p>
    <w:p>
      <w:pPr>
        <w:pStyle w:val="Style17"/>
        <w:numPr>
          <w:ilvl w:val="0"/>
          <w:numId w:val="5"/>
        </w:numPr>
        <w:tabs>
          <w:tab w:val="clear" w:pos="720"/>
          <w:tab w:val="left" w:pos="735" w:leader="none"/>
        </w:tabs>
        <w:spacing w:lineRule="auto" w:line="28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эталонную модель интероперабельности;</w:t>
      </w:r>
    </w:p>
    <w:p>
      <w:pPr>
        <w:pStyle w:val="Style17"/>
        <w:numPr>
          <w:ilvl w:val="0"/>
          <w:numId w:val="5"/>
        </w:numPr>
        <w:tabs>
          <w:tab w:val="clear" w:pos="720"/>
          <w:tab w:val="left" w:pos="735" w:leader="none"/>
        </w:tabs>
        <w:spacing w:lineRule="auto" w:line="28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единый подход (методику) к обеспечению интероперабельности информационных систем широ-</w:t>
        <w:br/>
        <w:t>кого класса, представляющую метатехнологию;</w:t>
      </w:r>
    </w:p>
    <w:p>
      <w:pPr>
        <w:pStyle w:val="Style17"/>
        <w:numPr>
          <w:ilvl w:val="0"/>
          <w:numId w:val="5"/>
        </w:numPr>
        <w:tabs>
          <w:tab w:val="clear" w:pos="720"/>
          <w:tab w:val="left" w:pos="735" w:leader="none"/>
        </w:tabs>
        <w:spacing w:lineRule="auto" w:line="28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основные и вспомогательные этапы по достижению интероперабельности.</w:t>
      </w:r>
    </w:p>
    <w:p>
      <w:pPr>
        <w:pStyle w:val="Style17"/>
        <w:numPr>
          <w:ilvl w:val="1"/>
          <w:numId w:val="4"/>
        </w:numPr>
        <w:tabs>
          <w:tab w:val="clear" w:pos="720"/>
          <w:tab w:val="left" w:pos="919" w:leader="none"/>
        </w:tabs>
        <w:spacing w:lineRule="auto" w:line="286" w:before="0" w:after="28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Настоящий стандарт предназначен для заказчиков, поставщиков, разработчиков,</w:t>
        <w:br/>
        <w:t>потребителей, а также персонала, сопровождающего информационные системы и осуществляющего</w:t>
        <w:br/>
        <w:t>программное обеспечение и услуги.</w:t>
      </w:r>
    </w:p>
    <w:p>
      <w:pPr>
        <w:pStyle w:val="24"/>
        <w:keepNext w:val="true"/>
        <w:keepLines/>
        <w:numPr>
          <w:ilvl w:val="0"/>
          <w:numId w:val="4"/>
        </w:numPr>
        <w:tabs>
          <w:tab w:val="clear" w:pos="720"/>
          <w:tab w:val="left" w:pos="791" w:leader="none"/>
        </w:tabs>
        <w:spacing w:lineRule="auto" w:line="240" w:before="0" w:after="180"/>
        <w:ind w:firstLine="520"/>
        <w:jc w:val="both"/>
        <w:rPr>
          <w:b w:val="false"/>
          <w:sz w:val="24"/>
        </w:rPr>
      </w:pPr>
      <w:bookmarkStart w:id="6" w:name="bookmark12"/>
      <w:r>
        <w:rPr>
          <w:rStyle w:val="21"/>
          <w:b w:val="false"/>
          <w:color w:val="000000"/>
          <w:spacing w:val="0"/>
          <w:w w:val="100"/>
          <w:lang w:val="ru-RU" w:eastAsia="ru-RU"/>
        </w:rPr>
        <w:t>Нормативные ссылки</w:t>
      </w:r>
      <w:bookmarkEnd w:id="6"/>
    </w:p>
    <w:p>
      <w:pPr>
        <w:pStyle w:val="Style17"/>
        <w:numPr>
          <w:ilvl w:val="0"/>
          <w:numId w:val="6"/>
        </w:numPr>
        <w:tabs>
          <w:tab w:val="clear" w:pos="720"/>
          <w:tab w:val="left" w:pos="791" w:leader="none"/>
        </w:tabs>
        <w:spacing w:lineRule="auto" w:line="28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настоящем стандарте использованы нормативные ссылки на следующие стандарты:</w:t>
      </w:r>
    </w:p>
    <w:p>
      <w:pPr>
        <w:pStyle w:val="Style17"/>
        <w:spacing w:lineRule="auto" w:line="271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ГОСТ Р 1.12 Стандартизация в Российской Федерации. Термины и определения</w:t>
      </w:r>
    </w:p>
    <w:p>
      <w:pPr>
        <w:pStyle w:val="Style17"/>
        <w:spacing w:lineRule="auto" w:line="271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ГОСТ Р ИСО/МЭК 7498*1 Информационная технология. Взаимосвязь открытых систем. Базовая</w:t>
        <w:br/>
        <w:t>эталонная модель. Часть 1. Базовая модель</w:t>
      </w:r>
    </w:p>
    <w:p>
      <w:pPr>
        <w:pStyle w:val="Style17"/>
        <w:spacing w:lineRule="auto" w:line="271" w:before="0" w:after="12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ГОСТ Р ИСО/МЭК 25010 Информационные технологии. Системная и программная инженерия.</w:t>
        <w:br/>
        <w:t xml:space="preserve">Требования и оценка качества систем и программного обеспечения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(SQuaRE).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Модели качества систем</w:t>
        <w:br/>
        <w:t>и программных продуктов</w:t>
      </w:r>
    </w:p>
    <w:p>
      <w:pPr>
        <w:pStyle w:val="23"/>
        <w:spacing w:lineRule="auto" w:line="286" w:before="0" w:after="142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Примечание — При пользовании настоящим стандартом целесообразно проверить действие ссылочных</w:t>
        <w:br/>
        <w:t>стандартов в информационной системе общего погъзования — на официальном сайте Федерального агентства</w:t>
        <w:br/>
        <w:t>по техническому регулированию и метрологии в сети Интернет или по ежегодному информационному указателю</w:t>
        <w:br/>
        <w:t>«Национальные стандарты», который опубликован по состоянию на 1 января текущего года, и по выпускам</w:t>
        <w:br/>
        <w:t>ежемесячного информационного указателя «Национальные стандарты» за текущий год. Если заменен ссылочный</w:t>
        <w:br/>
        <w:t>стандарт, на который дана недатированная ссылка, то рекомендуется использовать действующую версию этого</w:t>
        <w:br/>
        <w:t>стандарта с уметом всех внесенных в данную версию изменений. Если заменен ссылочный стандарт, на который</w:t>
        <w:br/>
        <w:t>дана датированная ссылка, то рекомендуется использовать версию этого стандарта с указанным выше годом</w:t>
        <w:br/>
        <w:t>утверждения (принятия). Если после утверждения настоящего стандарта в ссылочный стандарт, на который дана</w:t>
        <w:br/>
        <w:t>датированная ссылка, внесено изменение, затрагивающее положение, на которое дана ссылка, то это положение</w:t>
        <w:br/>
        <w:t>рекомендуется применять без умета данного изменения. Если ссылочный стандарт отменен без замены, то</w:t>
        <w:br/>
        <w:t>положение, в котором дана ссылка на него, рекомендуется применять в части, не затрагивающей эту ссылку.</w:t>
      </w:r>
    </w:p>
    <w:p>
      <w:pPr>
        <w:pStyle w:val="Style17"/>
        <w:pBdr>
          <w:top w:val="single" w:sz="4" w:space="0" w:color="000000"/>
        </w:pBdr>
        <w:spacing w:lineRule="auto" w:line="240" w:before="0" w:after="340"/>
        <w:ind w:hanging="0"/>
        <w:jc w:val="both"/>
        <w:rPr>
          <w:rFonts w:ascii="Courier New" w:hAnsi="Courier New"/>
          <w:b w:val="false"/>
          <w:sz w:val="24"/>
          <w:lang w:val="ru-RU"/>
        </w:rPr>
        <w:sectPr>
          <w:headerReference w:type="even" r:id="rId12"/>
          <w:headerReference w:type="default" r:id="rId13"/>
          <w:headerReference w:type="first" r:id="rId14"/>
          <w:footerReference w:type="even" r:id="rId15"/>
          <w:footerReference w:type="default" r:id="rId16"/>
          <w:footerReference w:type="first" r:id="rId17"/>
          <w:type w:val="nextPage"/>
          <w:pgSz w:w="11906" w:h="16838"/>
          <w:pgMar w:left="811" w:right="1387" w:gutter="0" w:header="658" w:top="1086" w:footer="3" w:bottom="1515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Издание официальное</w:t>
      </w:r>
    </w:p>
    <w:p>
      <w:pPr>
        <w:pStyle w:val="24"/>
        <w:keepNext w:val="true"/>
        <w:keepLines/>
        <w:numPr>
          <w:ilvl w:val="0"/>
          <w:numId w:val="7"/>
        </w:numPr>
        <w:tabs>
          <w:tab w:val="clear" w:pos="720"/>
          <w:tab w:val="left" w:pos="832" w:leader="none"/>
        </w:tabs>
        <w:spacing w:lineRule="auto" w:line="240" w:before="0" w:after="180"/>
        <w:ind w:firstLine="520"/>
        <w:jc w:val="both"/>
        <w:rPr>
          <w:b w:val="false"/>
          <w:sz w:val="24"/>
        </w:rPr>
      </w:pPr>
      <w:bookmarkStart w:id="7" w:name="bookmark14"/>
      <w:r>
        <w:rPr>
          <w:rStyle w:val="21"/>
          <w:b w:val="false"/>
          <w:color w:val="000000"/>
          <w:spacing w:val="0"/>
          <w:w w:val="100"/>
          <w:lang w:val="ru-RU" w:eastAsia="ru-RU"/>
        </w:rPr>
        <w:t>Термины, определения и сокращения</w:t>
      </w:r>
      <w:bookmarkEnd w:id="7"/>
    </w:p>
    <w:p>
      <w:pPr>
        <w:pStyle w:val="Style17"/>
        <w:numPr>
          <w:ilvl w:val="1"/>
          <w:numId w:val="7"/>
        </w:numPr>
        <w:tabs>
          <w:tab w:val="clear" w:pos="720"/>
          <w:tab w:val="left" w:pos="896" w:leader="none"/>
        </w:tabs>
        <w:spacing w:lineRule="auto" w:line="288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 настоящем стандарте применены термины по ГОСТ Р 1.12, а также следующие термины с</w:t>
        <w:br/>
        <w:t>соответствующими определениями: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03" w:leader="none"/>
        </w:tabs>
        <w:spacing w:lineRule="auto" w:line="288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архитектура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(arhitecture):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Фундаментальная организация системы, реализованная в ее ком*</w:t>
        <w:br/>
        <w:t>понентах. их взаимосвязях друг с другом и с окружающей средой, и руководящие правила проектиро*</w:t>
        <w:br/>
        <w:t>вания и развития системы.</w:t>
      </w:r>
    </w:p>
    <w:p>
      <w:pPr>
        <w:pStyle w:val="23"/>
        <w:spacing w:lineRule="auto" w:line="293" w:before="0" w:after="1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Примечание — Термин «архитектура» определяется в стандартах системной и программной инжене-</w:t>
        <w:br/>
        <w:t>рии применительно к системам.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0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аттестационное тестирование интероперабельности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(interoperability testing):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Оценка со-</w:t>
        <w:br/>
        <w:t>ответствия реализации стандартам, указанным в профиле интероперабельности.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0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барьер интероперабельности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(interoperability barrier):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Несовместимость сущностей, кото-</w:t>
        <w:br/>
        <w:t>рая препятствует обмену информацией с другими сущностями, использованию сервисов или общему</w:t>
        <w:br/>
        <w:t>пониманию обмененных элементов.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0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внешняя интероперабельность предприятия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>(external enterprise interoperability):</w:t>
        <w:br/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Интероперабельность, которая определяет взаимодействие предприятия с другими предприятиями и</w:t>
        <w:br/>
        <w:t>конкурентоспособность предприятия на рынке.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0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внутренняя интероперабельность предприятия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>(internal enterprise interoperability):</w:t>
        <w:br/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Интероперабельность внутренней инфраструктуры (корпоративной системы) предприятия.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0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глоссарий интероперабельности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(glossary):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Термины и определения, используемые в</w:t>
        <w:br/>
        <w:t>области интероперабельности с толкованием, иногда переводом на другой язык, комментариями и</w:t>
        <w:br/>
        <w:t>примерами.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30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интегрированная система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(integrated system):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Система, в которой все входящие в нее под-</w:t>
        <w:br/>
        <w:t>системы работают по единому алгоритму, т. е. имеет единую точку управления.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0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интероперабельность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(interoperability):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Способность двух или более информационных си-</w:t>
        <w:br/>
        <w:t>стем или компонентов к обмену информацией и к использованию информации, полученной в результа-</w:t>
        <w:br/>
        <w:t>те обмена.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0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интероперабельная система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(interoperable system):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Система, в которой входящие в нее</w:t>
        <w:br/>
        <w:t>подсистемы работают по независимым алгоритмам, не имеют единой точки управления, все управле-</w:t>
        <w:br/>
        <w:t>ние определяется единым набором стандартов — профилем интероперабельности.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02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интероперабельность предприятия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(enterprise interoperability):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Способность предприя-</w:t>
        <w:br/>
        <w:t>тий или находящихся в них сущностей (объектов) осуществлять эффективную связь и взаимодействие.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573" w:leader="none"/>
        </w:tabs>
        <w:spacing w:lineRule="auto" w:line="290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концепция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(framework):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Основные положения по достижению интероперабельности.</w:t>
      </w:r>
    </w:p>
    <w:p>
      <w:pPr>
        <w:pStyle w:val="23"/>
        <w:spacing w:lineRule="auto" w:line="302" w:before="0" w:after="1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Примечание — Термин концепция имеет много значений: начиная от буквального смысла (каркас,</w:t>
        <w:br/>
        <w:t>рамка), широкого смысла (концептуальная основа, контекст, основные принципы, описание основных проблем</w:t>
        <w:br/>
        <w:t>предметной области и обобщенные правила для их решения) и узкого смысла, понимаемого программистами. —</w:t>
        <w:br/>
        <w:t>структура программной системы: программное обеспечение, облегчающее разработку и объединение разных ком-</w:t>
        <w:br/>
        <w:t>понентов большого программного проекта.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02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масштабируемость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(scalability):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Способность обеспечивать функциональные возможно-</w:t>
        <w:br/>
        <w:t>сти вверх и вниз по упорядоченному ряду прикладных платформ, отличающихся по быстродействию и</w:t>
        <w:br/>
        <w:t>ресурсам.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9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организационная интероперабельность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(organizational interoperability):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Способность</w:t>
        <w:br/>
        <w:t>участвующих систем достигать общих целей на уровне бизнес-лроцессов.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9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открытая система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(open system):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Система, реализующая достаточно открытые специфи-</w:t>
        <w:br/>
        <w:t>кации или стандарты для интерфейсов, служб и форматов, облегчающая прикладному программному</w:t>
        <w:br/>
        <w:t>средству, созданному должным образом;</w:t>
      </w:r>
    </w:p>
    <w:p>
      <w:pPr>
        <w:pStyle w:val="Style17"/>
        <w:numPr>
          <w:ilvl w:val="0"/>
          <w:numId w:val="8"/>
        </w:numPr>
        <w:tabs>
          <w:tab w:val="clear" w:pos="720"/>
          <w:tab w:val="left" w:pos="707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перенос его с минимальными изменениями в широком диапазоне систем, использующих</w:t>
        <w:br/>
        <w:t>продукты от разных производителей (поставщиков);</w:t>
      </w:r>
    </w:p>
    <w:p>
      <w:pPr>
        <w:pStyle w:val="Style17"/>
        <w:numPr>
          <w:ilvl w:val="0"/>
          <w:numId w:val="8"/>
        </w:numPr>
        <w:tabs>
          <w:tab w:val="clear" w:pos="720"/>
          <w:tab w:val="left" w:pos="707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взаимодействие с другими приложениями, расположенными на локальных или удаленных</w:t>
        <w:br/>
        <w:t>системах;</w:t>
      </w:r>
    </w:p>
    <w:p>
      <w:pPr>
        <w:pStyle w:val="Style17"/>
        <w:numPr>
          <w:ilvl w:val="0"/>
          <w:numId w:val="8"/>
        </w:numPr>
        <w:tabs>
          <w:tab w:val="clear" w:pos="720"/>
          <w:tab w:val="left" w:pos="1103" w:leader="none"/>
        </w:tabs>
        <w:spacing w:lineRule="auto" w:line="290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взаимодействие с людьми в стиле, облегчающем переносимость пользователя.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02" w:leader="none"/>
        </w:tabs>
        <w:spacing w:lineRule="auto" w:line="302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переносимость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(portability);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Степень легкости, с которой прикладные программные сред-</w:t>
        <w:br/>
        <w:t>ства и данные могут быть перенесены с одной прикладной платформы на другую.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10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план (стратегия) развития стандартов; дорожная карта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(roadmap):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Документ, пред-</w:t>
        <w:br/>
        <w:t>усматривающий последовательность разработки необходимых стандартов для обеспечения</w:t>
        <w:br/>
        <w:t>интероперабельности.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01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подход к достижению интероперабельности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(interoperability approach):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Способ, с помо-</w:t>
        <w:br/>
        <w:t>щью которого решаются проблемы и преодолеваются барьеры интероперабельности.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19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профиль интероперабельности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(interoperability profile):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Согласованный набор стандар-</w:t>
        <w:br/>
        <w:t>тов. структурированный в терминах модели интероперабельности.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19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реализация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(solution):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Программно-аппаратная реализация конкретной интероперабельной</w:t>
        <w:br/>
        <w:t>системы в соответствии с профилем интероперабельности.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01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семантическая интероперабельность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(semantic interoperability):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Способность любых</w:t>
        <w:br/>
        <w:t>взаимодействующих в процессе коммуникации информационных систем одинаковым образом пони-</w:t>
        <w:br/>
        <w:t>мать смысл информации, которой они обмениваются.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74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техническая интероперабельность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(technical interoperability):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Способность к обмену дан-</w:t>
        <w:br/>
        <w:t>ными между участвующими в обмене системами.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19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уровень интероперабельности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(interoperability level):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Уровень, на котором осуществляет-</w:t>
        <w:br/>
        <w:t>ся взаимодействие участников.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201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электронное предприятие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(e-enterprise):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Предприятие, организация либо учреждение, в</w:t>
        <w:br/>
        <w:t>котором большинство функций выполняется на базе использования информационно-коммуникацион-</w:t>
        <w:br/>
        <w:t>ных технологий.</w:t>
      </w:r>
    </w:p>
    <w:p>
      <w:pPr>
        <w:pStyle w:val="Style17"/>
        <w:numPr>
          <w:ilvl w:val="2"/>
          <w:numId w:val="7"/>
        </w:numPr>
        <w:tabs>
          <w:tab w:val="clear" w:pos="720"/>
          <w:tab w:val="left" w:pos="1192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эталонная модель интероперабельности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(interoperability reference model):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Развитие из-</w:t>
        <w:br/>
        <w:t>вестной эталонной семиуровневой модели взаимосвязи открытых систем.</w:t>
      </w:r>
    </w:p>
    <w:p>
      <w:pPr>
        <w:pStyle w:val="Style17"/>
        <w:numPr>
          <w:ilvl w:val="1"/>
          <w:numId w:val="7"/>
        </w:numPr>
        <w:tabs>
          <w:tab w:val="clear" w:pos="720"/>
          <w:tab w:val="left" w:pos="1420" w:leader="none"/>
        </w:tabs>
        <w:spacing w:lineRule="auto" w:line="293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8 настоящем стандарте применены следующие сокращения:</w:t>
      </w:r>
    </w:p>
    <w:p>
      <w:pPr>
        <w:pStyle w:val="Style17"/>
        <w:spacing w:lineRule="auto" w:line="293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ИКТ — информационно-коммуникационные технологии:</w:t>
      </w:r>
    </w:p>
    <w:p>
      <w:pPr>
        <w:pStyle w:val="Style17"/>
        <w:spacing w:lineRule="auto" w:line="293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ИС — информационная система;</w:t>
      </w:r>
    </w:p>
    <w:p>
      <w:pPr>
        <w:pStyle w:val="Style17"/>
        <w:spacing w:lineRule="auto" w:line="293" w:before="0" w:after="3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ВОС — взаимосвязь открытых систем.</w:t>
      </w:r>
    </w:p>
    <w:p>
      <w:pPr>
        <w:pStyle w:val="24"/>
        <w:keepNext w:val="true"/>
        <w:keepLines/>
        <w:numPr>
          <w:ilvl w:val="0"/>
          <w:numId w:val="7"/>
        </w:numPr>
        <w:tabs>
          <w:tab w:val="clear" w:pos="720"/>
          <w:tab w:val="left" w:pos="785" w:leader="none"/>
        </w:tabs>
        <w:spacing w:lineRule="auto" w:line="240" w:before="0" w:after="200"/>
        <w:ind w:firstLine="520"/>
        <w:jc w:val="both"/>
        <w:rPr>
          <w:b w:val="false"/>
          <w:sz w:val="24"/>
        </w:rPr>
      </w:pPr>
      <w:bookmarkStart w:id="8" w:name="bookmark16"/>
      <w:r>
        <w:rPr>
          <w:rStyle w:val="21"/>
          <w:b w:val="false"/>
          <w:color w:val="000000"/>
          <w:spacing w:val="0"/>
          <w:w w:val="100"/>
          <w:lang w:val="ru-RU" w:eastAsia="ru-RU"/>
        </w:rPr>
        <w:t>Общие положения</w:t>
      </w:r>
      <w:bookmarkEnd w:id="8"/>
    </w:p>
    <w:p>
      <w:pPr>
        <w:pStyle w:val="Style17"/>
        <w:spacing w:lineRule="auto" w:line="290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Для обеспечения соответствия настоящему стандарту любое конкретное решение по достижению</w:t>
        <w:br/>
        <w:t>интероперабельности должно быть получено разработчиком ИС на основе единого подхода,</w:t>
        <w:br/>
        <w:t>содержащего ряд основных и вспомогательных этапов. К этим этапам относятся: разработка концепции,</w:t>
        <w:br/>
        <w:t>построение архитектуры, построение проблемно-ориентированной модели интероперабельности, по-</w:t>
        <w:br/>
        <w:t>строение в терминах этой модели профиля интероперабельности, программно-аппаратная реализация</w:t>
        <w:br/>
        <w:t>ИС е соответствии со стандартами, входящими в профиль, и аттестационное тестирование (2). Необ-</w:t>
        <w:br/>
        <w:t>ходима также разработка документа, содержащего план (дорожную карту) разработки стандартов, раз-</w:t>
        <w:br/>
        <w:t>работка необходимых национальных стандартов, также глоссария по проблеме интероперабельности.</w:t>
      </w:r>
    </w:p>
    <w:p>
      <w:pPr>
        <w:pStyle w:val="Style17"/>
        <w:numPr>
          <w:ilvl w:val="0"/>
          <w:numId w:val="9"/>
        </w:numPr>
        <w:tabs>
          <w:tab w:val="clear" w:pos="720"/>
          <w:tab w:val="left" w:pos="785" w:leader="none"/>
        </w:tabs>
        <w:spacing w:lineRule="auto" w:line="290" w:before="0" w:after="3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основе единого подхода должна лежать эталонная модель интероперабельности.</w:t>
      </w:r>
    </w:p>
    <w:p>
      <w:pPr>
        <w:pStyle w:val="24"/>
        <w:keepNext w:val="true"/>
        <w:keepLines/>
        <w:numPr>
          <w:ilvl w:val="0"/>
          <w:numId w:val="9"/>
        </w:numPr>
        <w:tabs>
          <w:tab w:val="clear" w:pos="720"/>
          <w:tab w:val="left" w:pos="776" w:leader="none"/>
        </w:tabs>
        <w:spacing w:lineRule="auto" w:line="240" w:before="0" w:after="200"/>
        <w:ind w:firstLine="520"/>
        <w:jc w:val="both"/>
        <w:rPr>
          <w:b w:val="false"/>
          <w:sz w:val="24"/>
        </w:rPr>
      </w:pPr>
      <w:bookmarkStart w:id="9" w:name="bookmark18"/>
      <w:r>
        <w:rPr>
          <w:rStyle w:val="21"/>
          <w:b w:val="false"/>
          <w:color w:val="000000"/>
          <w:spacing w:val="0"/>
          <w:w w:val="100"/>
          <w:lang w:val="ru-RU" w:eastAsia="ru-RU"/>
        </w:rPr>
        <w:t>Эталонная модель интероперабельности</w:t>
      </w:r>
      <w:bookmarkEnd w:id="9"/>
    </w:p>
    <w:p>
      <w:pPr>
        <w:pStyle w:val="Style17"/>
        <w:spacing w:lineRule="auto" w:line="283" w:before="0" w:after="2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Эталонная модель интероперабельности, приведенная на рисунке 1. представляет собой разви-</w:t>
        <w:br/>
        <w:t>тие семиуровневой базовой эталонной модели ВОС согласно ГОСТ Р ИСО/МЭК 7496-1, (3].</w:t>
      </w:r>
    </w:p>
    <w:p>
      <w:pPr>
        <w:pStyle w:val="Normal"/>
        <w:spacing w:lineRule="auto" w:line="240" w:before="0" w:after="0"/>
        <w:jc w:val="center"/>
        <w:rPr>
          <w:color w:val="000000"/>
        </w:rPr>
      </w:pPr>
      <w:r>
        <w:rPr/>
        <w:drawing>
          <wp:inline distT="0" distB="0" distL="0" distR="0">
            <wp:extent cx="3846195" cy="1537335"/>
            <wp:effectExtent l="0" t="0" r="0" b="0"/>
            <wp:docPr id="1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195" cy="1537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spacing w:lineRule="auto" w:line="240" w:before="0" w:after="0"/>
        <w:ind w:hanging="0" w:start="711"/>
        <w:rPr>
          <w:rFonts w:ascii="Courier New" w:hAnsi="Courier New"/>
          <w:b w:val="false"/>
          <w:sz w:val="24"/>
          <w:lang w:val="ru-RU"/>
        </w:rPr>
      </w:pPr>
      <w:r>
        <w:rPr>
          <w:rStyle w:val="Style16"/>
          <w:b w:val="false"/>
          <w:color w:val="000000"/>
          <w:spacing w:val="0"/>
          <w:w w:val="100"/>
          <w:lang w:val="ru-RU" w:eastAsia="ru-RU"/>
        </w:rPr>
        <w:t>Рисунок 1 — Эталонная модель интероперабельности</w:t>
      </w:r>
    </w:p>
    <w:p>
      <w:pPr>
        <w:pStyle w:val="Style17"/>
        <w:spacing w:lineRule="auto" w:line="283" w:before="0" w:after="16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Для систем конкретных классов на базе эталонной модели интероперабельности должны</w:t>
        <w:br/>
        <w:t>создаваться проблемно-ориентированные модели интероперабельности, которые могут иметь боль*</w:t>
        <w:br/>
        <w:t>шее число уровней.</w:t>
      </w:r>
    </w:p>
    <w:p>
      <w:pPr>
        <w:pStyle w:val="Style17"/>
        <w:numPr>
          <w:ilvl w:val="1"/>
          <w:numId w:val="9"/>
        </w:numPr>
        <w:tabs>
          <w:tab w:val="clear" w:pos="720"/>
          <w:tab w:val="left" w:pos="903" w:leader="none"/>
        </w:tabs>
        <w:spacing w:lineRule="auto" w:line="276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Технический уровень</w:t>
      </w:r>
    </w:p>
    <w:p>
      <w:pPr>
        <w:pStyle w:val="Style17"/>
        <w:spacing w:lineRule="auto" w:line="283" w:before="0" w:after="16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Технический уровень описывает синтаксис или форматы передаваемой информации, заостряя</w:t>
        <w:br/>
        <w:t>внимание на том. как представлена информация в коммуникационной среде. Технический уровень</w:t>
        <w:br/>
        <w:t>включает такие ключевые аспекты, как открытые интерфейсы, службы связи, интеграция данных и про-</w:t>
        <w:br/>
        <w:t xml:space="preserve">межуточный слой программного обеспечения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(Middleware),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представление и обмен данными, службы</w:t>
        <w:br/>
        <w:t>доступности и защиты информации. Техническая интероперабельность достигается главным образом</w:t>
        <w:br/>
        <w:t>за счет использования стандартных протоколов связи типа TCP/IP.</w:t>
      </w:r>
    </w:p>
    <w:p>
      <w:pPr>
        <w:pStyle w:val="Style17"/>
        <w:numPr>
          <w:ilvl w:val="1"/>
          <w:numId w:val="9"/>
        </w:numPr>
        <w:tabs>
          <w:tab w:val="clear" w:pos="720"/>
          <w:tab w:val="left" w:pos="921" w:leader="none"/>
        </w:tabs>
        <w:spacing w:lineRule="auto" w:line="276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Семантический уровень</w:t>
      </w:r>
    </w:p>
    <w:p>
      <w:pPr>
        <w:pStyle w:val="Style17"/>
        <w:spacing w:lineRule="auto" w:line="286" w:before="0" w:after="16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Данный уровень описывает семантические аспекты взаимодействия, т. е. содержательную сторо-</w:t>
        <w:br/>
        <w:t>ну обмениваемой информации. Семантическая интероперабельность позволяет системам комбиниро-</w:t>
        <w:br/>
        <w:t>вать полученную информацию с другими информационными ресурсами и обрабатывать ее смысловое</w:t>
        <w:br/>
        <w:t>содержание. Семантическая интероперабельность достигается за счет применения стандартов типа</w:t>
        <w:br/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XML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(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>XSD. RDF. OWL).</w:t>
      </w:r>
    </w:p>
    <w:p>
      <w:pPr>
        <w:pStyle w:val="Style17"/>
        <w:numPr>
          <w:ilvl w:val="1"/>
          <w:numId w:val="9"/>
        </w:numPr>
        <w:tabs>
          <w:tab w:val="clear" w:pos="720"/>
          <w:tab w:val="left" w:pos="930" w:leader="none"/>
        </w:tabs>
        <w:spacing w:lineRule="auto" w:line="276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Организационный уровень</w:t>
      </w:r>
    </w:p>
    <w:p>
      <w:pPr>
        <w:pStyle w:val="Style17"/>
        <w:spacing w:lineRule="auto" w:line="276" w:before="0" w:after="1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Организационный уровень акцентирует внимание на прагматических аспектах взаимодействия</w:t>
        <w:br/>
        <w:t>(деловых или политических). На этом уровне согласуются бизнес-цели и достигаются соглашения о</w:t>
        <w:br/>
        <w:t>сотрудничестве между административными органами, которые хотят обмениваться информацией,</w:t>
        <w:br/>
        <w:t>хотя имеют отличающиеся внутреннюю структуру и процессы. При этом важно обеспечить совместное</w:t>
        <w:br/>
        <w:t>использование информации при исполнении бизнес-задач. Организационная интероперабельность</w:t>
        <w:br/>
        <w:t>имеет своей целью удовлетворить требования сообщества пользователей: службы должны стать до-</w:t>
        <w:br/>
        <w:t>ступными, легко идентифицироваться и быть ориентированными на пользователя. Организационная</w:t>
        <w:br/>
        <w:t>интероперабельность достигается не за счет применения стандартов (нормативно-технических доку-</w:t>
        <w:br/>
        <w:t>ментов). а за счет применения нормативно-правовых документов (соглашений, конвенций, договоров о</w:t>
        <w:br/>
        <w:t>сотрудничестве и др.).</w:t>
      </w:r>
    </w:p>
    <w:p>
      <w:pPr>
        <w:pStyle w:val="23"/>
        <w:spacing w:lineRule="auto" w:line="293" w:before="0" w:after="4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Примечание — Интероперабельность считается значимой, если взаимодействие имеет место, по край-</w:t>
        <w:br/>
        <w:t>ней мере, на трех уровнях; техническом, семантическом и организационном.</w:t>
      </w:r>
    </w:p>
    <w:p>
      <w:pPr>
        <w:pStyle w:val="24"/>
        <w:keepNext w:val="true"/>
        <w:keepLines/>
        <w:numPr>
          <w:ilvl w:val="0"/>
          <w:numId w:val="9"/>
        </w:numPr>
        <w:tabs>
          <w:tab w:val="clear" w:pos="720"/>
          <w:tab w:val="left" w:pos="864" w:leader="none"/>
        </w:tabs>
        <w:spacing w:lineRule="auto" w:line="240" w:before="0" w:after="160"/>
        <w:ind w:firstLine="520"/>
        <w:jc w:val="both"/>
        <w:rPr>
          <w:b w:val="false"/>
          <w:sz w:val="24"/>
        </w:rPr>
      </w:pPr>
      <w:bookmarkStart w:id="10" w:name="bookmark20"/>
      <w:r>
        <w:rPr>
          <w:rStyle w:val="21"/>
          <w:b w:val="false"/>
          <w:color w:val="000000"/>
          <w:spacing w:val="0"/>
          <w:w w:val="100"/>
          <w:lang w:val="ru-RU" w:eastAsia="ru-RU"/>
        </w:rPr>
        <w:t>Методика обеспечения интероперабельности</w:t>
      </w:r>
      <w:bookmarkEnd w:id="10"/>
    </w:p>
    <w:p>
      <w:pPr>
        <w:pStyle w:val="Style17"/>
        <w:spacing w:lineRule="auto" w:line="276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Методика обеспечения интероперабельности состоит из ряда основных (1—6) и вспомогательных</w:t>
        <w:br/>
        <w:t>(7—9) этапов (см. рисунок 2).</w:t>
      </w:r>
    </w:p>
    <w:p>
      <w:pPr>
        <w:pStyle w:val="Style17"/>
        <w:spacing w:lineRule="auto" w:line="276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Первые четыре основных этапа можно отнести к «теоретическим», не требующим использования</w:t>
        <w:br/>
        <w:t>программных или технических средств. Этапы 5.6 можно отнести к «экспериментальным», требующим</w:t>
        <w:br/>
        <w:t>привлечения разработчиков, и технических средств, в том числе аттестованных.</w:t>
      </w:r>
    </w:p>
    <w:p>
      <w:pPr>
        <w:pStyle w:val="Style17"/>
        <w:spacing w:lineRule="auto" w:line="276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Последовательная реализация основных этапов должна привести к созданию интероперабель-</w:t>
        <w:br/>
        <w:t>ной системы. Для успешной реализации всего процесса достижения интероперабельности необходимо</w:t>
        <w:br/>
        <w:t>также создать «План разработки стандартов. Дорожную карту» (этап 7) и разработать необходимые</w:t>
        <w:br/>
        <w:t>национальные стандарты (этап 8). которые должны постоянно актуализироваться.</w:t>
      </w:r>
    </w:p>
    <w:p>
      <w:pPr>
        <w:pStyle w:val="Style17"/>
        <w:spacing w:lineRule="auto" w:line="276" w:before="0" w:after="12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Кроме того, необходимо разработать глоссарий (термины и определения) (этап 9). чтобы все</w:t>
        <w:br/>
        <w:t>участники (пользователи, разработчики ИС и поставщики программно-аппаратных средств) на всех</w:t>
        <w:br/>
        <w:t>этапах достижения интероперабельности могли находить взаимопонимание.</w:t>
      </w:r>
      <w:r>
        <w:br w:type="page"/>
      </w:r>
    </w:p>
    <w:p>
      <w:pPr>
        <w:pStyle w:val="Normal"/>
        <w:spacing w:lineRule="auto" w:line="240"/>
        <w:jc w:val="center"/>
        <w:rPr>
          <w:color w:val="000000"/>
        </w:rPr>
      </w:pPr>
      <w:r>
        <w:rPr/>
        <w:drawing>
          <wp:inline distT="0" distB="0" distL="0" distR="0">
            <wp:extent cx="4989195" cy="4303395"/>
            <wp:effectExtent l="0" t="0" r="0" b="0"/>
            <wp:docPr id="1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3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195" cy="4303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tyle19"/>
        <w:spacing w:lineRule="auto" w:line="240" w:before="0" w:after="0"/>
        <w:ind w:hanging="0" w:start="1134"/>
        <w:rPr>
          <w:rFonts w:ascii="Courier New" w:hAnsi="Courier New"/>
          <w:b w:val="false"/>
          <w:sz w:val="24"/>
          <w:lang w:val="ru-RU"/>
        </w:rPr>
      </w:pPr>
      <w:r>
        <w:rPr>
          <w:rStyle w:val="Style16"/>
          <w:b w:val="false"/>
          <w:color w:val="000000"/>
          <w:spacing w:val="0"/>
          <w:w w:val="100"/>
          <w:lang w:val="ru-RU" w:eastAsia="ru-RU"/>
        </w:rPr>
        <w:t>Рисунок 2 — Основные этапы обеспечения интероперабельности</w:t>
      </w:r>
    </w:p>
    <w:p>
      <w:pPr>
        <w:pStyle w:val="Normal"/>
        <w:spacing w:lineRule="exact" w:line="1" w:before="0" w:after="399"/>
        <w:jc w:val="start"/>
        <w:rPr>
          <w:color w:val="000000"/>
        </w:rPr>
      </w:pPr>
      <w:r>
        <w:rPr>
          <w:color w:val="000000"/>
        </w:rPr>
      </w:r>
    </w:p>
    <w:p>
      <w:pPr>
        <w:pStyle w:val="Style17"/>
        <w:numPr>
          <w:ilvl w:val="1"/>
          <w:numId w:val="9"/>
        </w:numPr>
        <w:tabs>
          <w:tab w:val="clear" w:pos="720"/>
          <w:tab w:val="left" w:pos="903" w:leader="none"/>
        </w:tabs>
        <w:spacing w:lineRule="auto" w:line="276" w:before="0" w:after="8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Создание концепции</w:t>
      </w:r>
    </w:p>
    <w:p>
      <w:pPr>
        <w:pStyle w:val="Style17"/>
        <w:numPr>
          <w:ilvl w:val="2"/>
          <w:numId w:val="9"/>
        </w:numPr>
        <w:tabs>
          <w:tab w:val="clear" w:pos="720"/>
          <w:tab w:val="left" w:pos="1071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Концепция интероперабельности должна представлять собой нормативный документ,</w:t>
        <w:br/>
        <w:t>отражающий все возможные точки зрения и все аспекты обеспечения интероперабельности. К этим</w:t>
        <w:br/>
        <w:t>аспектам относятся приведенные в 6.1.1.1—6.1.1.6 положения.</w:t>
      </w:r>
    </w:p>
    <w:p>
      <w:pPr>
        <w:pStyle w:val="Style17"/>
        <w:numPr>
          <w:ilvl w:val="3"/>
          <w:numId w:val="9"/>
        </w:numPr>
        <w:tabs>
          <w:tab w:val="clear" w:pos="720"/>
          <w:tab w:val="left" w:pos="1242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Положение о том. что одной из фундаментальных особенностей развития современных</w:t>
        <w:br/>
        <w:t>И КТ выступает формирование гетерогенной ИКТ-среды. В такой среде возникает проблема взаимодей-</w:t>
        <w:br/>
        <w:t>ствия разнородных компонентов (систем), получившая название «проблема интероперабельности».</w:t>
        <w:br/>
        <w:t>Основным способом для решения данной проблемы является планомерное и последовательное</w:t>
        <w:br/>
        <w:t>использование принципов открытых систем, в основе которых лежит использование методов</w:t>
        <w:br/>
        <w:t>функциональной стандартизации и согласованных наборов И КТ-стан дартов — профилей.</w:t>
        <w:br/>
        <w:t>Интероперабельность, наряду со свойствами «переносимость» и «масштабируемость», представля-</w:t>
        <w:br/>
        <w:t>ет важнейшее свойство открытых систем. Первоначально термин «интероперабельность» был введен</w:t>
        <w:br/>
        <w:t>только на техническом уровне (см. рисунок 1). он получил распространение за счет использования</w:t>
        <w:br/>
        <w:t>стандартных протоколов связи (1).</w:t>
      </w:r>
    </w:p>
    <w:p>
      <w:pPr>
        <w:pStyle w:val="Style17"/>
        <w:numPr>
          <w:ilvl w:val="3"/>
          <w:numId w:val="9"/>
        </w:numPr>
        <w:tabs>
          <w:tab w:val="clear" w:pos="720"/>
          <w:tab w:val="left" w:pos="1265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Положение о том. что в настоящее время термин «интероперабельность» получил</w:t>
        <w:br/>
        <w:t>расширенное значение. Можно говорить о «семантической» (смысловой)интероперабельности. которая</w:t>
        <w:br/>
        <w:t>достигается за счет использования «семантических» стандартов. Семантическая интероперабельность</w:t>
        <w:br/>
        <w:t>сама может структурироваться (синтаксическая, прагматическая, динамическая и т. д.). При этом вы-</w:t>
        <w:br/>
        <w:t>деляются «внутренняя» интероперабельность, которая относится к информационной инфраструктуре</w:t>
        <w:br/>
        <w:t>(корпоративной системе) организации, и «внешняя» интероперабельность, которая определяет эффек-</w:t>
        <w:br/>
        <w:t>тивность взаимодействия с внешними объектами.</w:t>
      </w:r>
    </w:p>
    <w:p>
      <w:pPr>
        <w:pStyle w:val="Style17"/>
        <w:numPr>
          <w:ilvl w:val="3"/>
          <w:numId w:val="9"/>
        </w:numPr>
        <w:tabs>
          <w:tab w:val="clear" w:pos="720"/>
          <w:tab w:val="left" w:pos="1247" w:leader="none"/>
        </w:tabs>
        <w:spacing w:lineRule="auto" w:line="276" w:before="0" w:after="80"/>
        <w:ind w:firstLine="520"/>
        <w:jc w:val="both"/>
        <w:rPr>
          <w:b w:val="false"/>
          <w:sz w:val="24"/>
          <w:lang w:val="ru-RU"/>
        </w:rPr>
        <w:sectPr>
          <w:headerReference w:type="even" r:id="rId20"/>
          <w:headerReference w:type="default" r:id="rId21"/>
          <w:headerReference w:type="first" r:id="rId22"/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1095" w:right="1095" w:gutter="0" w:header="0" w:top="1653" w:footer="3" w:bottom="1715"/>
          <w:pgNumType w:fmt="decimal"/>
          <w:formProt w:val="false"/>
          <w:textDirection w:val="lrTb"/>
          <w:docGrid w:type="default" w:linePitch="100" w:charSpace="0"/>
        </w:sect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Положение о том. что интероперабельность представляет собой средство повышения</w:t>
        <w:br/>
        <w:t>конкурентоспособности организаций. Интенсивное применение ИКТ в различных организациях (на</w:t>
      </w:r>
    </w:p>
    <w:p>
      <w:pPr>
        <w:pStyle w:val="Style17"/>
        <w:spacing w:lineRule="auto" w:line="276" w:before="0" w:after="0"/>
        <w:ind w:hanging="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предприятиях, в исследовательских, образовательных, лечебных учреждениях и др.) привело к понятию</w:t>
        <w:br/>
        <w:t xml:space="preserve">«электронное предприятие»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(e-enterprise).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Соответственно возникло понятие «интероперабельность</w:t>
        <w:br/>
        <w:t xml:space="preserve">предприятия»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(enterprise interoperability)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(2].</w:t>
      </w:r>
    </w:p>
    <w:p>
      <w:pPr>
        <w:pStyle w:val="Style17"/>
        <w:numPr>
          <w:ilvl w:val="3"/>
          <w:numId w:val="9"/>
        </w:numPr>
        <w:tabs>
          <w:tab w:val="clear" w:pos="720"/>
          <w:tab w:val="left" w:pos="1247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Положение о том. что проблема интероперабельности непосредственно связана</w:t>
        <w:br/>
        <w:t>с инновационностью продукции. Как известно, заключительный этап инновационной цепочки,</w:t>
        <w:br/>
        <w:t>начинающейся с фундаментальных исследований. — это этап выхода продукта на рынок. Для</w:t>
        <w:br/>
        <w:t>ИКТ-продуктое важным условием конкурентоспособности является интероперабельность, по-</w:t>
        <w:br/>
        <w:t>этому большинство компаний-производителей должны придавать большое значение обеспечению</w:t>
        <w:br/>
        <w:t>интероперабельности своих продуктов и вести целенаправленную техническую политику в этом</w:t>
        <w:br/>
        <w:t>направлении (4].</w:t>
      </w:r>
    </w:p>
    <w:p>
      <w:pPr>
        <w:pStyle w:val="Style17"/>
        <w:numPr>
          <w:ilvl w:val="3"/>
          <w:numId w:val="9"/>
        </w:numPr>
        <w:tabs>
          <w:tab w:val="clear" w:pos="720"/>
          <w:tab w:val="left" w:pos="1256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Положение о том. что стандарты, обеспечивающие интероперабельность, представляют</w:t>
        <w:br/>
        <w:t>собой «нейтральную полосу» в «войне стандартов». Как известно, в мире идет «война стандартов»,</w:t>
        <w:br/>
        <w:t>в том числе и в области ИКТ-технологий. но основная война идет между стандартами на продукцию.</w:t>
        <w:br/>
        <w:t>Стандарты же открытых систем, в том числе стандарты, обеспечивающие интероперабельность, не</w:t>
        <w:br/>
        <w:t>являются «полем сражения», а скорее могут считаться «нейтральной полосой», хотя в их востребован-</w:t>
        <w:br/>
        <w:t>ности и разработке заинтересованы все участники (разработчики, поставщики и пользователи).</w:t>
      </w:r>
    </w:p>
    <w:p>
      <w:pPr>
        <w:pStyle w:val="Style17"/>
        <w:numPr>
          <w:ilvl w:val="3"/>
          <w:numId w:val="9"/>
        </w:numPr>
        <w:tabs>
          <w:tab w:val="clear" w:pos="720"/>
          <w:tab w:val="left" w:pos="1256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Положение о том. что интероперабельность связана со сдвигом парадигмы при создании</w:t>
        <w:br/>
        <w:t>информационных систем. Как известно, с течением времени произошел сдвиг парадигмы в построении</w:t>
        <w:br/>
        <w:t>ИС.</w:t>
      </w:r>
    </w:p>
    <w:p>
      <w:pPr>
        <w:pStyle w:val="Style17"/>
        <w:spacing w:lineRule="auto" w:line="276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 настоящее время ИС строятся не как монолитные системы, а из коммерчески доступных</w:t>
        <w:br/>
        <w:t>программно-аппаратных модулей со стандартными интерфейсами. обеспечивающими</w:t>
        <w:br/>
        <w:t xml:space="preserve">интероперабельность, так называемые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Commercial Of The Shelf products (COTS-products).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Отсю-</w:t>
        <w:br/>
        <w:t>да следует, что обеспечение интероперабельности — одно из главных требований при построении</w:t>
        <w:br/>
        <w:t>современных ИС [5].</w:t>
      </w:r>
    </w:p>
    <w:p>
      <w:pPr>
        <w:pStyle w:val="Style17"/>
        <w:numPr>
          <w:ilvl w:val="2"/>
          <w:numId w:val="9"/>
        </w:numPr>
        <w:tabs>
          <w:tab w:val="clear" w:pos="720"/>
          <w:tab w:val="left" w:pos="1094" w:leader="none"/>
        </w:tabs>
        <w:spacing w:lineRule="auto" w:line="276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 настоящее время используют множество определений понятия «интероперабельность»,</w:t>
        <w:br/>
        <w:t>поскольку многие организации дают собственные определения, исходя из стоящих перед ними</w:t>
        <w:br/>
        <w:t>задач. В концепции должно быть указано определение понятия «интероперабельность», желательно</w:t>
        <w:br/>
        <w:t>данное официальной организацией по стандартизации. Наряду с понятием «интероперабельность»</w:t>
        <w:br/>
        <w:t>используется еще целый ряд родственных понятий, такие как совместимость на уровне протоколов</w:t>
        <w:br/>
        <w:t xml:space="preserve">передачи данных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(coexistent),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способность к соединению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(interconnectable),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способность к взаимодей-</w:t>
        <w:br/>
        <w:t xml:space="preserve">ствию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(interworkable)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(6].</w:t>
      </w:r>
    </w:p>
    <w:p>
      <w:pPr>
        <w:pStyle w:val="23"/>
        <w:spacing w:lineRule="auto" w:line="283" w:before="0" w:after="1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Примечание — В [7] под «интерооерабегъностью» понимается способность двух или более систем или</w:t>
        <w:br/>
        <w:t>компонентов к обмену информацией и к использованию информации, полученной в результате обмена.</w:t>
      </w:r>
    </w:p>
    <w:p>
      <w:pPr>
        <w:pStyle w:val="Style17"/>
        <w:numPr>
          <w:ilvl w:val="2"/>
          <w:numId w:val="9"/>
        </w:numPr>
        <w:tabs>
          <w:tab w:val="clear" w:pos="720"/>
          <w:tab w:val="left" w:pos="1085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Необходимо отметить также разницу между интегрированными системами и</w:t>
        <w:br/>
        <w:t>интероперабельными системами. Интегрированная система предполагает, что входящие в нее</w:t>
        <w:br/>
        <w:t>подсистемы работают по согласованному алгоритму или. другими словами, имеют единую точку</w:t>
        <w:br/>
        <w:t>управления. В интероперабельной системе входящие в нее подсистемы работают по независимым</w:t>
        <w:br/>
        <w:t>алгоритмам, не имеют единой точки управления, все управление определяется единым набором</w:t>
        <w:br/>
        <w:t>используемых стандартов — профилем.</w:t>
      </w:r>
    </w:p>
    <w:p>
      <w:pPr>
        <w:pStyle w:val="Style17"/>
        <w:numPr>
          <w:ilvl w:val="2"/>
          <w:numId w:val="9"/>
        </w:numPr>
        <w:tabs>
          <w:tab w:val="clear" w:pos="720"/>
          <w:tab w:val="left" w:pos="1085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Концепция должна содержать краткое описание всех этапов обеспечения</w:t>
        <w:br/>
        <w:t>интероперабельности с указанием особенностей для информационных систем конкретного класса.</w:t>
      </w:r>
    </w:p>
    <w:p>
      <w:pPr>
        <w:pStyle w:val="Style17"/>
        <w:numPr>
          <w:ilvl w:val="2"/>
          <w:numId w:val="9"/>
        </w:numPr>
        <w:tabs>
          <w:tab w:val="clear" w:pos="720"/>
          <w:tab w:val="left" w:pos="1085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Концепция должна содержать оценку экономического эффекта от достижения</w:t>
        <w:br/>
        <w:t>интероперабельности. Основной источник экономии при создании интероперабельных систем —</w:t>
        <w:br/>
        <w:t>отсутствие необходимости разрабатывать дополнительные интерфейсы (переходные модули, шлюзы).</w:t>
      </w:r>
    </w:p>
    <w:p>
      <w:pPr>
        <w:pStyle w:val="Style17"/>
        <w:numPr>
          <w:ilvl w:val="2"/>
          <w:numId w:val="9"/>
        </w:numPr>
        <w:tabs>
          <w:tab w:val="clear" w:pos="720"/>
          <w:tab w:val="left" w:pos="1085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 концепции указывают барьеры, препятствующие достижению интероперабельности, и</w:t>
        <w:br/>
        <w:t>подходы к их преодолению (8).</w:t>
      </w:r>
    </w:p>
    <w:p>
      <w:pPr>
        <w:pStyle w:val="Style17"/>
        <w:numPr>
          <w:ilvl w:val="2"/>
          <w:numId w:val="9"/>
        </w:numPr>
        <w:tabs>
          <w:tab w:val="clear" w:pos="720"/>
          <w:tab w:val="left" w:pos="1085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В концепции должно быть указано, что интероперабельность не является абсолютным</w:t>
        <w:br/>
        <w:t>понятием и имеются возможности количественной оценки степени интероперабельности. Для ко-</w:t>
        <w:br/>
        <w:t>личественной оценки интероперабельности целесообразно использовать положения стандарта</w:t>
        <w:br/>
        <w:t>ГОСТ Р ИСО/МЭК 25010.</w:t>
      </w:r>
    </w:p>
    <w:p>
      <w:pPr>
        <w:pStyle w:val="Style17"/>
        <w:spacing w:lineRule="auto" w:line="276" w:before="0" w:after="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При необходимости в концепцию могут быть включены дополнительные положения, например</w:t>
        <w:br/>
        <w:t>положения о защите информации.</w:t>
      </w:r>
    </w:p>
    <w:p>
      <w:pPr>
        <w:pStyle w:val="Style17"/>
        <w:spacing w:lineRule="auto" w:line="276" w:before="0" w:after="10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Концепция может быть оформлена как самостоятельный нормативный документ.</w:t>
      </w:r>
    </w:p>
    <w:p>
      <w:pPr>
        <w:pStyle w:val="23"/>
        <w:spacing w:lineRule="auto" w:line="360" w:before="0" w:after="100"/>
        <w:ind w:firstLine="520"/>
        <w:jc w:val="both"/>
        <w:rPr>
          <w:rFonts w:ascii="Courier New" w:hAnsi="Courier New"/>
          <w:b w:val="false"/>
          <w:sz w:val="24"/>
          <w:lang w:val="ru-RU"/>
        </w:rPr>
        <w:sectPr>
          <w:headerReference w:type="even" r:id="rId26"/>
          <w:headerReference w:type="default" r:id="rId27"/>
          <w:headerReference w:type="first" r:id="rId28"/>
          <w:footerReference w:type="even" r:id="rId29"/>
          <w:footerReference w:type="default" r:id="rId30"/>
          <w:footerReference w:type="first" r:id="rId31"/>
          <w:type w:val="nextPage"/>
          <w:pgSz w:w="11906" w:h="16838"/>
          <w:pgMar w:left="1378" w:right="811" w:gutter="0" w:header="0" w:top="1652" w:footer="881" w:bottom="1309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Примечание — Если речь идет об интероперабельности при создании электронного правительства,</w:t>
        <w:br/>
        <w:t>концепция должна быть утверждена на правительственном уровне; если речь идет об интероперабельности в об-</w:t>
        <w:br/>
        <w:t>6</w:t>
      </w:r>
    </w:p>
    <w:p>
      <w:pPr>
        <w:pStyle w:val="23"/>
        <w:spacing w:lineRule="auto" w:line="293" w:before="0" w:after="28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ласти электронного здравоохранения — Минздравом Росссмйской Федерации; если речь идет об интероперабель-</w:t>
        <w:br/>
        <w:t>ности в области электронного образования — Минобрнауки Российской Федерации и т. д. В области бизнеса, в том</w:t>
        <w:br/>
        <w:t>числе промышленности концепция может быть утверждена Организациями типа Ассоциаций или консорциумов.</w:t>
      </w:r>
    </w:p>
    <w:p>
      <w:pPr>
        <w:pStyle w:val="Style17"/>
        <w:numPr>
          <w:ilvl w:val="1"/>
          <w:numId w:val="9"/>
        </w:numPr>
        <w:tabs>
          <w:tab w:val="clear" w:pos="720"/>
          <w:tab w:val="left" w:pos="921" w:leader="none"/>
        </w:tabs>
        <w:spacing w:lineRule="auto" w:line="276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Построение архитектуры</w:t>
      </w:r>
    </w:p>
    <w:p>
      <w:pPr>
        <w:pStyle w:val="Style17"/>
        <w:numPr>
          <w:ilvl w:val="2"/>
          <w:numId w:val="9"/>
        </w:numPr>
        <w:tabs>
          <w:tab w:val="clear" w:pos="720"/>
          <w:tab w:val="left" w:pos="1067" w:leader="none"/>
        </w:tabs>
        <w:spacing w:lineRule="auto" w:line="276" w:before="0" w:after="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Архитектура — фундаментальная организация системы, реализованная в ее компонентах,</w:t>
        <w:br/>
        <w:t>их взаимосвязях друг с другом и с окружающей средой, и руководящие правила проектирования и раз-</w:t>
        <w:br/>
        <w:t>вития системы. Термин «архитектура» определяют в стандартах системной и программной инженерии</w:t>
        <w:br/>
        <w:t>применительно к системам. В более широком смысле определяются информационная архитектура,</w:t>
        <w:br/>
        <w:t>программная архитектура, архитектура данных, архитектура управления объектами. Архитектура по-</w:t>
        <w:br/>
        <w:t>зволяет выделить объекты стандартизации для построения профиля интероперабельности [9]. Следу-</w:t>
        <w:br/>
        <w:t>ет учитывать мировую тенденцию к переходу от «классической» иерархической архитектуры к сетецен-</w:t>
        <w:br/>
        <w:t>трической [10].</w:t>
      </w:r>
    </w:p>
    <w:p>
      <w:pPr>
        <w:pStyle w:val="Style17"/>
        <w:numPr>
          <w:ilvl w:val="2"/>
          <w:numId w:val="9"/>
        </w:numPr>
        <w:tabs>
          <w:tab w:val="clear" w:pos="720"/>
          <w:tab w:val="left" w:pos="1103" w:leader="none"/>
        </w:tabs>
        <w:spacing w:lineRule="auto" w:line="276" w:before="0" w:after="16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При построении архитектуры следует пользоваться сервис-ориентированным подходом,</w:t>
        <w:br/>
        <w:t xml:space="preserve">основанном на использовании распределенных, слабо связанных (англ,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 xml:space="preserve">loose coupling) 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заменяемых</w:t>
        <w:br/>
        <w:t>компонентов, оснащенных стандартизированными интерфейсами для взаимодействия по стандарти-</w:t>
        <w:br/>
        <w:t>зированным протоколам [11].</w:t>
      </w:r>
    </w:p>
    <w:p>
      <w:pPr>
        <w:pStyle w:val="Style17"/>
        <w:numPr>
          <w:ilvl w:val="1"/>
          <w:numId w:val="9"/>
        </w:numPr>
        <w:tabs>
          <w:tab w:val="clear" w:pos="720"/>
          <w:tab w:val="left" w:pos="921" w:leader="none"/>
        </w:tabs>
        <w:spacing w:lineRule="auto" w:line="276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Построение проблемно-ориентированной модели интероперабельности</w:t>
      </w:r>
    </w:p>
    <w:p>
      <w:pPr>
        <w:pStyle w:val="Style17"/>
        <w:spacing w:lineRule="auto" w:line="271" w:before="0" w:after="16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Проблемно-ориентированная модель может иметь больше уровней интероперабельности за счет</w:t>
        <w:br/>
        <w:t>«расщепления» уровней эталонной модели в зависимости от вида интероперабельности. К этим видам</w:t>
        <w:br/>
        <w:t>могут относиться: динамическая, концептуальная, интеграционная интероперабельность [6].</w:t>
      </w:r>
    </w:p>
    <w:p>
      <w:pPr>
        <w:pStyle w:val="Style17"/>
        <w:numPr>
          <w:ilvl w:val="1"/>
          <w:numId w:val="9"/>
        </w:numPr>
        <w:tabs>
          <w:tab w:val="clear" w:pos="720"/>
          <w:tab w:val="left" w:pos="930" w:leader="none"/>
        </w:tabs>
        <w:spacing w:lineRule="auto" w:line="276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Построение профиля интероперабельности</w:t>
      </w:r>
    </w:p>
    <w:p>
      <w:pPr>
        <w:pStyle w:val="Style17"/>
        <w:spacing w:lineRule="auto" w:line="276" w:before="0" w:after="16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Профиль интероперабельности — согласованный набор стандартов, расположенных по уров-</w:t>
        <w:br/>
        <w:t>ням проблемно-ориентированной модели интероперабельности систем конкретного класса. Процесс</w:t>
        <w:br/>
        <w:t>построения профиля интероперабельности, в сущности, такой же. как при построении профиля орга-</w:t>
        <w:br/>
        <w:t>низации-пользователя. описанного в [12]. Этот процесс состоит в последовательной идентификации</w:t>
        <w:br/>
        <w:t>требований к ИС. требований к службам, необходимым для выполнения этих требований, требований</w:t>
        <w:br/>
        <w:t>к соответствующим ИКТ и к стандартам этих ИКТ. Его можно представить в виде ряда этапов. На за-</w:t>
        <w:br/>
        <w:t>ключительном этапе и происходит построение профиля. Отличие профиля интероперабельности от</w:t>
        <w:br/>
        <w:t>профиля, описанного в [12]. состоит в том. что кроме стандартов технического уровня в профиль будут</w:t>
        <w:br/>
        <w:t>входить стандарты более высоких уровней, нормативно-правовые документы самых верхних уровней.</w:t>
        <w:br/>
        <w:t>При сравнении с профилем, описанным в [13]. следует говорить о профиле «второго поколения».</w:t>
      </w:r>
    </w:p>
    <w:p>
      <w:pPr>
        <w:pStyle w:val="Style17"/>
        <w:numPr>
          <w:ilvl w:val="1"/>
          <w:numId w:val="9"/>
        </w:numPr>
        <w:tabs>
          <w:tab w:val="clear" w:pos="720"/>
          <w:tab w:val="left" w:pos="930" w:leader="none"/>
        </w:tabs>
        <w:spacing w:lineRule="auto" w:line="276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Программно-аппаратная реализация</w:t>
      </w:r>
    </w:p>
    <w:p>
      <w:pPr>
        <w:pStyle w:val="Style17"/>
        <w:spacing w:lineRule="auto" w:line="276" w:before="0" w:after="160"/>
        <w:ind w:firstLine="5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Современные ИС строятся из программно-аппаратных модулей со стандартными интерфейсами.</w:t>
        <w:br/>
        <w:t>Стандарты на эти интерфейсы должны быть указаны в профиле интероперабельности. Эти модули</w:t>
        <w:br/>
        <w:t xml:space="preserve">получили в мировой практике название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>COTS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 xml:space="preserve">-лродуктов. Использование </w:t>
      </w:r>
      <w:r>
        <w:rPr>
          <w:rStyle w:val="Style14"/>
          <w:b w:val="false"/>
          <w:color w:val="000000"/>
          <w:spacing w:val="0"/>
          <w:w w:val="100"/>
          <w:lang w:val="en-US" w:eastAsia="en-US"/>
        </w:rPr>
        <w:t>COTS</w:t>
      </w: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-лродуктов позволяет</w:t>
        <w:br/>
        <w:t>разработчику систем не зависеть от конкретного поставщика и получить примерно 4-кратную выгоду по</w:t>
        <w:br/>
        <w:t>сравнению с построением «монолитных» систем.</w:t>
      </w:r>
    </w:p>
    <w:p>
      <w:pPr>
        <w:pStyle w:val="Style17"/>
        <w:numPr>
          <w:ilvl w:val="1"/>
          <w:numId w:val="9"/>
        </w:numPr>
        <w:tabs>
          <w:tab w:val="clear" w:pos="720"/>
          <w:tab w:val="left" w:pos="930" w:leader="none"/>
        </w:tabs>
        <w:spacing w:lineRule="auto" w:line="276" w:before="0" w:after="100"/>
        <w:ind w:firstLine="520"/>
        <w:jc w:val="both"/>
        <w:rPr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Аттестационное тестирование</w:t>
      </w:r>
    </w:p>
    <w:p>
      <w:pPr>
        <w:pStyle w:val="Style17"/>
        <w:spacing w:lineRule="auto" w:line="271" w:before="0" w:after="100"/>
        <w:ind w:firstLine="520"/>
        <w:jc w:val="both"/>
        <w:rPr>
          <w:rFonts w:ascii="Courier New" w:hAnsi="Courier New"/>
          <w:b w:val="false"/>
          <w:sz w:val="24"/>
          <w:lang w:val="ru-RU"/>
        </w:rPr>
        <w:sectPr>
          <w:headerReference w:type="even" r:id="rId32"/>
          <w:headerReference w:type="default" r:id="rId33"/>
          <w:headerReference w:type="first" r:id="rId34"/>
          <w:footerReference w:type="even" r:id="rId35"/>
          <w:footerReference w:type="default" r:id="rId36"/>
          <w:footerReference w:type="first" r:id="rId37"/>
          <w:type w:val="nextPage"/>
          <w:pgSz w:w="11906" w:h="16838"/>
          <w:pgMar w:left="1095" w:right="1104" w:gutter="0" w:header="0" w:top="1653" w:footer="3" w:bottom="1805"/>
          <w:pgNumType w:start="1" w:fmt="decimal"/>
          <w:formProt w:val="false"/>
          <w:textDirection w:val="lrTb"/>
          <w:docGrid w:type="default" w:linePitch="100" w:charSpace="0"/>
        </w:sect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Методика аттестационного тестирования технической интероперабельности, т. е. протоколов</w:t>
        <w:br/>
        <w:t>связи, отработана достаточно хорошо [14] и может быть распространена и на стандарты, входящие в</w:t>
        <w:br/>
        <w:t>более высокие уровни интероперабельности.</w:t>
      </w:r>
    </w:p>
    <w:p>
      <w:pPr>
        <w:pStyle w:val="Style17"/>
        <w:spacing w:lineRule="auto" w:line="240" w:before="0" w:after="320"/>
        <w:ind w:hanging="0"/>
        <w:jc w:val="center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Библиография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290" w:before="0" w:after="40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Технология открытых системОтод редакцией Олейникова А.Я. М.: Янус-К. 2004. 288 с.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283" w:before="0" w:after="40"/>
        <w:ind w:hanging="480" w:start="48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Гуляее Ю.В.. Журавлев Е.Е.. Олейников АЯ. Методология стандартизации для обеспечения</w:t>
        <w:br/>
        <w:t>интероперабельности информационных систем широкого класса. Аналитический обэор//Журнал</w:t>
        <w:br/>
        <w:t xml:space="preserve">радиоэлектроники. 2012. № 3. [Электронный ресурс]: </w:t>
      </w:r>
      <w:r>
        <w:rPr>
          <w:rStyle w:val="2"/>
          <w:b w:val="false"/>
          <w:color w:val="000000"/>
          <w:spacing w:val="0"/>
          <w:w w:val="100"/>
          <w:lang w:val="en-US" w:eastAsia="en-US"/>
        </w:rPr>
        <w:t>URL: jre.cplire.ru/jre/Mar/12/2/text/pdf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290" w:before="0" w:after="40"/>
        <w:rPr>
          <w:b w:val="false"/>
          <w:sz w:val="24"/>
          <w:lang w:val="en-US"/>
        </w:rPr>
      </w:pPr>
      <w:r>
        <w:rPr>
          <w:rStyle w:val="2"/>
          <w:b w:val="false"/>
          <w:color w:val="000000"/>
          <w:spacing w:val="0"/>
          <w:w w:val="100"/>
          <w:lang w:val="en-US" w:eastAsia="en-US"/>
        </w:rPr>
        <w:t>New European Interoperability Framework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283" w:before="0" w:after="40"/>
        <w:ind w:hanging="480" w:start="48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Гуляее Ю.В.. Олейников АЯ. Стандартизация информационных технологий в фундаментальных</w:t>
        <w:br/>
        <w:t xml:space="preserve">исследованиях. Стандарты информационных технологий от «нано» до </w:t>
      </w:r>
      <w:r>
        <w:rPr>
          <w:rStyle w:val="2"/>
          <w:b w:val="false"/>
          <w:color w:val="000000"/>
          <w:spacing w:val="0"/>
          <w:w w:val="100"/>
          <w:lang w:val="en-US" w:eastAsia="en-US"/>
        </w:rPr>
        <w:t>GRIDZ</w:t>
      </w:r>
      <w:r>
        <w:rPr>
          <w:rStyle w:val="2"/>
          <w:b w:val="false"/>
          <w:color w:val="000000"/>
          <w:spacing w:val="0"/>
          <w:w w:val="100"/>
          <w:lang w:val="ru-RU" w:eastAsia="ru-RU"/>
        </w:rPr>
        <w:t>/Мир стандартов. 2008. № 8.</w:t>
        <w:br/>
        <w:t>С.12—25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305" w:before="0" w:after="40"/>
        <w:ind w:hanging="480" w:start="48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Майерс Б.Г.. Оберндорф П. Управление приобретением программного обеспечения: открытые системы и</w:t>
        <w:br/>
      </w:r>
      <w:r>
        <w:rPr>
          <w:rStyle w:val="2"/>
          <w:b w:val="false"/>
          <w:color w:val="000000"/>
          <w:spacing w:val="0"/>
          <w:w w:val="100"/>
          <w:lang w:val="en-US" w:eastAsia="en-US"/>
        </w:rPr>
        <w:t>COTS</w:t>
      </w:r>
      <w:r>
        <w:rPr>
          <w:rStyle w:val="2"/>
          <w:b w:val="false"/>
          <w:color w:val="000000"/>
          <w:spacing w:val="0"/>
          <w:w w:val="100"/>
          <w:lang w:val="ru-RU" w:eastAsia="ru-RU"/>
        </w:rPr>
        <w:t>-продукты. —</w:t>
      </w:r>
      <w:r>
        <w:rPr>
          <w:rStyle w:val="2"/>
          <w:b w:val="false"/>
          <w:color w:val="000000"/>
          <w:spacing w:val="0"/>
          <w:w w:val="100"/>
          <w:lang w:val="en-US" w:eastAsia="en-US"/>
        </w:rPr>
        <w:t xml:space="preserve">Addison-Wesley, </w:t>
      </w:r>
      <w:r>
        <w:rPr>
          <w:rStyle w:val="2"/>
          <w:b w:val="false"/>
          <w:color w:val="000000"/>
          <w:spacing w:val="0"/>
          <w:w w:val="100"/>
          <w:lang w:val="ru-RU" w:eastAsia="ru-RU"/>
        </w:rPr>
        <w:t>2001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293" w:before="0" w:after="40"/>
        <w:ind w:hanging="480" w:start="48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Баговрин В. К.. Гуляев Ю.В.. Олейников А.Я. Обеспечение интероперабельности — основная тенденция в</w:t>
        <w:br/>
        <w:t>развитии открытых систем//Информационные технологии и вычислительные системы. 2009. № 5. С.7—15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290" w:before="0" w:after="40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ИСО/МЭК/ИЕЕЕ 24765:2010 Системы и программотехника. Словарь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  <w:tab w:val="left" w:pos="3105" w:leader="none"/>
        </w:tabs>
        <w:spacing w:lineRule="auto" w:line="283" w:before="0" w:after="4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ИСО 11354-1:2011</w:t>
        <w:tab/>
        <w:t>Современные автоматизированные технолопы и их применение. Требования</w:t>
      </w:r>
    </w:p>
    <w:p>
      <w:pPr>
        <w:pStyle w:val="23"/>
        <w:spacing w:lineRule="auto" w:line="283" w:before="0" w:after="40"/>
        <w:ind w:firstLine="20" w:start="31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к установлению взаимодействия процессов на производственных</w:t>
        <w:br/>
        <w:t>предприятиях. Часть 1. Система взаимодействия предприятий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290" w:before="0" w:after="40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Баговрин В.К. Системная и программная икженерия/Словарь-справочник. — М.: ДМК Пресс, 2010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290" w:before="0" w:after="40"/>
        <w:ind w:hanging="480" w:start="48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Башлыкова АА.. Козлов С.В.. Макаренко С.И.. Олейников А.Я.. Фомин ИА Подход к обеспечению</w:t>
        <w:br/>
        <w:t>интероперабельности в сетецентричесхих системах управления. Журнал радиоэлектроники [электронный</w:t>
        <w:br/>
        <w:t xml:space="preserve">журнал]. 2020. № 6. Режим доступа: </w:t>
      </w:r>
      <w:r>
        <w:rPr>
          <w:rStyle w:val="2"/>
          <w:b w:val="false"/>
          <w:color w:val="000000"/>
          <w:spacing w:val="0"/>
          <w:w w:val="100"/>
          <w:lang w:val="en-US" w:eastAsia="en-US"/>
        </w:rPr>
        <w:t xml:space="preserve">http:Z4re.cplire.ru/ire/jun20/13/abstract.html </w:t>
      </w:r>
      <w:r>
        <w:rPr>
          <w:rStyle w:val="2"/>
          <w:b w:val="false"/>
          <w:color w:val="000000"/>
          <w:spacing w:val="0"/>
          <w:w w:val="100"/>
          <w:lang w:val="ru-RU" w:eastAsia="ru-RU"/>
        </w:rPr>
        <w:t>(дата обращения: 1 сентября</w:t>
        <w:br/>
        <w:t>2020 г.)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283" w:before="0" w:after="40"/>
        <w:ind w:hanging="480" w:start="48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 xml:space="preserve">Эталонная модель сервис-ориентированной архитектуры 1.0. Стандарт организации </w:t>
      </w:r>
      <w:r>
        <w:rPr>
          <w:rStyle w:val="2"/>
          <w:b w:val="false"/>
          <w:color w:val="000000"/>
          <w:spacing w:val="0"/>
          <w:w w:val="100"/>
          <w:lang w:val="en-US" w:eastAsia="en-US"/>
        </w:rPr>
        <w:t xml:space="preserve">OASIS. </w:t>
      </w:r>
      <w:r>
        <w:rPr>
          <w:rStyle w:val="2"/>
          <w:b w:val="false"/>
          <w:color w:val="000000"/>
          <w:spacing w:val="0"/>
          <w:w w:val="100"/>
          <w:lang w:val="ru-RU" w:eastAsia="ru-RU"/>
        </w:rPr>
        <w:t>12 октября.</w:t>
        <w:br/>
        <w:t>2006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  <w:tab w:val="left" w:pos="3105" w:leader="none"/>
        </w:tabs>
        <w:spacing w:lineRule="auto" w:line="293" w:before="0" w:after="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Р 50.1.041—2002</w:t>
        <w:tab/>
        <w:t>Рекомендации по стандартизации. Информационные технологии.</w:t>
      </w:r>
    </w:p>
    <w:p>
      <w:pPr>
        <w:pStyle w:val="23"/>
        <w:spacing w:lineRule="auto" w:line="293" w:before="0" w:after="40"/>
        <w:ind w:firstLine="20" w:start="312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Руководство по проектированию профилей среды открытой системы (СОС)</w:t>
        <w:br/>
        <w:t>организации-пользователя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  <w:tab w:val="left" w:pos="3105" w:leader="none"/>
        </w:tabs>
        <w:spacing w:lineRule="auto" w:line="290" w:before="0" w:after="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Р 50.1.022—2000</w:t>
        <w:tab/>
        <w:t>Рекомендации по стандартизации. Информационная технология.</w:t>
      </w:r>
    </w:p>
    <w:p>
      <w:pPr>
        <w:pStyle w:val="23"/>
        <w:spacing w:lineRule="auto" w:line="290" w:before="0" w:after="40"/>
        <w:ind w:hanging="0" w:start="3120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Государственный профиль взаимосвязи открытых систем России. Версия 3</w:t>
      </w:r>
    </w:p>
    <w:p>
      <w:pPr>
        <w:pStyle w:val="23"/>
        <w:numPr>
          <w:ilvl w:val="0"/>
          <w:numId w:val="10"/>
        </w:numPr>
        <w:tabs>
          <w:tab w:val="clear" w:pos="720"/>
          <w:tab w:val="left" w:pos="477" w:leader="none"/>
        </w:tabs>
        <w:spacing w:lineRule="auto" w:line="317" w:before="0" w:after="520"/>
        <w:ind w:hanging="480" w:start="480"/>
        <w:jc w:val="both"/>
        <w:rPr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>Липаев В.В. Системы тестирования ИТ-продуктов на соответствие стандартам: учебник. М.: СИНТЕГ, 2010.</w:t>
        <w:br/>
        <w:t>270 с.</w:t>
      </w:r>
    </w:p>
    <w:p>
      <w:pPr>
        <w:pStyle w:val="Style17"/>
        <w:pBdr>
          <w:top w:val="single" w:sz="4" w:space="0" w:color="000000"/>
        </w:pBdr>
        <w:tabs>
          <w:tab w:val="clear" w:pos="720"/>
          <w:tab w:val="left" w:pos="8109" w:leader="none"/>
        </w:tabs>
        <w:spacing w:lineRule="auto" w:line="283" w:before="0" w:after="240"/>
        <w:ind w:hanging="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УДК 004.7:006.354</w:t>
        <w:tab/>
        <w:t>ОКС 35.240.50</w:t>
      </w:r>
    </w:p>
    <w:p>
      <w:pPr>
        <w:pStyle w:val="Style17"/>
        <w:pBdr>
          <w:bottom w:val="single" w:sz="4" w:space="0" w:color="000000"/>
        </w:pBdr>
        <w:spacing w:lineRule="auto" w:line="283" w:before="0" w:after="900"/>
        <w:ind w:firstLine="140"/>
        <w:jc w:val="both"/>
        <w:rPr>
          <w:rFonts w:ascii="Courier New" w:hAnsi="Courier New"/>
          <w:b w:val="false"/>
          <w:sz w:val="24"/>
          <w:lang w:val="ru-RU"/>
        </w:rPr>
      </w:pPr>
      <w:r>
        <w:rPr>
          <w:rStyle w:val="Style14"/>
          <w:b w:val="false"/>
          <w:color w:val="000000"/>
          <w:spacing w:val="0"/>
          <w:w w:val="100"/>
          <w:lang w:val="ru-RU" w:eastAsia="ru-RU"/>
        </w:rPr>
        <w:t>Ключевые слова: концепция, эталонная модель интероперабельности, интероперабельность, пред-</w:t>
        <w:br/>
        <w:t>приятие. архитектура, уровни интероперабельности, барьеры интероперабельности, профили</w:t>
        <w:br/>
        <w:t>интероперабельности, реализация</w:t>
      </w:r>
    </w:p>
    <w:p>
      <w:pPr>
        <w:pStyle w:val="23"/>
        <w:spacing w:lineRule="auto" w:line="283" w:before="0" w:after="180"/>
        <w:jc w:val="center"/>
        <w:rPr>
          <w:rFonts w:ascii="Courier New" w:hAnsi="Courier New"/>
          <w:b w:val="false"/>
          <w:sz w:val="24"/>
          <w:lang w:val="ru-RU"/>
        </w:rPr>
      </w:pPr>
      <w:r>
        <w:rPr>
          <w:rStyle w:val="2"/>
          <w:b w:val="false"/>
          <w:color w:val="000000"/>
          <w:spacing w:val="0"/>
          <w:w w:val="100"/>
          <w:lang w:val="ru-RU" w:eastAsia="ru-RU"/>
        </w:rPr>
        <w:t xml:space="preserve">Редактор </w:t>
      </w:r>
      <w:r>
        <w:rPr>
          <w:rStyle w:val="2"/>
          <w:b w:val="false"/>
          <w:i/>
          <w:color w:val="000000"/>
          <w:spacing w:val="0"/>
          <w:w w:val="100"/>
          <w:lang w:val="ru-RU" w:eastAsia="ru-RU"/>
        </w:rPr>
        <w:t>Е.В. Якубова</w:t>
        <w:br/>
      </w:r>
      <w:r>
        <w:rPr>
          <w:rStyle w:val="2"/>
          <w:b w:val="false"/>
          <w:color w:val="000000"/>
          <w:spacing w:val="0"/>
          <w:w w:val="100"/>
          <w:lang w:val="ru-RU" w:eastAsia="ru-RU"/>
        </w:rPr>
        <w:t xml:space="preserve">Технический редактор </w:t>
      </w:r>
      <w:r>
        <w:rPr>
          <w:rStyle w:val="2"/>
          <w:b w:val="false"/>
          <w:i/>
          <w:color w:val="000000"/>
          <w:spacing w:val="0"/>
          <w:w w:val="100"/>
          <w:lang w:val="ru-RU" w:eastAsia="ru-RU"/>
        </w:rPr>
        <w:t>В.Н. Прусакова</w:t>
        <w:br/>
      </w:r>
      <w:r>
        <w:rPr>
          <w:rStyle w:val="2"/>
          <w:b w:val="false"/>
          <w:color w:val="000000"/>
          <w:spacing w:val="0"/>
          <w:w w:val="100"/>
          <w:lang w:val="ru-RU" w:eastAsia="ru-RU"/>
        </w:rPr>
        <w:t xml:space="preserve">Корректор </w:t>
      </w:r>
      <w:r>
        <w:rPr>
          <w:rStyle w:val="2"/>
          <w:b w:val="false"/>
          <w:i/>
          <w:color w:val="000000"/>
          <w:spacing w:val="0"/>
          <w:w w:val="100"/>
          <w:lang w:val="ru-RU" w:eastAsia="ru-RU"/>
        </w:rPr>
        <w:t>Р.А. Ментова</w:t>
        <w:br/>
      </w:r>
      <w:r>
        <w:rPr>
          <w:rStyle w:val="2"/>
          <w:b w:val="false"/>
          <w:color w:val="000000"/>
          <w:spacing w:val="0"/>
          <w:w w:val="100"/>
          <w:lang w:val="ru-RU" w:eastAsia="ru-RU"/>
        </w:rPr>
        <w:t xml:space="preserve">Комгъютерная верстка </w:t>
      </w:r>
      <w:r>
        <w:rPr>
          <w:rStyle w:val="2"/>
          <w:b w:val="false"/>
          <w:i/>
          <w:color w:val="000000"/>
          <w:spacing w:val="0"/>
          <w:w w:val="100"/>
          <w:lang w:val="ru-RU" w:eastAsia="ru-RU"/>
        </w:rPr>
        <w:t>А.Н. Золотаревой</w:t>
      </w:r>
    </w:p>
    <w:p>
      <w:pPr>
        <w:pStyle w:val="31"/>
        <w:spacing w:lineRule="auto" w:line="283" w:before="0" w:after="40"/>
        <w:rPr>
          <w:rFonts w:ascii="Courier New" w:hAnsi="Courier New"/>
          <w:b w:val="false"/>
          <w:sz w:val="24"/>
          <w:lang w:val="ru-RU"/>
        </w:rPr>
      </w:pPr>
      <w:r>
        <w:rPr>
          <w:rStyle w:val="3"/>
          <w:b w:val="false"/>
          <w:color w:val="000000"/>
          <w:spacing w:val="0"/>
          <w:w w:val="100"/>
          <w:lang w:val="ru-RU" w:eastAsia="ru-RU"/>
        </w:rPr>
        <w:t>Сдано е набор 28.10.2021 Подписано а печать 16.11.2021 Формат 60«84'А. Гарнитура Ариал.</w:t>
      </w:r>
    </w:p>
    <w:p>
      <w:pPr>
        <w:pStyle w:val="31"/>
        <w:spacing w:lineRule="auto" w:line="283" w:before="0" w:after="180"/>
        <w:rPr>
          <w:rFonts w:ascii="Courier New" w:hAnsi="Courier New"/>
          <w:b w:val="false"/>
          <w:sz w:val="24"/>
          <w:lang w:val="ru-RU"/>
        </w:rPr>
      </w:pPr>
      <w:r>
        <w:rPr>
          <w:rStyle w:val="3"/>
          <w:b w:val="false"/>
          <w:color w:val="000000"/>
          <w:spacing w:val="0"/>
          <w:w w:val="100"/>
          <w:lang w:val="ru-RU" w:eastAsia="ru-RU"/>
        </w:rPr>
        <w:t>Уел. печ. л. 1.40. Уч.-над. п. 1.24.</w:t>
      </w:r>
    </w:p>
    <w:p>
      <w:pPr>
        <w:pStyle w:val="31"/>
        <w:pBdr>
          <w:bottom w:val="single" w:sz="4" w:space="0" w:color="000000"/>
        </w:pBdr>
        <w:spacing w:lineRule="auto" w:line="283" w:before="0" w:after="180"/>
        <w:rPr>
          <w:rFonts w:ascii="Courier New" w:hAnsi="Courier New"/>
          <w:b w:val="false"/>
          <w:sz w:val="24"/>
          <w:lang w:val="ru-RU"/>
        </w:rPr>
      </w:pPr>
      <w:r>
        <w:rPr>
          <w:rStyle w:val="3"/>
          <w:b w:val="false"/>
          <w:color w:val="000000"/>
          <w:spacing w:val="0"/>
          <w:w w:val="100"/>
          <w:lang w:val="ru-RU" w:eastAsia="ru-RU"/>
        </w:rPr>
        <w:t>Подготовлено на основе электронной версии, предоставленной раэработчиком стандарта</w:t>
      </w:r>
    </w:p>
    <w:p>
      <w:pPr>
        <w:pStyle w:val="31"/>
        <w:spacing w:lineRule="auto" w:line="283" w:before="0" w:after="40"/>
        <w:rPr>
          <w:rFonts w:ascii="Courier New" w:hAnsi="Courier New"/>
          <w:b w:val="false"/>
          <w:sz w:val="24"/>
          <w:lang w:val="ru-RU"/>
        </w:rPr>
      </w:pPr>
      <w:r>
        <w:rPr>
          <w:rStyle w:val="3"/>
          <w:b w:val="false"/>
          <w:color w:val="000000"/>
          <w:spacing w:val="0"/>
          <w:w w:val="100"/>
          <w:lang w:val="ru-RU" w:eastAsia="ru-RU"/>
        </w:rPr>
        <w:t>Создано в единичном исполнении в ФГБУ «РСТ» для комплектования Федерального информационного фонда стандартов.</w:t>
        <w:br/>
        <w:t xml:space="preserve">117418Москва. Нахимовский пр-т. д. </w:t>
      </w:r>
      <w:r>
        <w:rPr>
          <w:rStyle w:val="3"/>
          <w:b w:val="false"/>
          <w:color w:val="000000"/>
          <w:spacing w:val="0"/>
          <w:w w:val="100"/>
          <w:lang w:val="en-US" w:eastAsia="en-US"/>
        </w:rPr>
        <w:t>3t.x.2.</w:t>
      </w:r>
    </w:p>
    <w:p>
      <w:pPr>
        <w:pStyle w:val="31"/>
        <w:spacing w:lineRule="auto" w:line="283" w:before="0" w:after="40"/>
        <w:rPr>
          <w:rFonts w:ascii="Courier New" w:hAnsi="Courier New"/>
          <w:b w:val="false"/>
          <w:sz w:val="24"/>
          <w:lang w:val="en-US"/>
        </w:rPr>
      </w:pPr>
      <w:r>
        <w:rPr>
          <w:rStyle w:val="3"/>
          <w:b w:val="false"/>
          <w:color w:val="000000"/>
          <w:spacing w:val="0"/>
          <w:w w:val="100"/>
          <w:lang w:val="en-US" w:eastAsia="en-US"/>
        </w:rPr>
        <w:t xml:space="preserve">wwwgostmfo.ru </w:t>
      </w:r>
      <w:hyperlink r:id="rId38">
        <w:r>
          <w:rPr>
            <w:rStyle w:val="Hyperlink"/>
            <w:rFonts w:ascii="Courier New" w:hAnsi="Courier New"/>
            <w:spacing w:val="0"/>
            <w:w w:val="100"/>
            <w:lang w:val="en-US" w:eastAsia="en-US"/>
          </w:rPr>
          <w:t>info@goslinfo.ru</w:t>
        </w:r>
      </w:hyperlink>
    </w:p>
    <w:sectPr>
      <w:headerReference w:type="even" r:id="rId39"/>
      <w:headerReference w:type="default" r:id="rId40"/>
      <w:headerReference w:type="first" r:id="rId41"/>
      <w:footerReference w:type="even" r:id="rId42"/>
      <w:footerReference w:type="default" r:id="rId43"/>
      <w:footerReference w:type="first" r:id="rId44"/>
      <w:type w:val="nextPage"/>
      <w:pgSz w:w="11906" w:h="16838"/>
      <w:pgMar w:left="1095" w:right="1104" w:gutter="0" w:header="0" w:top="1653" w:footer="1377" w:bottom="1805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roman"/>
    <w:pitch w:val="default"/>
  </w:font>
  <w:font w:name="Arial">
    <w:charset w:val="01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16">
              <wp:simplePos x="0" y="0"/>
              <wp:positionH relativeFrom="page">
                <wp:posOffset>897890</wp:posOffset>
              </wp:positionH>
              <wp:positionV relativeFrom="page">
                <wp:posOffset>9685020</wp:posOffset>
              </wp:positionV>
              <wp:extent cx="108585" cy="116840"/>
              <wp:effectExtent l="0" t="0" r="0" b="0"/>
              <wp:wrapNone/>
              <wp:docPr id="7" name="Frame1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instrText xml:space="preserve"> PAGE </w:instrTex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t>IV</w: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8.55pt;height:9.2pt;mso-wrap-distance-left:0pt;mso-wrap-distance-right:0pt;mso-wrap-distance-top:5.7pt;mso-wrap-distance-bottom:5.7pt;margin-top:762.6pt;mso-position-vertical-relative:page;margin-left:70.7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begin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instrText xml:space="preserve"> PAGE </w:instrTex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separate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t>IV</w: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page">
                <wp:posOffset>897890</wp:posOffset>
              </wp:positionH>
              <wp:positionV relativeFrom="page">
                <wp:posOffset>9685020</wp:posOffset>
              </wp:positionV>
              <wp:extent cx="108585" cy="85725"/>
              <wp:effectExtent l="0" t="0" r="0" b="0"/>
              <wp:wrapNone/>
              <wp:docPr id="8" name="Frame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" cy="857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instrText xml:space="preserve"> PAGE </w:instrTex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t>0</w: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8.55pt;height:6.75pt;mso-wrap-distance-left:0pt;mso-wrap-distance-right:0pt;mso-wrap-distance-top:5.7pt;mso-wrap-distance-bottom:5.7pt;margin-top:762.6pt;mso-position-vertical-relative:page;margin-left:70.7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begin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instrText xml:space="preserve"> PAGE </w:instrTex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separate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t>0</w: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page">
                <wp:posOffset>6607175</wp:posOffset>
              </wp:positionH>
              <wp:positionV relativeFrom="page">
                <wp:posOffset>9685020</wp:posOffset>
              </wp:positionV>
              <wp:extent cx="34290" cy="85725"/>
              <wp:effectExtent l="0" t="0" r="0" b="0"/>
              <wp:wrapNone/>
              <wp:docPr id="9" name="Frame1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" cy="857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instrText xml:space="preserve"> PAGE </w:instrTex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t>0</w: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2.7pt;height:6.75pt;mso-wrap-distance-left:0pt;mso-wrap-distance-right:0pt;mso-wrap-distance-top:5.7pt;mso-wrap-distance-bottom:5.7pt;margin-top:762.6pt;mso-position-vertical-relative:page;margin-left:520.2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begin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instrText xml:space="preserve"> PAGE </w:instrTex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separate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t>0</w: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14">
              <wp:simplePos x="0" y="0"/>
              <wp:positionH relativeFrom="page">
                <wp:posOffset>6607175</wp:posOffset>
              </wp:positionH>
              <wp:positionV relativeFrom="page">
                <wp:posOffset>9685020</wp:posOffset>
              </wp:positionV>
              <wp:extent cx="34290" cy="116840"/>
              <wp:effectExtent l="0" t="0" r="0" b="0"/>
              <wp:wrapNone/>
              <wp:docPr id="10" name="Frame1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429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instrText xml:space="preserve"> PAGE </w:instrTex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t>1</w: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2.7pt;height:9.2pt;mso-wrap-distance-left:0pt;mso-wrap-distance-right:0pt;mso-wrap-distance-top:5.7pt;mso-wrap-distance-bottom:5.7pt;margin-top:762.6pt;mso-position-vertical-relative:page;margin-left:520.2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begin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instrText xml:space="preserve"> PAGE </w:instrTex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separate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t>1</w: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7">
              <wp:simplePos x="0" y="0"/>
              <wp:positionH relativeFrom="page">
                <wp:posOffset>718185</wp:posOffset>
              </wp:positionH>
              <wp:positionV relativeFrom="page">
                <wp:posOffset>9690735</wp:posOffset>
              </wp:positionV>
              <wp:extent cx="57150" cy="116840"/>
              <wp:effectExtent l="0" t="0" r="0" b="0"/>
              <wp:wrapNone/>
              <wp:docPr id="15" name="Frame17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instrText xml:space="preserve"> PAGE </w:instrTex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t>4</w: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4.5pt;height:9.2pt;mso-wrap-distance-left:0pt;mso-wrap-distance-right:0pt;mso-wrap-distance-top:5.7pt;mso-wrap-distance-bottom:5.7pt;margin-top:763.05pt;mso-position-vertical-relative:page;margin-left:56.5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begin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instrText xml:space="preserve"> PAGE </w:instrTex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separate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t>4</w: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11">
              <wp:simplePos x="0" y="0"/>
              <wp:positionH relativeFrom="page">
                <wp:posOffset>6778625</wp:posOffset>
              </wp:positionH>
              <wp:positionV relativeFrom="page">
                <wp:posOffset>9685020</wp:posOffset>
              </wp:positionV>
              <wp:extent cx="57150" cy="116840"/>
              <wp:effectExtent l="0" t="0" r="0" b="0"/>
              <wp:wrapNone/>
              <wp:docPr id="16" name="Frame1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instrText xml:space="preserve"> PAGE </w:instrTex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t>5</w: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4.5pt;height:9.2pt;mso-wrap-distance-left:0pt;mso-wrap-distance-right:0pt;mso-wrap-distance-top:5.7pt;mso-wrap-distance-bottom:5.7pt;margin-top:762.6pt;mso-position-vertical-relative:page;margin-left:533.7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begin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instrText xml:space="preserve"> PAGE </w:instrTex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separate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t>5</w: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start"/>
      <w:rPr>
        <w:color w:val="000000"/>
      </w:rPr>
    </w:pPr>
    <w:r>
      <w:rPr>
        <w:color w:val="000000"/>
      </w:rPr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start"/>
      <w:rPr>
        <w:color w:val="000000"/>
      </w:rPr>
    </w:pPr>
    <w:r>
      <w:rPr>
        <w:color w:val="000000"/>
      </w:rPr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page">
                <wp:posOffset>6778625</wp:posOffset>
              </wp:positionH>
              <wp:positionV relativeFrom="page">
                <wp:posOffset>9685020</wp:posOffset>
              </wp:positionV>
              <wp:extent cx="57150" cy="85725"/>
              <wp:effectExtent l="0" t="0" r="0" b="0"/>
              <wp:wrapNone/>
              <wp:docPr id="21" name="Frame2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" cy="8572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instrText xml:space="preserve"> PAGE </w:instrTex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t>0</w: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4.5pt;height:6.75pt;mso-wrap-distance-left:0pt;mso-wrap-distance-right:0pt;mso-wrap-distance-top:5.7pt;mso-wrap-distance-bottom:5.7pt;margin-top:762.6pt;mso-position-vertical-relative:page;margin-left:533.7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begin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instrText xml:space="preserve"> PAGE </w:instrTex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separate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t>0</w: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3">
              <wp:simplePos x="0" y="0"/>
              <wp:positionH relativeFrom="page">
                <wp:posOffset>6778625</wp:posOffset>
              </wp:positionH>
              <wp:positionV relativeFrom="page">
                <wp:posOffset>9685020</wp:posOffset>
              </wp:positionV>
              <wp:extent cx="57150" cy="116840"/>
              <wp:effectExtent l="0" t="0" r="0" b="0"/>
              <wp:wrapNone/>
              <wp:docPr id="22" name="Frame2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150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begin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instrText xml:space="preserve"> PAGE </w:instrTex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separate"/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t>1</w:t>
                          </w: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6"/>
                              <w:lang w:val="ru-RU" w:eastAsia="ru-RU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4.5pt;height:9.2pt;mso-wrap-distance-left:0pt;mso-wrap-distance-right:0pt;mso-wrap-distance-top:5.7pt;mso-wrap-distance-bottom:5.7pt;margin-top:762.6pt;mso-position-vertical-relative:page;margin-left:533.7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begin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instrText xml:space="preserve"> PAGE </w:instrTex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separate"/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t>1</w:t>
                    </w: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6"/>
                        <w:lang w:val="ru-RU" w:eastAsia="ru-RU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start"/>
      <w:rPr>
        <w:color w:val="000000"/>
      </w:rPr>
    </w:pPr>
    <w:r>
      <w:rPr>
        <w:color w:val="000000"/>
      </w:rPr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start"/>
      <w:rPr>
        <w:color w:val="000000"/>
      </w:rPr>
    </w:pPr>
    <w:r>
      <w:rPr>
        <w:color w:val="000000"/>
      </w:rPr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21">
              <wp:simplePos x="0" y="0"/>
              <wp:positionH relativeFrom="page">
                <wp:posOffset>781685</wp:posOffset>
              </wp:positionH>
              <wp:positionV relativeFrom="page">
                <wp:posOffset>641350</wp:posOffset>
              </wp:positionV>
              <wp:extent cx="1228725" cy="131445"/>
              <wp:effectExtent l="0" t="0" r="0" b="0"/>
              <wp:wrapNone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55062—-2021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75pt;height:10.35pt;mso-wrap-distance-left:0pt;mso-wrap-distance-right:0pt;mso-wrap-distance-top:5.7pt;mso-wrap-distance-bottom:5.7pt;margin-top:50.5pt;mso-position-vertical-relative:page;margin-left:61.5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55062—-2021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22">
              <wp:simplePos x="0" y="0"/>
              <wp:positionH relativeFrom="page">
                <wp:posOffset>781685</wp:posOffset>
              </wp:positionH>
              <wp:positionV relativeFrom="page">
                <wp:posOffset>641350</wp:posOffset>
              </wp:positionV>
              <wp:extent cx="1228725" cy="131445"/>
              <wp:effectExtent l="0" t="0" r="0" b="0"/>
              <wp:wrapNone/>
              <wp:docPr id="4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55062—-2021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75pt;height:10.35pt;mso-wrap-distance-left:0pt;mso-wrap-distance-right:0pt;mso-wrap-distance-top:5.7pt;mso-wrap-distance-bottom:5.7pt;margin-top:50.5pt;mso-position-vertical-relative:page;margin-left:61.5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55062—-2021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18">
              <wp:simplePos x="0" y="0"/>
              <wp:positionH relativeFrom="page">
                <wp:posOffset>903605</wp:posOffset>
              </wp:positionH>
              <wp:positionV relativeFrom="page">
                <wp:posOffset>712470</wp:posOffset>
              </wp:positionV>
              <wp:extent cx="1228725" cy="131445"/>
              <wp:effectExtent l="0" t="0" r="0" b="0"/>
              <wp:wrapNone/>
              <wp:docPr id="5" name="Frame1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55062—-2021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75pt;height:10.35pt;mso-wrap-distance-left:0pt;mso-wrap-distance-right:0pt;mso-wrap-distance-top:5.7pt;mso-wrap-distance-bottom:5.7pt;margin-top:56.1pt;mso-position-vertical-relative:page;margin-left:71.1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55062—-2021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page">
                <wp:posOffset>903605</wp:posOffset>
              </wp:positionH>
              <wp:positionV relativeFrom="page">
                <wp:posOffset>712470</wp:posOffset>
              </wp:positionV>
              <wp:extent cx="1228725" cy="97155"/>
              <wp:effectExtent l="0" t="0" r="0" b="0"/>
              <wp:wrapNone/>
              <wp:docPr id="6" name="Frame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971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55062—-2021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75pt;height:7.65pt;mso-wrap-distance-left:0pt;mso-wrap-distance-right:0pt;mso-wrap-distance-top:5.7pt;mso-wrap-distance-bottom:5.7pt;margin-top:56.1pt;mso-position-vertical-relative:page;margin-left:71.1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55062—-2021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start"/>
      <w:rPr>
        <w:color w:val="000000"/>
      </w:rPr>
    </w:pPr>
    <w:r>
      <w:rPr>
        <w:color w:val="000000"/>
      </w:rPr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start"/>
      <w:rPr>
        <w:color w:val="000000"/>
      </w:rPr>
    </w:pPr>
    <w:r>
      <w:rPr>
        <w:color w:val="000000"/>
      </w:rPr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9">
              <wp:simplePos x="0" y="0"/>
              <wp:positionH relativeFrom="page">
                <wp:posOffset>723900</wp:posOffset>
              </wp:positionH>
              <wp:positionV relativeFrom="page">
                <wp:posOffset>712470</wp:posOffset>
              </wp:positionV>
              <wp:extent cx="1228725" cy="131445"/>
              <wp:effectExtent l="0" t="0" r="0" b="0"/>
              <wp:wrapNone/>
              <wp:docPr id="13" name="Frame16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75pt;height:10.35pt;mso-wrap-distance-left:0pt;mso-wrap-distance-right:0pt;mso-wrap-distance-top:5.7pt;mso-wrap-distance-bottom:5.7pt;margin-top:56.1pt;mso-position-vertical-relative:page;margin-left:57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13">
              <wp:simplePos x="0" y="0"/>
              <wp:positionH relativeFrom="page">
                <wp:posOffset>5595620</wp:posOffset>
              </wp:positionH>
              <wp:positionV relativeFrom="page">
                <wp:posOffset>712470</wp:posOffset>
              </wp:positionV>
              <wp:extent cx="1223010" cy="131445"/>
              <wp:effectExtent l="0" t="0" r="0" b="0"/>
              <wp:wrapNone/>
              <wp:docPr id="14" name="Frame1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3010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3pt;height:10.35pt;mso-wrap-distance-left:0pt;mso-wrap-distance-right:0pt;mso-wrap-distance-top:5.7pt;mso-wrap-distance-bottom:5.7pt;margin-top:56.1pt;mso-position-vertical-relative:page;margin-left:440.6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page">
                <wp:posOffset>903605</wp:posOffset>
              </wp:positionH>
              <wp:positionV relativeFrom="page">
                <wp:posOffset>711835</wp:posOffset>
              </wp:positionV>
              <wp:extent cx="1228725" cy="97155"/>
              <wp:effectExtent l="0" t="0" r="0" b="0"/>
              <wp:wrapNone/>
              <wp:docPr id="17" name="Frame19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971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75pt;height:7.65pt;mso-wrap-distance-left:0pt;mso-wrap-distance-right:0pt;mso-wrap-distance-top:5.7pt;mso-wrap-distance-bottom:5.7pt;margin-top:56.05pt;mso-position-vertical-relative:page;margin-left:71.1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5">
              <wp:simplePos x="0" y="0"/>
              <wp:positionH relativeFrom="page">
                <wp:posOffset>903605</wp:posOffset>
              </wp:positionH>
              <wp:positionV relativeFrom="page">
                <wp:posOffset>711835</wp:posOffset>
              </wp:positionV>
              <wp:extent cx="1228725" cy="131445"/>
              <wp:effectExtent l="0" t="0" r="0" b="0"/>
              <wp:wrapNone/>
              <wp:docPr id="18" name="Frame18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75pt;height:10.35pt;mso-wrap-distance-left:0pt;mso-wrap-distance-right:0pt;mso-wrap-distance-top:5.7pt;mso-wrap-distance-bottom:5.7pt;margin-top:56.05pt;mso-position-vertical-relative:page;margin-left:71.15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page">
                <wp:posOffset>5595620</wp:posOffset>
              </wp:positionH>
              <wp:positionV relativeFrom="page">
                <wp:posOffset>712470</wp:posOffset>
              </wp:positionV>
              <wp:extent cx="1223010" cy="97155"/>
              <wp:effectExtent l="0" t="0" r="0" b="0"/>
              <wp:wrapNone/>
              <wp:docPr id="19" name="Frame2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3010" cy="971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3pt;height:7.65pt;mso-wrap-distance-left:0pt;mso-wrap-distance-right:0pt;mso-wrap-distance-top:5.7pt;mso-wrap-distance-bottom:5.7pt;margin-top:56.1pt;mso-position-vertical-relative:page;margin-left:440.6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4">
              <wp:simplePos x="0" y="0"/>
              <wp:positionH relativeFrom="page">
                <wp:posOffset>5595620</wp:posOffset>
              </wp:positionH>
              <wp:positionV relativeFrom="page">
                <wp:posOffset>712470</wp:posOffset>
              </wp:positionV>
              <wp:extent cx="1223010" cy="131445"/>
              <wp:effectExtent l="0" t="0" r="0" b="0"/>
              <wp:wrapNone/>
              <wp:docPr id="20" name="Frame20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3010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3pt;height:10.35pt;mso-wrap-distance-left:0pt;mso-wrap-distance-right:0pt;mso-wrap-distance-top:5.7pt;mso-wrap-distance-bottom:5.7pt;margin-top:56.1pt;mso-position-vertical-relative:page;margin-left:440.6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1" allowOverlap="1" relativeHeight="0">
              <wp:simplePos x="0" y="0"/>
              <wp:positionH relativeFrom="page">
                <wp:posOffset>723900</wp:posOffset>
              </wp:positionH>
              <wp:positionV relativeFrom="page">
                <wp:posOffset>712470</wp:posOffset>
              </wp:positionV>
              <wp:extent cx="1228725" cy="97155"/>
              <wp:effectExtent l="0" t="0" r="0" b="0"/>
              <wp:wrapNone/>
              <wp:docPr id="23" name="Frame25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971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55062—-2021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75pt;height:7.65pt;mso-wrap-distance-left:0pt;mso-wrap-distance-right:0pt;mso-wrap-distance-top:5.7pt;mso-wrap-distance-bottom:5.7pt;margin-top:56.1pt;mso-position-vertical-relative:page;margin-left:57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55062—-2021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exact" w:line="1" w:before="0" w:after="0"/>
      <w:jc w:val="start"/>
      <w:rPr>
        <w:color w:val="000000"/>
      </w:rPr>
    </w:pPr>
    <w:r>
      <w:rPr>
        <w:color w:val="000000"/>
      </w:rPr>
    </w:r>
    <w:r>
      <mc:AlternateContent>
        <mc:Choice Requires="wps">
          <w:drawing>
            <wp:anchor behindDoc="1" distT="72390" distB="72390" distL="0" distR="0" simplePos="0" locked="0" layoutInCell="0" allowOverlap="1" relativeHeight="2">
              <wp:simplePos x="0" y="0"/>
              <wp:positionH relativeFrom="page">
                <wp:posOffset>723900</wp:posOffset>
              </wp:positionH>
              <wp:positionV relativeFrom="page">
                <wp:posOffset>712470</wp:posOffset>
              </wp:positionV>
              <wp:extent cx="1228725" cy="131445"/>
              <wp:effectExtent l="0" t="0" r="0" b="0"/>
              <wp:wrapNone/>
              <wp:docPr id="24" name="Frame2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2872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25"/>
                            <w:spacing w:lineRule="auto" w:line="240" w:before="0" w:after="0"/>
                            <w:rPr>
                              <w:rFonts w:ascii="Courier New" w:hAnsi="Courier New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Style w:val="22"/>
                              <w:rFonts w:ascii="Arial" w:hAnsi="Arial"/>
                              <w:b/>
                              <w:color w:val="000000"/>
                              <w:spacing w:val="0"/>
                              <w:w w:val="100"/>
                              <w:sz w:val="18"/>
                              <w:lang w:val="ru-RU" w:eastAsia="ru-RU"/>
                            </w:rPr>
                            <w:t>ГОСТ Р 55062—-2021</w:t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d="f" strokeweight="0pt" style="position:absolute;rotation:-0;width:96.75pt;height:10.35pt;mso-wrap-distance-left:0pt;mso-wrap-distance-right:0pt;mso-wrap-distance-top:5.7pt;mso-wrap-distance-bottom:5.7pt;margin-top:56.1pt;mso-position-vertical-relative:page;margin-left:57pt;mso-position-horizontal-relative:page">
              <v:fill opacity="0f"/>
              <v:textbox inset="0in,0in,0in,0in">
                <w:txbxContent>
                  <w:p>
                    <w:pPr>
                      <w:pStyle w:val="25"/>
                      <w:spacing w:lineRule="auto" w:line="240" w:before="0" w:after="0"/>
                      <w:rPr>
                        <w:rFonts w:ascii="Courier New" w:hAnsi="Courier New"/>
                        <w:sz w:val="24"/>
                        <w:lang w:val="ru-RU"/>
                      </w:rPr>
                    </w:pPr>
                    <w:r>
                      <w:rPr>
                        <w:rStyle w:val="22"/>
                        <w:rFonts w:ascii="Arial" w:hAnsi="Arial"/>
                        <w:b/>
                        <w:color w:val="000000"/>
                        <w:spacing w:val="0"/>
                        <w:w w:val="100"/>
                        <w:sz w:val="18"/>
                        <w:lang w:val="ru-RU" w:eastAsia="ru-RU"/>
                      </w:rPr>
                      <w:t>ГОСТ Р 55062—-2021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1">
      <w:start w:val="1"/>
      <w:numFmt w:val="decimal"/>
      <w:lvlText w:val="%2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2">
      <w:start w:val="1"/>
      <w:numFmt w:val="decimal"/>
      <w:lvlText w:val="%3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4">
      <w:start w:val="1"/>
      <w:numFmt w:val="decimal"/>
      <w:lvlText w:val="%5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5">
      <w:start w:val="1"/>
      <w:numFmt w:val="decimal"/>
      <w:lvlText w:val="%6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7">
      <w:start w:val="1"/>
      <w:numFmt w:val="decimal"/>
      <w:lvlText w:val="%8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8">
      <w:start w:val="1"/>
      <w:numFmt w:val="decimal"/>
      <w:lvlText w:val="%9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</w:abstractNum>
  <w:abstractNum w:abstractNumId="3">
    <w:lvl w:ilvl="0">
      <w:start w:val="2"/>
      <w:numFmt w:val="decimal"/>
      <w:lvlText w:val="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2">
      <w:start w:val="1"/>
      <w:numFmt w:val="decimal"/>
      <w:lvlText w:val="%2.%3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3">
      <w:start w:val="1"/>
      <w:numFmt w:val="decimal"/>
      <w:lvlText w:val="%3.%4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4">
      <w:start w:val="1"/>
      <w:numFmt w:val="decimal"/>
      <w:lvlText w:val="%4.%5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5">
      <w:start w:val="1"/>
      <w:numFmt w:val="decimal"/>
      <w:lvlText w:val="%5.%6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6">
      <w:start w:val="1"/>
      <w:numFmt w:val="decimal"/>
      <w:lvlText w:val="%6.%7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7">
      <w:start w:val="1"/>
      <w:numFmt w:val="decimal"/>
      <w:lvlText w:val="%7.%8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8">
      <w:start w:val="1"/>
      <w:numFmt w:val="decimal"/>
      <w:lvlText w:val="%8.%9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</w:abstractNum>
  <w:abstractNum w:abstractNumId="4">
    <w:lvl w:ilvl="0">
      <w:start w:val="1"/>
      <w:numFmt w:val="decimal"/>
      <w:lvlText w:val="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22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2">
      <w:start w:val="1"/>
      <w:numFmt w:val="decimal"/>
      <w:lvlText w:val="%2.%3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3">
      <w:start w:val="1"/>
      <w:numFmt w:val="decimal"/>
      <w:lvlText w:val="%3.%4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4">
      <w:start w:val="1"/>
      <w:numFmt w:val="decimal"/>
      <w:lvlText w:val="%4.%5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5">
      <w:start w:val="1"/>
      <w:numFmt w:val="decimal"/>
      <w:lvlText w:val="%5.%6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6">
      <w:start w:val="1"/>
      <w:numFmt w:val="decimal"/>
      <w:lvlText w:val="%6.%7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7">
      <w:start w:val="1"/>
      <w:numFmt w:val="decimal"/>
      <w:lvlText w:val="%7.%8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8">
      <w:start w:val="1"/>
      <w:numFmt w:val="decimal"/>
      <w:lvlText w:val="%8.%9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</w:abstractNum>
  <w:abstractNum w:abstractNumId="5">
    <w:lvl w:ilvl="0">
      <w:start w:val="1"/>
      <w:numFmt w:val="bullet"/>
      <w:lvlText w:val="•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1">
      <w:start w:val="1"/>
      <w:numFmt w:val="bullet"/>
      <w:lvlText w:val="•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2">
      <w:start w:val="1"/>
      <w:numFmt w:val="bullet"/>
      <w:lvlText w:val="•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3">
      <w:start w:val="1"/>
      <w:numFmt w:val="bullet"/>
      <w:lvlText w:val="•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4">
      <w:start w:val="1"/>
      <w:numFmt w:val="bullet"/>
      <w:lvlText w:val="•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5">
      <w:start w:val="1"/>
      <w:numFmt w:val="bullet"/>
      <w:lvlText w:val="•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6">
      <w:start w:val="1"/>
      <w:numFmt w:val="bullet"/>
      <w:lvlText w:val="•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7">
      <w:start w:val="1"/>
      <w:numFmt w:val="bullet"/>
      <w:lvlText w:val="•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8">
      <w:start w:val="1"/>
      <w:numFmt w:val="bullet"/>
      <w:lvlText w:val="•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</w:abstractNum>
  <w:abstractNum w:abstractNumId="6">
    <w:lvl w:ilvl="0">
      <w:start w:val="8"/>
      <w:numFmt w:val="decimal"/>
      <w:lvlText w:val="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lvlText w:val="%2.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lvlText w:val="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%8.%9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3"/>
      <w:numFmt w:val="decimal"/>
      <w:lvlText w:val="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22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decimal"/>
      <w:lvlText w:val="%2.%3.%4.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decimal"/>
      <w:lvlText w:val="%3.%4.%5.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decimal"/>
      <w:lvlText w:val="%4.%5.%6.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decimal"/>
      <w:lvlText w:val="%5.%6.%7.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decimal"/>
      <w:lvlText w:val="%6.%7.%8.%9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0" w:hanging="0"/>
      </w:pPr>
      <w:rPr>
        <w:rFonts w:ascii="Arial" w:hAnsi="Arial" w:cs="Arial" w:hint="default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</w:abstractNum>
  <w:abstractNum w:abstractNumId="9">
    <w:lvl w:ilvl="0">
      <w:start w:val="8"/>
      <w:numFmt w:val="decimal"/>
      <w:lvlText w:val="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22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4">
      <w:start w:val="1"/>
      <w:numFmt w:val="decimal"/>
      <w:lvlText w:val="%2.%3.%4.%5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5">
      <w:start w:val="1"/>
      <w:numFmt w:val="decimal"/>
      <w:lvlText w:val="%3.%4.%5.%6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6">
      <w:start w:val="1"/>
      <w:numFmt w:val="decimal"/>
      <w:lvlText w:val="%4.%5.%6.%7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7">
      <w:start w:val="1"/>
      <w:numFmt w:val="decimal"/>
      <w:lvlText w:val="%5.%6.%7.%8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  <w:lvl w:ilvl="8">
      <w:start w:val="1"/>
      <w:numFmt w:val="decimal"/>
      <w:lvlText w:val="%6.%7.%8.%9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8"/>
      </w:rPr>
    </w:lvl>
  </w:abstractNum>
  <w:abstractNum w:abstractNumId="10">
    <w:lvl w:ilvl="0">
      <w:start w:val="1"/>
      <w:numFmt w:val="decimal"/>
      <w:lvlText w:val="[%1]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6"/>
      </w:rPr>
    </w:lvl>
    <w:lvl w:ilvl="1">
      <w:start w:val="1"/>
      <w:numFmt w:val="decimal"/>
      <w:lvlText w:val="[%2]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6"/>
      </w:rPr>
    </w:lvl>
    <w:lvl w:ilvl="2">
      <w:start w:val="1"/>
      <w:numFmt w:val="decimal"/>
      <w:lvlText w:val="[%3]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6"/>
      </w:rPr>
    </w:lvl>
    <w:lvl w:ilvl="3">
      <w:start w:val="1"/>
      <w:numFmt w:val="decimal"/>
      <w:lvlText w:val="[%4]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6"/>
      </w:rPr>
    </w:lvl>
    <w:lvl w:ilvl="4">
      <w:start w:val="1"/>
      <w:numFmt w:val="decimal"/>
      <w:lvlText w:val="[%5]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6"/>
      </w:rPr>
    </w:lvl>
    <w:lvl w:ilvl="5">
      <w:start w:val="1"/>
      <w:numFmt w:val="decimal"/>
      <w:lvlText w:val="[%6]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6"/>
      </w:rPr>
    </w:lvl>
    <w:lvl w:ilvl="6">
      <w:start w:val="1"/>
      <w:numFmt w:val="decimal"/>
      <w:lvlText w:val="[%7]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6"/>
      </w:rPr>
    </w:lvl>
    <w:lvl w:ilvl="7">
      <w:start w:val="1"/>
      <w:numFmt w:val="decimal"/>
      <w:lvlText w:val="[%8]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6"/>
      </w:rPr>
    </w:lvl>
    <w:lvl w:ilvl="8">
      <w:start w:val="1"/>
      <w:numFmt w:val="decimal"/>
      <w:lvlText w:val="[%9]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  <w:caps w:val="false"/>
        <w:smallCaps w:val="false"/>
        <w:strike w:val="false"/>
        <w:dstrike w:val="false"/>
        <w:spacing w:val="0"/>
        <w:w w:val="100"/>
        <w:sz w:val="16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evenAndOddHeaders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40" w:before="0" w:after="0"/>
      <w:jc w:val="start"/>
      <w:textAlignment w:val="auto"/>
    </w:pPr>
    <w:rPr>
      <w:rFonts w:ascii="Courier New" w:hAnsi="Courier New" w:eastAsia="Courier New" w:cs="Courier New"/>
      <w:color w:val="000000"/>
      <w:spacing w:val="0"/>
      <w:w w:val="100"/>
      <w:kern w:val="2"/>
      <w:sz w:val="24"/>
      <w:szCs w:val="24"/>
      <w:lang w:val="ru-RU" w:eastAsia="ru-RU" w:bidi="hi-I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66CC"/>
      <w:u w:val="single"/>
    </w:rPr>
  </w:style>
  <w:style w:type="character" w:styleId="6">
    <w:name w:val="Основной текст (6)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40"/>
      <w:u w:val="none"/>
    </w:rPr>
  </w:style>
  <w:style w:type="character" w:styleId="Style14">
    <w:name w:val="Основной текст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18"/>
      <w:u w:val="none"/>
    </w:rPr>
  </w:style>
  <w:style w:type="character" w:styleId="5">
    <w:name w:val="Основной текст (5)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22"/>
      <w:u w:val="none"/>
    </w:rPr>
  </w:style>
  <w:style w:type="character" w:styleId="4">
    <w:name w:val="Основной текст (4)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34"/>
      <w:u w:val="none"/>
    </w:rPr>
  </w:style>
  <w:style w:type="character" w:styleId="1">
    <w:name w:val="Заголовок №1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40"/>
      <w:u w:val="none"/>
    </w:rPr>
  </w:style>
  <w:style w:type="character" w:styleId="2">
    <w:name w:val="Основной текст (2)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16"/>
      <w:u w:val="none"/>
    </w:rPr>
  </w:style>
  <w:style w:type="character" w:styleId="21">
    <w:name w:val="Заголовок №2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22"/>
      <w:u w:val="none"/>
    </w:rPr>
  </w:style>
  <w:style w:type="character" w:styleId="22">
    <w:name w:val="Колонтитул (2)_"/>
    <w:basedOn w:val="DefaultParagraphFont"/>
    <w:qFormat/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character" w:styleId="Style15">
    <w:name w:val="Оглавление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18"/>
      <w:u w:val="none"/>
    </w:rPr>
  </w:style>
  <w:style w:type="character" w:styleId="Style16">
    <w:name w:val="Подпись к картинке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16"/>
      <w:u w:val="none"/>
    </w:rPr>
  </w:style>
  <w:style w:type="character" w:styleId="3">
    <w:name w:val="Основной текст (3)_"/>
    <w:basedOn w:val="DefaultParagraphFont"/>
    <w:qFormat/>
    <w:rPr>
      <w:rFonts w:ascii="Arial" w:hAnsi="Arial"/>
      <w:b/>
      <w:i w:val="false"/>
      <w:caps w:val="false"/>
      <w:smallCaps w:val="false"/>
      <w:strike w:val="false"/>
      <w:dstrike w:val="false"/>
      <w:sz w:val="14"/>
      <w:u w:val="non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Lucida Sans"/>
    </w:rPr>
  </w:style>
  <w:style w:type="paragraph" w:styleId="61">
    <w:name w:val="Основной текст (6)"/>
    <w:basedOn w:val="Normal"/>
    <w:qFormat/>
    <w:pPr>
      <w:spacing w:lineRule="auto" w:line="266" w:before="0" w:after="0"/>
      <w:textAlignment w:val="auto"/>
    </w:pPr>
    <w:rPr>
      <w:rFonts w:ascii="Arial" w:hAnsi="Arial"/>
      <w:b/>
      <w:i w:val="false"/>
      <w:caps w:val="false"/>
      <w:smallCaps w:val="false"/>
      <w:strike w:val="false"/>
      <w:dstrike w:val="false"/>
      <w:sz w:val="40"/>
      <w:u w:val="none"/>
    </w:rPr>
  </w:style>
  <w:style w:type="paragraph" w:styleId="Style17">
    <w:name w:val="Основной текст"/>
    <w:basedOn w:val="Normal"/>
    <w:qFormat/>
    <w:pPr>
      <w:spacing w:lineRule="auto" w:line="276" w:before="0" w:after="0"/>
      <w:ind w:firstLine="400"/>
      <w:textAlignment w:val="auto"/>
    </w:pPr>
    <w:rPr>
      <w:rFonts w:ascii="Arial" w:hAnsi="Arial"/>
      <w:b/>
      <w:i w:val="false"/>
      <w:caps w:val="false"/>
      <w:smallCaps w:val="false"/>
      <w:strike w:val="false"/>
      <w:dstrike w:val="false"/>
      <w:sz w:val="18"/>
      <w:u w:val="none"/>
    </w:rPr>
  </w:style>
  <w:style w:type="paragraph" w:styleId="51">
    <w:name w:val="Основной текст (5)"/>
    <w:basedOn w:val="Normal"/>
    <w:qFormat/>
    <w:pPr>
      <w:spacing w:lineRule="auto" w:line="341" w:before="0" w:after="1880"/>
      <w:jc w:val="center"/>
      <w:textAlignment w:val="auto"/>
    </w:pPr>
    <w:rPr>
      <w:rFonts w:ascii="Arial" w:hAnsi="Arial"/>
      <w:b/>
      <w:i w:val="false"/>
      <w:caps w:val="false"/>
      <w:smallCaps w:val="false"/>
      <w:strike w:val="false"/>
      <w:dstrike w:val="false"/>
      <w:sz w:val="22"/>
      <w:u w:val="none"/>
    </w:rPr>
  </w:style>
  <w:style w:type="paragraph" w:styleId="41">
    <w:name w:val="Основной текст (4)"/>
    <w:basedOn w:val="Normal"/>
    <w:qFormat/>
    <w:pPr>
      <w:spacing w:lineRule="auto" w:line="240" w:before="0" w:after="600"/>
      <w:ind w:hanging="0" w:start="730"/>
      <w:textAlignment w:val="auto"/>
    </w:pPr>
    <w:rPr>
      <w:rFonts w:ascii="Arial" w:hAnsi="Arial"/>
      <w:b/>
      <w:i w:val="false"/>
      <w:caps w:val="false"/>
      <w:smallCaps w:val="false"/>
      <w:strike w:val="false"/>
      <w:dstrike w:val="false"/>
      <w:sz w:val="34"/>
      <w:u w:val="none"/>
    </w:rPr>
  </w:style>
  <w:style w:type="paragraph" w:styleId="11">
    <w:name w:val="Заголовок №1"/>
    <w:basedOn w:val="Normal"/>
    <w:qFormat/>
    <w:pPr>
      <w:spacing w:lineRule="auto" w:line="240" w:before="0" w:after="300"/>
      <w:ind w:hanging="0" w:start="1460"/>
      <w:textAlignment w:val="auto"/>
      <w:outlineLvl w:val="0"/>
    </w:pPr>
    <w:rPr>
      <w:rFonts w:ascii="Arial" w:hAnsi="Arial"/>
      <w:b/>
      <w:i w:val="false"/>
      <w:caps w:val="false"/>
      <w:smallCaps w:val="false"/>
      <w:strike w:val="false"/>
      <w:dstrike w:val="false"/>
      <w:sz w:val="40"/>
      <w:u w:val="none"/>
    </w:rPr>
  </w:style>
  <w:style w:type="paragraph" w:styleId="23">
    <w:name w:val="Основной текст (2)"/>
    <w:basedOn w:val="Normal"/>
    <w:qFormat/>
    <w:pPr>
      <w:spacing w:lineRule="auto" w:line="290" w:before="0" w:after="100"/>
      <w:textAlignment w:val="auto"/>
    </w:pPr>
    <w:rPr>
      <w:rFonts w:ascii="Arial" w:hAnsi="Arial"/>
      <w:b/>
      <w:i w:val="false"/>
      <w:caps w:val="false"/>
      <w:smallCaps w:val="false"/>
      <w:strike w:val="false"/>
      <w:dstrike w:val="false"/>
      <w:sz w:val="16"/>
      <w:u w:val="none"/>
    </w:rPr>
  </w:style>
  <w:style w:type="paragraph" w:styleId="24">
    <w:name w:val="Заголовок №2"/>
    <w:basedOn w:val="Normal"/>
    <w:qFormat/>
    <w:pPr>
      <w:spacing w:lineRule="auto" w:line="240" w:before="0" w:after="180"/>
      <w:ind w:firstLine="520"/>
      <w:textAlignment w:val="auto"/>
      <w:outlineLvl w:val="1"/>
    </w:pPr>
    <w:rPr>
      <w:rFonts w:ascii="Arial" w:hAnsi="Arial"/>
      <w:b/>
      <w:i w:val="false"/>
      <w:caps w:val="false"/>
      <w:smallCaps w:val="false"/>
      <w:strike w:val="false"/>
      <w:dstrike w:val="false"/>
      <w:sz w:val="22"/>
      <w:u w:val="none"/>
    </w:rPr>
  </w:style>
  <w:style w:type="paragraph" w:styleId="25">
    <w:name w:val="Колонтитул (2)"/>
    <w:basedOn w:val="Normal"/>
    <w:qFormat/>
    <w:pPr>
      <w:spacing w:lineRule="auto" w:line="240" w:before="0" w:after="0"/>
      <w:textAlignment w:val="auto"/>
    </w:pPr>
    <w:rPr>
      <w:rFonts w:ascii="Times New Roman" w:hAnsi="Times New Roman"/>
      <w:b w:val="false"/>
      <w:i w:val="false"/>
      <w:caps w:val="false"/>
      <w:smallCaps w:val="false"/>
      <w:strike w:val="false"/>
      <w:dstrike w:val="false"/>
      <w:sz w:val="20"/>
      <w:u w:val="none"/>
    </w:rPr>
  </w:style>
  <w:style w:type="paragraph" w:styleId="Style18">
    <w:name w:val="Оглавление"/>
    <w:basedOn w:val="Normal"/>
    <w:qFormat/>
    <w:pPr>
      <w:spacing w:lineRule="auto" w:line="240" w:before="0" w:after="120"/>
      <w:ind w:firstLine="180"/>
      <w:textAlignment w:val="auto"/>
    </w:pPr>
    <w:rPr>
      <w:rFonts w:ascii="Arial" w:hAnsi="Arial"/>
      <w:b/>
      <w:i w:val="false"/>
      <w:caps w:val="false"/>
      <w:smallCaps w:val="false"/>
      <w:strike w:val="false"/>
      <w:dstrike w:val="false"/>
      <w:sz w:val="18"/>
      <w:u w:val="none"/>
    </w:rPr>
  </w:style>
  <w:style w:type="paragraph" w:styleId="Style19">
    <w:name w:val="Подпись к картинке"/>
    <w:basedOn w:val="Normal"/>
    <w:qFormat/>
    <w:pPr>
      <w:spacing w:lineRule="auto" w:line="240" w:before="0" w:after="0"/>
      <w:textAlignment w:val="auto"/>
    </w:pPr>
    <w:rPr>
      <w:rFonts w:ascii="Arial" w:hAnsi="Arial"/>
      <w:b/>
      <w:i w:val="false"/>
      <w:caps w:val="false"/>
      <w:smallCaps w:val="false"/>
      <w:strike w:val="false"/>
      <w:dstrike w:val="false"/>
      <w:sz w:val="16"/>
      <w:u w:val="none"/>
    </w:rPr>
  </w:style>
  <w:style w:type="paragraph" w:styleId="31">
    <w:name w:val="Основной текст (3)"/>
    <w:basedOn w:val="Normal"/>
    <w:qFormat/>
    <w:pPr>
      <w:spacing w:lineRule="auto" w:line="283" w:before="0" w:after="40"/>
      <w:jc w:val="center"/>
      <w:textAlignment w:val="auto"/>
    </w:pPr>
    <w:rPr>
      <w:rFonts w:ascii="Arial" w:hAnsi="Arial"/>
      <w:b/>
      <w:i w:val="false"/>
      <w:caps w:val="false"/>
      <w:smallCaps w:val="false"/>
      <w:strike w:val="false"/>
      <w:dstrike w:val="false"/>
      <w:sz w:val="14"/>
      <w:u w:val="none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://www.rst.gov.ru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header" Target="header4.xml"/><Relationship Id="rId8" Type="http://schemas.openxmlformats.org/officeDocument/2006/relationships/header" Target="header5.xml"/><Relationship Id="rId9" Type="http://schemas.openxmlformats.org/officeDocument/2006/relationships/header" Target="header6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eader" Target="header7.xml"/><Relationship Id="rId13" Type="http://schemas.openxmlformats.org/officeDocument/2006/relationships/header" Target="header8.xml"/><Relationship Id="rId14" Type="http://schemas.openxmlformats.org/officeDocument/2006/relationships/header" Target="header9.xml"/><Relationship Id="rId15" Type="http://schemas.openxmlformats.org/officeDocument/2006/relationships/footer" Target="footer3.xml"/><Relationship Id="rId16" Type="http://schemas.openxmlformats.org/officeDocument/2006/relationships/footer" Target="footer4.xml"/><Relationship Id="rId17" Type="http://schemas.openxmlformats.org/officeDocument/2006/relationships/footer" Target="footer5.xm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footer" Target="footer6.xml"/><Relationship Id="rId24" Type="http://schemas.openxmlformats.org/officeDocument/2006/relationships/footer" Target="footer7.xml"/><Relationship Id="rId25" Type="http://schemas.openxmlformats.org/officeDocument/2006/relationships/footer" Target="footer8.xml"/><Relationship Id="rId26" Type="http://schemas.openxmlformats.org/officeDocument/2006/relationships/header" Target="header13.xml"/><Relationship Id="rId27" Type="http://schemas.openxmlformats.org/officeDocument/2006/relationships/header" Target="header14.xml"/><Relationship Id="rId28" Type="http://schemas.openxmlformats.org/officeDocument/2006/relationships/header" Target="header15.xml"/><Relationship Id="rId29" Type="http://schemas.openxmlformats.org/officeDocument/2006/relationships/footer" Target="footer9.xml"/><Relationship Id="rId30" Type="http://schemas.openxmlformats.org/officeDocument/2006/relationships/footer" Target="footer10.xml"/><Relationship Id="rId31" Type="http://schemas.openxmlformats.org/officeDocument/2006/relationships/footer" Target="footer11.xml"/><Relationship Id="rId32" Type="http://schemas.openxmlformats.org/officeDocument/2006/relationships/header" Target="header16.xml"/><Relationship Id="rId33" Type="http://schemas.openxmlformats.org/officeDocument/2006/relationships/header" Target="header17.xml"/><Relationship Id="rId34" Type="http://schemas.openxmlformats.org/officeDocument/2006/relationships/header" Target="header18.xml"/><Relationship Id="rId35" Type="http://schemas.openxmlformats.org/officeDocument/2006/relationships/footer" Target="footer12.xml"/><Relationship Id="rId36" Type="http://schemas.openxmlformats.org/officeDocument/2006/relationships/footer" Target="footer13.xml"/><Relationship Id="rId37" Type="http://schemas.openxmlformats.org/officeDocument/2006/relationships/footer" Target="footer14.xml"/><Relationship Id="rId38" Type="http://schemas.openxmlformats.org/officeDocument/2006/relationships/hyperlink" Target="mailto:info@goslinfo.ru" TargetMode="External"/><Relationship Id="rId39" Type="http://schemas.openxmlformats.org/officeDocument/2006/relationships/header" Target="header19.xml"/><Relationship Id="rId40" Type="http://schemas.openxmlformats.org/officeDocument/2006/relationships/header" Target="header20.xml"/><Relationship Id="rId41" Type="http://schemas.openxmlformats.org/officeDocument/2006/relationships/header" Target="header21.xml"/><Relationship Id="rId42" Type="http://schemas.openxmlformats.org/officeDocument/2006/relationships/footer" Target="footer15.xml"/><Relationship Id="rId43" Type="http://schemas.openxmlformats.org/officeDocument/2006/relationships/footer" Target="footer16.xml"/><Relationship Id="rId44" Type="http://schemas.openxmlformats.org/officeDocument/2006/relationships/footer" Target="footer17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LibreOffice/26.2.0.3$Windows_X86_64 LibreOffice_project/620$Build-3</Application>
  <AppVersion>15.0000</AppVersion>
  <Pages>13</Pages>
  <Words>3399</Words>
  <Characters>26387</Characters>
  <CharactersWithSpaces>29498</CharactersWithSpaces>
  <Paragraphs>195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allgosts.ru</dc:creator>
  <dc:description/>
  <dc:language>ru-RU</dc:language>
  <cp:lastModifiedBy/>
  <cp:revision>0</cp:revision>
  <dc:subject/>
  <dc:title/>
</cp:coreProperties>
</file>