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35be3ea59d298e1b0addffe78b316e0824b4eed"/>
    <w:p>
      <w:pPr>
        <w:pStyle w:val="Heading1"/>
      </w:pPr>
      <w:r>
        <w:t xml:space="preserve">Submission Overview - MCP Engineering Automation</w:t>
      </w:r>
    </w:p>
    <w:bookmarkStart w:id="9" w:name="project-summary"/>
    <w:p>
      <w:pPr>
        <w:pStyle w:val="Heading2"/>
      </w:pPr>
      <w:r>
        <w:t xml:space="preserve">Project Summary</w:t>
      </w:r>
    </w:p>
    <w:p>
      <w:pPr>
        <w:pStyle w:val="FirstParagraph"/>
      </w:pPr>
      <w:r>
        <w:t xml:space="preserve">This submission implements a local MCP server for engineering operations. The scope is intentionally narrow: service catalog management, incident lifecycle management, and on-call scheduling. The design emphasizes explicit contracts, predictable behavior, and safe tool execution over breadth.</w:t>
      </w:r>
    </w:p>
    <w:p>
      <w:pPr>
        <w:pStyle w:val="BodyText"/>
      </w:pPr>
      <w:r>
        <w:t xml:space="preserve">All state lives in a local SQLite database, which keeps the project easy to run, test, and review without external service dependencies.</w:t>
      </w:r>
    </w:p>
    <w:bookmarkEnd w:id="9"/>
    <w:bookmarkStart w:id="10" w:name="included-components"/>
    <w:p>
      <w:pPr>
        <w:pStyle w:val="Heading2"/>
      </w:pPr>
      <w:r>
        <w:t xml:space="preserve">Included Components</w:t>
      </w:r>
    </w:p>
    <w:p>
      <w:pPr>
        <w:pStyle w:val="Compact"/>
        <w:numPr>
          <w:ilvl w:val="0"/>
          <w:numId w:val="1001"/>
        </w:numPr>
      </w:pPr>
      <w:r>
        <w:t xml:space="preserve">MCP server implementation in</w:t>
      </w:r>
      <w:r>
        <w:t xml:space="preserve"> </w:t>
      </w:r>
      <w:r>
        <w:rPr>
          <w:rStyle w:val="VerbatimChar"/>
        </w:rPr>
        <w:t xml:space="preserve">server/main.py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Tool logic and database access in</w:t>
      </w:r>
      <w:r>
        <w:t xml:space="preserve"> </w:t>
      </w:r>
      <w:r>
        <w:rPr>
          <w:rStyle w:val="VerbatimChar"/>
        </w:rPr>
        <w:t xml:space="preserve">server/tools.py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server/db.py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Pydantic schemas in</w:t>
      </w:r>
      <w:r>
        <w:t xml:space="preserve"> </w:t>
      </w:r>
      <w:r>
        <w:rPr>
          <w:rStyle w:val="VerbatimChar"/>
        </w:rPr>
        <w:t xml:space="preserve">server/models.py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Minimal CLI client in</w:t>
      </w:r>
      <w:r>
        <w:t xml:space="preserve"> </w:t>
      </w:r>
      <w:r>
        <w:rPr>
          <w:rStyle w:val="VerbatimChar"/>
        </w:rPr>
        <w:t xml:space="preserve">client/cli.py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Deterministic tests in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Reviewer-facing documentation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End w:id="10"/>
    <w:bookmarkStart w:id="11" w:name="requirement-coverage"/>
    <w:p>
      <w:pPr>
        <w:pStyle w:val="Heading2"/>
      </w:pPr>
      <w:r>
        <w:t xml:space="preserve">Requirement Coverage</w:t>
      </w:r>
    </w:p>
    <w:p>
      <w:pPr>
        <w:pStyle w:val="Compact"/>
        <w:numPr>
          <w:ilvl w:val="0"/>
          <w:numId w:val="1002"/>
        </w:numPr>
      </w:pPr>
      <w:r>
        <w:t xml:space="preserve">Explicit schemas and input validation.</w:t>
      </w:r>
    </w:p>
    <w:p>
      <w:pPr>
        <w:pStyle w:val="Compact"/>
        <w:numPr>
          <w:ilvl w:val="1"/>
          <w:numId w:val="1003"/>
        </w:numPr>
      </w:pPr>
      <w:r>
        <w:t xml:space="preserve">Implemented with Pydantic request and response models.</w:t>
      </w:r>
    </w:p>
    <w:p>
      <w:pPr>
        <w:pStyle w:val="Compact"/>
        <w:numPr>
          <w:ilvl w:val="0"/>
          <w:numId w:val="1002"/>
        </w:numPr>
      </w:pPr>
      <w:r>
        <w:t xml:space="preserve">Clear separation of read vs. write operations.</w:t>
      </w:r>
    </w:p>
    <w:p>
      <w:pPr>
        <w:pStyle w:val="Compact"/>
        <w:numPr>
          <w:ilvl w:val="1"/>
          <w:numId w:val="1004"/>
        </w:numPr>
      </w:pPr>
      <w:r>
        <w:t xml:space="preserve">Read tools list or fetch records; write tools create or update records only.</w:t>
      </w:r>
    </w:p>
    <w:p>
      <w:pPr>
        <w:pStyle w:val="Compact"/>
        <w:numPr>
          <w:ilvl w:val="0"/>
          <w:numId w:val="1002"/>
        </w:numPr>
      </w:pPr>
      <w:r>
        <w:t xml:space="preserve">Deterministic, testable behavior.</w:t>
      </w:r>
    </w:p>
    <w:p>
      <w:pPr>
        <w:pStyle w:val="Compact"/>
        <w:numPr>
          <w:ilvl w:val="1"/>
          <w:numId w:val="1005"/>
        </w:numPr>
      </w:pPr>
      <w:r>
        <w:t xml:space="preserve">The CLI dispatcher is rule-based and unit-tested.</w:t>
      </w:r>
    </w:p>
    <w:p>
      <w:pPr>
        <w:pStyle w:val="Compact"/>
        <w:numPr>
          <w:ilvl w:val="0"/>
          <w:numId w:val="1002"/>
        </w:numPr>
      </w:pPr>
      <w:r>
        <w:t xml:space="preserve">Safety and mutation control.</w:t>
      </w:r>
    </w:p>
    <w:p>
      <w:pPr>
        <w:pStyle w:val="Compact"/>
        <w:numPr>
          <w:ilvl w:val="1"/>
          <w:numId w:val="1006"/>
        </w:numPr>
      </w:pPr>
      <w:r>
        <w:t xml:space="preserve">No delete or bulk destructive tools are exposed.</w:t>
      </w:r>
    </w:p>
    <w:p>
      <w:pPr>
        <w:pStyle w:val="Compact"/>
        <w:numPr>
          <w:ilvl w:val="0"/>
          <w:numId w:val="1002"/>
        </w:numPr>
      </w:pPr>
      <w:r>
        <w:t xml:space="preserve">Auditable writes.</w:t>
      </w:r>
    </w:p>
    <w:p>
      <w:pPr>
        <w:pStyle w:val="Compact"/>
        <w:numPr>
          <w:ilvl w:val="1"/>
          <w:numId w:val="1007"/>
        </w:numPr>
      </w:pPr>
      <w:r>
        <w:t xml:space="preserve">Every mutation is recorded in the audit log.</w:t>
      </w:r>
    </w:p>
    <w:bookmarkEnd w:id="11"/>
    <w:bookmarkStart w:id="12" w:name="how-to-run"/>
    <w:p>
      <w:pPr>
        <w:pStyle w:val="Heading2"/>
      </w:pPr>
      <w:r>
        <w:t xml:space="preserve">How To Run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mcp-engineering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scripts/seed.py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client.cli </w:t>
      </w:r>
      <w:r>
        <w:rPr>
          <w:rStyle w:val="AttributeTok"/>
        </w:rPr>
        <w:t xml:space="preserve">--list-tools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client.cli </w:t>
      </w:r>
      <w:r>
        <w:rPr>
          <w:rStyle w:val="StringTok"/>
        </w:rPr>
        <w:t xml:space="preserve">"show all open incidents"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 </w:t>
      </w:r>
      <w:r>
        <w:rPr>
          <w:rStyle w:val="AttributeTok"/>
        </w:rPr>
        <w:t xml:space="preserve">-v</w:t>
      </w:r>
    </w:p>
    <w:bookmarkEnd w:id="12"/>
    <w:bookmarkStart w:id="13" w:name="expected-review-results"/>
    <w:p>
      <w:pPr>
        <w:pStyle w:val="Heading2"/>
      </w:pPr>
      <w:r>
        <w:t xml:space="preserve">Expected Review Results</w:t>
      </w:r>
    </w:p>
    <w:p>
      <w:pPr>
        <w:pStyle w:val="Compact"/>
        <w:numPr>
          <w:ilvl w:val="0"/>
          <w:numId w:val="1008"/>
        </w:numPr>
      </w:pPr>
      <w:r>
        <w:t xml:space="preserve">The seeded database is created successfully.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--list-tools</w:t>
      </w:r>
      <w:r>
        <w:t xml:space="preserve"> </w:t>
      </w:r>
      <w:r>
        <w:t xml:space="preserve">shows the MCP tool surface.</w:t>
      </w:r>
    </w:p>
    <w:p>
      <w:pPr>
        <w:pStyle w:val="Compact"/>
        <w:numPr>
          <w:ilvl w:val="0"/>
          <w:numId w:val="1008"/>
        </w:numPr>
      </w:pPr>
      <w:r>
        <w:t xml:space="preserve">Read-only queries return JSON results.</w:t>
      </w:r>
    </w:p>
    <w:p>
      <w:pPr>
        <w:pStyle w:val="Compact"/>
        <w:numPr>
          <w:ilvl w:val="0"/>
          <w:numId w:val="1008"/>
        </w:numPr>
      </w:pPr>
      <w:r>
        <w:t xml:space="preserve">Write commands create or update records without destructive operations.</w:t>
      </w:r>
    </w:p>
    <w:p>
      <w:pPr>
        <w:pStyle w:val="Compact"/>
        <w:numPr>
          <w:ilvl w:val="0"/>
          <w:numId w:val="1008"/>
        </w:numPr>
      </w:pPr>
      <w:r>
        <w:t xml:space="preserve">The test suite passes.</w:t>
      </w:r>
    </w:p>
    <w:bookmarkEnd w:id="13"/>
    <w:bookmarkStart w:id="14" w:name="reviewer-notes"/>
    <w:p>
      <w:pPr>
        <w:pStyle w:val="Heading2"/>
      </w:pPr>
      <w:r>
        <w:t xml:space="preserve">Reviewer Notes</w:t>
      </w:r>
    </w:p>
    <w:p>
      <w:pPr>
        <w:pStyle w:val="Compact"/>
        <w:numPr>
          <w:ilvl w:val="0"/>
          <w:numId w:val="1009"/>
        </w:numPr>
      </w:pPr>
      <w:r>
        <w:t xml:space="preserve">The transport is stdio-based by design.</w:t>
      </w:r>
    </w:p>
    <w:p>
      <w:pPr>
        <w:pStyle w:val="Compact"/>
        <w:numPr>
          <w:ilvl w:val="0"/>
          <w:numId w:val="1009"/>
        </w:numPr>
      </w:pPr>
      <w:r>
        <w:t xml:space="preserve">No API keys are required.</w:t>
      </w:r>
    </w:p>
    <w:p>
      <w:pPr>
        <w:pStyle w:val="Compact"/>
        <w:numPr>
          <w:ilvl w:val="0"/>
          <w:numId w:val="1009"/>
        </w:numPr>
      </w:pPr>
      <w:r>
        <w:t xml:space="preserve">The SQLite database is local and resettable, which keeps the demo reproducible.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2026-04-02T21:16:39Z</dcterms:created>
  <dcterms:modified xsi:type="dcterms:W3CDTF">2026-04-02T21:16:39Z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