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f27d943619b5293062a1000b92146fef3a7684"/>
    <w:p>
      <w:pPr>
        <w:pStyle w:val="Heading1"/>
      </w:pPr>
      <w:r>
        <w:t xml:space="preserve">Technical Report: MCP Server for Engineering Automation</w:t>
      </w:r>
    </w:p>
    <w:bookmarkStart w:id="9" w:name="overview"/>
    <w:p>
      <w:pPr>
        <w:pStyle w:val="Heading2"/>
      </w:pPr>
      <w:r>
        <w:t xml:space="preserve">Overview</w:t>
      </w:r>
    </w:p>
    <w:p>
      <w:pPr>
        <w:pStyle w:val="FirstParagraph"/>
      </w:pPr>
      <w:r>
        <w:t xml:space="preserve">This project implements an MCP (Model Context Protocol) server for an engineering operations domain: service catalog, incident management, and on-call scheduling. The primary design goal is to expose a small set of high-confidence tools with explicit contracts, safe mutation behavior, and deterministic test coverage.</w:t>
      </w:r>
    </w:p>
    <w:p>
      <w:r>
        <w:pict>
          <v:rect style="width:0;height:1.5pt" o:hralign="center" o:hrstd="t" o:hr="t"/>
        </w:pict>
      </w:r>
    </w:p>
    <w:bookmarkEnd w:id="9"/>
    <w:bookmarkStart w:id="10" w:name="domain-choice"/>
    <w:p>
      <w:pPr>
        <w:pStyle w:val="Heading2"/>
      </w:pPr>
      <w:r>
        <w:t xml:space="preserve">Domain Choice</w:t>
      </w:r>
    </w:p>
    <w:p>
      <w:pPr>
        <w:pStyle w:val="FirstParagraph"/>
      </w:pPr>
      <w:r>
        <w:t xml:space="preserve">The engineering operations domain naturally supports strict read/write separation and meaningful safety constraints. For example, incident state transitions should not be arbitrarily reversible, and schedule updates should remain auditable. This makes the assignment requirements measurable and testable.</w:t>
      </w:r>
    </w:p>
    <w:p>
      <w:pPr>
        <w:pStyle w:val="BodyText"/>
      </w:pPr>
      <w:r>
        <w:t xml:space="preserve">The backing store is</w:t>
      </w:r>
      <w:r>
        <w:t xml:space="preserve"> </w:t>
      </w:r>
      <w:r>
        <w:rPr>
          <w:b/>
          <w:bCs/>
        </w:rPr>
        <w:t xml:space="preserve">SQLite via aiosqlite</w:t>
      </w:r>
      <w:r>
        <w:t xml:space="preserve"> </w:t>
      </w:r>
      <w:r>
        <w:t xml:space="preserve">for low-friction setup, deterministic local execution, and portability.</w:t>
      </w:r>
    </w:p>
    <w:p>
      <w:r>
        <w:pict>
          <v:rect style="width:0;height:1.5pt" o:hralign="center" o:hrstd="t" o:hr="t"/>
        </w:pict>
      </w:r>
    </w:p>
    <w:bookmarkEnd w:id="10"/>
    <w:bookmarkStart w:id="12" w:name="architecture"/>
    <w:p>
      <w:pPr>
        <w:pStyle w:val="Heading2"/>
      </w:pPr>
      <w:r>
        <w:t xml:space="preserve">Architecture</w:t>
      </w:r>
    </w:p>
    <w:p>
      <w:pPr>
        <w:pStyle w:val="SourceCode"/>
      </w:pPr>
      <w:r>
        <w:rPr>
          <w:rStyle w:val="VerbatimChar"/>
        </w:rPr>
        <w:t xml:space="preserve">┌──────────────────────────────────────────────────────────────────┐</w:t>
      </w:r>
      <w:r>
        <w:br/>
      </w:r>
      <w:r>
        <w:rPr>
          <w:rStyle w:val="VerbatimChar"/>
        </w:rPr>
        <w:t xml:space="preserve">│  CLI Client (client/cli.py)                                      │</w:t>
      </w:r>
      <w:r>
        <w:br/>
      </w:r>
      <w:r>
        <w:rPr>
          <w:rStyle w:val="VerbatimChar"/>
        </w:rPr>
        <w:t xml:space="preserve">│  • Takes natural language instruction                            │</w:t>
      </w:r>
      <w:r>
        <w:br/>
      </w:r>
      <w:r>
        <w:rPr>
          <w:rStyle w:val="VerbatimChar"/>
        </w:rPr>
        <w:t xml:space="preserve">│  • Rule-based dispatcher → (tool_name, args)                     │</w:t>
      </w:r>
      <w:r>
        <w:br/>
      </w:r>
      <w:r>
        <w:rPr>
          <w:rStyle w:val="VerbatimChar"/>
        </w:rPr>
        <w:t xml:space="preserve">│  • Connects to server over stdio (MCP protocol)                  │</w:t>
      </w:r>
      <w:r>
        <w:br/>
      </w:r>
      <w:r>
        <w:rPr>
          <w:rStyle w:val="VerbatimChar"/>
        </w:rPr>
        <w:t xml:space="preserve">└──────────────────────┬───────────────────────────────────────────┘</w:t>
      </w:r>
      <w:r>
        <w:br/>
      </w:r>
      <w:r>
        <w:rPr>
          <w:rStyle w:val="VerbatimChar"/>
        </w:rPr>
        <w:t xml:space="preserve">                       │ stdio (JSON-RPC 2.0)</w:t>
      </w:r>
      <w:r>
        <w:br/>
      </w:r>
      <w:r>
        <w:rPr>
          <w:rStyle w:val="VerbatimChar"/>
        </w:rPr>
        <w:t xml:space="preserve">┌──────────────────────▼───────────────────────────────────────────┐</w:t>
      </w:r>
      <w:r>
        <w:br/>
      </w:r>
      <w:r>
        <w:rPr>
          <w:rStyle w:val="VerbatimChar"/>
        </w:rPr>
        <w:t xml:space="preserve">│  MCP Server (server/main.py)                                     │</w:t>
      </w:r>
      <w:r>
        <w:br/>
      </w:r>
      <w:r>
        <w:rPr>
          <w:rStyle w:val="VerbatimChar"/>
        </w:rPr>
        <w:t xml:space="preserve">│  • FastMCP registers tools with JSON Schema from type hints      │</w:t>
      </w:r>
      <w:r>
        <w:br/>
      </w:r>
      <w:r>
        <w:rPr>
          <w:rStyle w:val="VerbatimChar"/>
        </w:rPr>
        <w:t xml:space="preserve">│  • Handles MCP initialize / tools/list / tools/call lifecycle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Tool implementations (server/tools.py)                          │</w:t>
      </w:r>
      <w:r>
        <w:br/>
      </w:r>
      <w:r>
        <w:rPr>
          <w:rStyle w:val="VerbatimChar"/>
        </w:rPr>
        <w:t xml:space="preserve">│  • Pure async functions; no framework coupling                   │</w:t>
      </w:r>
      <w:r>
        <w:br/>
      </w:r>
      <w:r>
        <w:rPr>
          <w:rStyle w:val="VerbatimChar"/>
        </w:rPr>
        <w:t xml:space="preserve">│  • Input validated via Pydantic models (server/models.py)        │</w:t>
      </w:r>
      <w:r>
        <w:br/>
      </w:r>
      <w:r>
        <w:rPr>
          <w:rStyle w:val="VerbatimChar"/>
        </w:rPr>
        <w:t xml:space="preserve">│  • Every write is logged to audit_log table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SQLite database (aiosqlite)                                     │</w:t>
      </w:r>
      <w:r>
        <w:br/>
      </w:r>
      <w:r>
        <w:rPr>
          <w:rStyle w:val="VerbatimChar"/>
        </w:rPr>
        <w:t xml:space="preserve">│  • tables: services, incidents, oncall, audit_log                │</w:t>
      </w:r>
      <w:r>
        <w:br/>
      </w:r>
      <w:r>
        <w:rPr>
          <w:rStyle w:val="VerbatimChar"/>
        </w:rPr>
        <w:t xml:space="preserve">│  • WAL mode, foreign keys ON                                     │</w:t>
      </w:r>
      <w:r>
        <w:br/>
      </w:r>
      <w:r>
        <w:rPr>
          <w:rStyle w:val="VerbatimChar"/>
        </w:rPr>
        <w:t xml:space="preserve">└──────────────────────────────────────────────────────────────────┘</w:t>
      </w:r>
    </w:p>
    <w:bookmarkStart w:id="11" w:name="why-stdio-transport"/>
    <w:p>
      <w:pPr>
        <w:pStyle w:val="Heading3"/>
      </w:pPr>
      <w:r>
        <w:t xml:space="preserve">Why stdio transport?</w:t>
      </w:r>
    </w:p>
    <w:p>
      <w:pPr>
        <w:pStyle w:val="FirstParagraph"/>
      </w:pPr>
      <w:r>
        <w:t xml:space="preserve">MCP supports both stdio and HTTP-based transports. For this assignment, stdio provides the smallest operational surface: no additional network configuration, no auth bootstrap, and straightforward process-level isolation. It is also widely supported by MCP-compatible hosts.</w:t>
      </w:r>
    </w:p>
    <w:p>
      <w:r>
        <w:pict>
          <v:rect style="width:0;height:1.5pt" o:hralign="center" o:hrstd="t" o:hr="t"/>
        </w:pict>
      </w:r>
    </w:p>
    <w:bookmarkEnd w:id="11"/>
    <w:bookmarkEnd w:id="12"/>
    <w:bookmarkStart w:id="15" w:name="tool-design"/>
    <w:p>
      <w:pPr>
        <w:pStyle w:val="Heading2"/>
      </w:pPr>
      <w:r>
        <w:t xml:space="preserve">Tool Design</w:t>
      </w:r>
    </w:p>
    <w:bookmarkStart w:id="13" w:name="read-vs-write-separation"/>
    <w:p>
      <w:pPr>
        <w:pStyle w:val="Heading3"/>
      </w:pPr>
      <w:r>
        <w:t xml:space="preserve">Read vs Write separation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list_services</w:t>
            </w:r>
          </w:p>
        </w:tc>
        <w:tc>
          <w:tcPr/>
          <w:p>
            <w:pPr>
              <w:pStyle w:val="Compact"/>
            </w:pPr>
            <w:r>
              <w:t xml:space="preserve">Read</w:t>
            </w:r>
          </w:p>
        </w:tc>
        <w:tc>
          <w:tcPr/>
          <w:p>
            <w:pPr>
              <w:pStyle w:val="Compact"/>
            </w:pPr>
            <w:r>
              <w:t xml:space="preserve">Filters by tier / team</w:t>
            </w:r>
          </w:p>
        </w:tc>
      </w:tr>
      <w:tr>
        <w:tc>
          <w:tcPr/>
          <w:p>
            <w:pPr>
              <w:pStyle w:val="Compact"/>
            </w:pPr>
            <w:r>
              <w:rPr>
                <w:rStyle w:val="VerbatimChar"/>
              </w:rPr>
              <w:t xml:space="preserve">get_service</w:t>
            </w:r>
          </w:p>
        </w:tc>
        <w:tc>
          <w:tcPr/>
          <w:p>
            <w:pPr>
              <w:pStyle w:val="Compact"/>
            </w:pPr>
            <w:r>
              <w:t xml:space="preserve">Read</w:t>
            </w:r>
          </w:p>
        </w:tc>
        <w:tc>
          <w:tcPr/>
          <w:p>
            <w:pPr>
              <w:pStyle w:val="Compact"/>
            </w:pPr>
            <w:r>
              <w:t xml:space="preserve">Single lookup by name</w:t>
            </w:r>
          </w:p>
        </w:tc>
      </w:tr>
      <w:tr>
        <w:tc>
          <w:tcPr/>
          <w:p>
            <w:pPr>
              <w:pStyle w:val="Compact"/>
            </w:pPr>
            <w:r>
              <w:rPr>
                <w:rStyle w:val="VerbatimChar"/>
              </w:rPr>
              <w:t xml:space="preserve">list_incidents</w:t>
            </w:r>
          </w:p>
        </w:tc>
        <w:tc>
          <w:tcPr/>
          <w:p>
            <w:pPr>
              <w:pStyle w:val="Compact"/>
            </w:pPr>
            <w:r>
              <w:t xml:space="preserve">Read</w:t>
            </w:r>
          </w:p>
        </w:tc>
        <w:tc>
          <w:tcPr/>
          <w:p>
            <w:pPr>
              <w:pStyle w:val="Compact"/>
            </w:pPr>
            <w:r>
              <w:t xml:space="preserve">Filters by status / severity / service</w:t>
            </w:r>
          </w:p>
        </w:tc>
      </w:tr>
      <w:tr>
        <w:tc>
          <w:tcPr/>
          <w:p>
            <w:pPr>
              <w:pStyle w:val="Compact"/>
            </w:pPr>
            <w:r>
              <w:rPr>
                <w:rStyle w:val="VerbatimChar"/>
              </w:rPr>
              <w:t xml:space="preserve">get_incident</w:t>
            </w:r>
          </w:p>
        </w:tc>
        <w:tc>
          <w:tcPr/>
          <w:p>
            <w:pPr>
              <w:pStyle w:val="Compact"/>
            </w:pPr>
            <w:r>
              <w:t xml:space="preserve">Read</w:t>
            </w:r>
          </w:p>
        </w:tc>
        <w:tc>
          <w:tcPr/>
          <w:p>
            <w:pPr>
              <w:pStyle w:val="Compact"/>
            </w:pPr>
            <w:r>
              <w:t xml:space="preserve">Single lookup by ID</w:t>
            </w:r>
          </w:p>
        </w:tc>
      </w:tr>
      <w:tr>
        <w:tc>
          <w:tcPr/>
          <w:p>
            <w:pPr>
              <w:pStyle w:val="Compact"/>
            </w:pPr>
            <w:r>
              <w:rPr>
                <w:rStyle w:val="VerbatimChar"/>
              </w:rPr>
              <w:t xml:space="preserve">get_oncall</w:t>
            </w:r>
          </w:p>
        </w:tc>
        <w:tc>
          <w:tcPr/>
          <w:p>
            <w:pPr>
              <w:pStyle w:val="Compact"/>
            </w:pPr>
            <w:r>
              <w:t xml:space="preserve">Read</w:t>
            </w:r>
          </w:p>
        </w:tc>
        <w:tc>
          <w:tcPr/>
          <w:p>
            <w:pPr>
              <w:pStyle w:val="Compact"/>
            </w:pPr>
            <w:r>
              <w:t xml:space="preserve">Filters by team / date</w:t>
            </w:r>
          </w:p>
        </w:tc>
      </w:tr>
      <w:tr>
        <w:tc>
          <w:tcPr/>
          <w:p>
            <w:pPr>
              <w:pStyle w:val="Compact"/>
            </w:pPr>
            <w:r>
              <w:rPr>
                <w:rStyle w:val="VerbatimChar"/>
              </w:rPr>
              <w:t xml:space="preserve">create_service</w:t>
            </w:r>
          </w:p>
        </w:tc>
        <w:tc>
          <w:tcPr/>
          <w:p>
            <w:pPr>
              <w:pStyle w:val="Compact"/>
            </w:pPr>
            <w:r>
              <w:t xml:space="preserve">Write</w:t>
            </w:r>
          </w:p>
        </w:tc>
        <w:tc>
          <w:tcPr/>
          <w:p>
            <w:pPr>
              <w:pStyle w:val="Compact"/>
            </w:pPr>
            <w:r>
              <w:t xml:space="preserve">Fails on duplicate name</w:t>
            </w:r>
          </w:p>
        </w:tc>
      </w:tr>
      <w:tr>
        <w:tc>
          <w:tcPr/>
          <w:p>
            <w:pPr>
              <w:pStyle w:val="Compact"/>
            </w:pPr>
            <w:r>
              <w:rPr>
                <w:rStyle w:val="VerbatimChar"/>
              </w:rPr>
              <w:t xml:space="preserve">create_incident</w:t>
            </w:r>
          </w:p>
        </w:tc>
        <w:tc>
          <w:tcPr/>
          <w:p>
            <w:pPr>
              <w:pStyle w:val="Compact"/>
            </w:pPr>
            <w:r>
              <w:t xml:space="preserve">Write</w:t>
            </w:r>
          </w:p>
        </w:tc>
        <w:tc>
          <w:tcPr/>
          <w:p>
            <w:pPr>
              <w:pStyle w:val="Compact"/>
            </w:pPr>
            <w:r>
              <w:t xml:space="preserve">Validates service name FK</w:t>
            </w:r>
          </w:p>
        </w:tc>
      </w:tr>
      <w:tr>
        <w:tc>
          <w:tcPr/>
          <w:p>
            <w:pPr>
              <w:pStyle w:val="Compact"/>
            </w:pPr>
            <w:r>
              <w:rPr>
                <w:rStyle w:val="VerbatimChar"/>
              </w:rPr>
              <w:t xml:space="preserve">update_incident</w:t>
            </w:r>
          </w:p>
        </w:tc>
        <w:tc>
          <w:tcPr/>
          <w:p>
            <w:pPr>
              <w:pStyle w:val="Compact"/>
            </w:pPr>
            <w:r>
              <w:t xml:space="preserve">Write</w:t>
            </w:r>
          </w:p>
        </w:tc>
        <w:tc>
          <w:tcPr/>
          <w:p>
            <w:pPr>
              <w:pStyle w:val="Compact"/>
            </w:pPr>
            <w:r>
              <w:t xml:space="preserve">Enforces status lifecycle</w:t>
            </w:r>
          </w:p>
        </w:tc>
      </w:tr>
      <w:tr>
        <w:tc>
          <w:tcPr/>
          <w:p>
            <w:pPr>
              <w:pStyle w:val="Compact"/>
            </w:pPr>
            <w:r>
              <w:rPr>
                <w:rStyle w:val="VerbatimChar"/>
              </w:rPr>
              <w:t xml:space="preserve">set_oncall</w:t>
            </w:r>
          </w:p>
        </w:tc>
        <w:tc>
          <w:tcPr/>
          <w:p>
            <w:pPr>
              <w:pStyle w:val="Compact"/>
            </w:pPr>
            <w:r>
              <w:t xml:space="preserve">Write</w:t>
            </w:r>
          </w:p>
        </w:tc>
        <w:tc>
          <w:tcPr/>
          <w:p>
            <w:pPr>
              <w:pStyle w:val="Compact"/>
            </w:pPr>
            <w:r>
              <w:t xml:space="preserve">Upserts by team + start_date</w:t>
            </w:r>
          </w:p>
        </w:tc>
      </w:tr>
    </w:tbl>
    <w:p>
      <w:pPr>
        <w:pStyle w:val="BodyText"/>
      </w:pPr>
      <w:r>
        <w:t xml:space="preserve">The rule: read tools can be called freely; write tools are idempotent where possible and always audit-logged.</w:t>
      </w:r>
    </w:p>
    <w:bookmarkEnd w:id="13"/>
    <w:bookmarkStart w:id="14" w:name="safety-mechanisms"/>
    <w:p>
      <w:pPr>
        <w:pStyle w:val="Heading3"/>
      </w:pPr>
      <w:r>
        <w:t xml:space="preserve">Safety mechanisms</w:t>
      </w:r>
    </w:p>
    <w:p>
      <w:pPr>
        <w:pStyle w:val="FirstParagraph"/>
      </w:pPr>
      <w:r>
        <w:rPr>
          <w:b/>
          <w:bCs/>
        </w:rPr>
        <w:t xml:space="preserve">1. Explicit input schemas</w:t>
      </w:r>
      <w:r>
        <w:t xml:space="preserve"> </w:t>
      </w:r>
      <w:r>
        <w:t xml:space="preserve">All tool inputs pass through Pydantic models before database access. Invalid shapes, bad types, missing fields, and out-of-range values are rejected with structured errors.</w:t>
      </w:r>
    </w:p>
    <w:p>
      <w:pPr>
        <w:pStyle w:val="BodyText"/>
      </w:pPr>
      <w:r>
        <w:rPr>
          <w:b/>
          <w:bCs/>
        </w:rPr>
        <w:t xml:space="preserve">2. No destructive operations</w:t>
      </w:r>
      <w:r>
        <w:t xml:space="preserve"> </w:t>
      </w:r>
      <w:r>
        <w:t xml:space="preserve">No delete or bulk mutation tools are exposed. The safest destructive action is the one that cannot be invoked.</w:t>
      </w:r>
    </w:p>
    <w:p>
      <w:pPr>
        <w:pStyle w:val="BodyText"/>
      </w:pPr>
      <w:r>
        <w:rPr>
          <w:b/>
          <w:bCs/>
        </w:rPr>
        <w:t xml:space="preserve">3. Status lifecycle enforcement</w:t>
      </w:r>
      <w:r>
        <w:t xml:space="preserve"> </w:t>
      </w:r>
      <w:r>
        <w:rPr>
          <w:rStyle w:val="VerbatimChar"/>
        </w:rPr>
        <w:t xml:space="preserve">update_incident</w:t>
      </w:r>
      <w:r>
        <w:t xml:space="preserve"> </w:t>
      </w:r>
      <w:r>
        <w:t xml:space="preserve">enforces a directed state machine:</w:t>
      </w:r>
    </w:p>
    <w:p>
      <w:pPr>
        <w:pStyle w:val="SourceCode"/>
      </w:pPr>
      <w:r>
        <w:rPr>
          <w:rStyle w:val="VerbatimChar"/>
        </w:rPr>
        <w:t xml:space="preserve">open → investigating → mitigated → resolved</w:t>
      </w:r>
      <w:r>
        <w:br/>
      </w:r>
      <w:r>
        <w:rPr>
          <w:rStyle w:val="VerbatimChar"/>
        </w:rPr>
        <w:t xml:space="preserve">  └──────────────────────────────→ resolved</w:t>
      </w:r>
    </w:p>
    <w:p>
      <w:pPr>
        <w:pStyle w:val="FirstParagraph"/>
      </w:pPr>
      <w:r>
        <w:t xml:space="preserve">Attempting to skip states or re-open resolved incidents raises a validation error and is returned as a tool failure response.</w:t>
      </w:r>
    </w:p>
    <w:p>
      <w:pPr>
        <w:pStyle w:val="BodyText"/>
      </w:pPr>
      <w:r>
        <w:rPr>
          <w:b/>
          <w:bCs/>
        </w:rPr>
        <w:t xml:space="preserve">4. Audit log</w:t>
      </w:r>
      <w:r>
        <w:t xml:space="preserve"> </w:t>
      </w:r>
      <w:r>
        <w:t xml:space="preserve">Every write operation records an audit entry with operation name, target table, record id, payload, and timestamp. This creates a reconstructable mutation timeline.</w:t>
      </w:r>
    </w:p>
    <w:p>
      <w:pPr>
        <w:pStyle w:val="BodyText"/>
      </w:pPr>
      <w:r>
        <w:rPr>
          <w:b/>
          <w:bCs/>
        </w:rPr>
        <w:t xml:space="preserve">5. Parameterized queries only</w:t>
      </w:r>
      <w:r>
        <w:t xml:space="preserve"> </w:t>
      </w:r>
      <w:r>
        <w:t xml:space="preserve">Database calls use parameterized SQL exclusively.</w:t>
      </w:r>
    </w:p>
    <w:p>
      <w:r>
        <w:pict>
          <v:rect style="width:0;height:1.5pt" o:hralign="center" o:hrstd="t" o:hr="t"/>
        </w:pict>
      </w:r>
    </w:p>
    <w:bookmarkEnd w:id="14"/>
    <w:bookmarkEnd w:id="15"/>
    <w:bookmarkStart w:id="19" w:name="preventing-unsafe-actions"/>
    <w:p>
      <w:pPr>
        <w:pStyle w:val="Heading2"/>
      </w:pPr>
      <w:r>
        <w:t xml:space="preserve">Preventing Unsafe Actions</w:t>
      </w:r>
    </w:p>
    <w:p>
      <w:pPr>
        <w:pStyle w:val="FirstParagraph"/>
      </w:pPr>
      <w:r>
        <w:t xml:space="preserve">The three key questions from the spec:</w:t>
      </w:r>
    </w:p>
    <w:bookmarkStart w:id="16" w:name="X058201e7034d23d18c08be49d423f8484856582"/>
    <w:p>
      <w:pPr>
        <w:pStyle w:val="Heading3"/>
      </w:pPr>
      <w:r>
        <w:t xml:space="preserve">How do you prevent unsafe or destructive actions?</w:t>
      </w:r>
    </w:p>
    <w:p>
      <w:pPr>
        <w:pStyle w:val="Compact"/>
        <w:numPr>
          <w:ilvl w:val="0"/>
          <w:numId w:val="1001"/>
        </w:numPr>
      </w:pPr>
      <w:r>
        <w:rPr>
          <w:b/>
          <w:bCs/>
        </w:rPr>
        <w:t xml:space="preserve">Don’t expose them.</w:t>
      </w:r>
      <w:r>
        <w:t xml:space="preserve"> </w:t>
      </w:r>
      <w:r>
        <w:t xml:space="preserve">No delete or bulk-update tools exist.</w:t>
      </w:r>
    </w:p>
    <w:p>
      <w:pPr>
        <w:pStyle w:val="Compact"/>
        <w:numPr>
          <w:ilvl w:val="0"/>
          <w:numId w:val="1001"/>
        </w:numPr>
      </w:pPr>
      <w:r>
        <w:rPr>
          <w:b/>
          <w:bCs/>
        </w:rPr>
        <w:t xml:space="preserve">Schema validation at the boundary.</w:t>
      </w:r>
      <w:r>
        <w:t xml:space="preserve"> </w:t>
      </w:r>
      <w:r>
        <w:t xml:space="preserve">Pydantic rejects malformed inputs before any DB call.</w:t>
      </w:r>
    </w:p>
    <w:p>
      <w:pPr>
        <w:pStyle w:val="Compact"/>
        <w:numPr>
          <w:ilvl w:val="0"/>
          <w:numId w:val="1001"/>
        </w:numPr>
      </w:pPr>
      <w:r>
        <w:rPr>
          <w:b/>
          <w:bCs/>
        </w:rPr>
        <w:t xml:space="preserve">Business rule validation in tools.</w:t>
      </w:r>
      <w:r>
        <w:t xml:space="preserve"> </w:t>
      </w:r>
      <w:r>
        <w:t xml:space="preserve">Status transitions are checked explicitly; the tool returns an error rather than silently accepting illegal transitions.</w:t>
      </w:r>
    </w:p>
    <w:p>
      <w:pPr>
        <w:pStyle w:val="Compact"/>
        <w:numPr>
          <w:ilvl w:val="0"/>
          <w:numId w:val="1001"/>
        </w:numPr>
      </w:pPr>
      <w:r>
        <w:rPr>
          <w:b/>
          <w:bCs/>
        </w:rPr>
        <w:t xml:space="preserve">Audit log.</w:t>
      </w:r>
      <w:r>
        <w:t xml:space="preserve"> </w:t>
      </w:r>
      <w:r>
        <w:t xml:space="preserve">Every write is traceable.</w:t>
      </w:r>
    </w:p>
    <w:bookmarkEnd w:id="16"/>
    <w:bookmarkStart w:id="17" w:name="Xb53944efddbf2183a7d6fa65438a3df98b09ef1"/>
    <w:p>
      <w:pPr>
        <w:pStyle w:val="Heading3"/>
      </w:pPr>
      <w:r>
        <w:t xml:space="preserve">How do you debug incorrect agent behavior?</w:t>
      </w:r>
    </w:p>
    <w:p>
      <w:pPr>
        <w:pStyle w:val="Compact"/>
        <w:numPr>
          <w:ilvl w:val="0"/>
          <w:numId w:val="1002"/>
        </w:numPr>
      </w:pPr>
      <w:r>
        <w:rPr>
          <w:b/>
          <w:bCs/>
        </w:rPr>
        <w:t xml:space="preserve">Audit log</w:t>
      </w:r>
      <w:r>
        <w:t xml:space="preserve"> </w:t>
      </w:r>
      <w:r>
        <w:t xml:space="preserve">(</w:t>
      </w:r>
      <w:r>
        <w:rPr>
          <w:rStyle w:val="VerbatimChar"/>
        </w:rPr>
        <w:t xml:space="preserve">audit_log</w:t>
      </w:r>
      <w:r>
        <w:t xml:space="preserve"> </w:t>
      </w:r>
      <w:r>
        <w:t xml:space="preserve">table) records every write with full payload and timestamp. You can replay what the agent did.</w:t>
      </w:r>
    </w:p>
    <w:p>
      <w:pPr>
        <w:pStyle w:val="Compact"/>
        <w:numPr>
          <w:ilvl w:val="0"/>
          <w:numId w:val="1002"/>
        </w:numPr>
      </w:pPr>
      <w:r>
        <w:rPr>
          <w:rStyle w:val="VerbatimChar"/>
          <w:b/>
          <w:bCs/>
        </w:rPr>
        <w:t xml:space="preserve">isError: true</w:t>
      </w:r>
      <w:r>
        <w:rPr>
          <w:b/>
          <w:bCs/>
        </w:rPr>
        <w:t xml:space="preserve"> </w:t>
      </w:r>
      <w:r>
        <w:rPr>
          <w:b/>
          <w:bCs/>
        </w:rPr>
        <w:t xml:space="preserve">responses</w:t>
      </w:r>
      <w:r>
        <w:t xml:space="preserve"> </w:t>
      </w:r>
      <w:r>
        <w:t xml:space="preserve">are returned for any tool execution failure. The client sees the error text, not a silent failure or an exception traceback.</w:t>
      </w:r>
    </w:p>
    <w:p>
      <w:pPr>
        <w:pStyle w:val="Compact"/>
        <w:numPr>
          <w:ilvl w:val="0"/>
          <w:numId w:val="1002"/>
        </w:numPr>
      </w:pPr>
      <w:r>
        <w:rPr>
          <w:b/>
          <w:bCs/>
        </w:rPr>
        <w:t xml:space="preserve">The dispatcher in the CLI client is 100% deterministic and unit-tested.</w:t>
      </w:r>
      <w:r>
        <w:t xml:space="preserve"> </w:t>
      </w:r>
      <w:r>
        <w:t xml:space="preserve">If the agent calls the wrong tool for a given instruction, it’s a regression caught by</w:t>
      </w:r>
      <w:r>
        <w:t xml:space="preserve"> </w:t>
      </w:r>
      <w:r>
        <w:rPr>
          <w:rStyle w:val="VerbatimChar"/>
        </w:rPr>
        <w:t xml:space="preserve">test_dispatcher.py</w:t>
      </w:r>
      <w:r>
        <w:t xml:space="preserve">.</w:t>
      </w:r>
    </w:p>
    <w:p>
      <w:pPr>
        <w:pStyle w:val="Compact"/>
        <w:numPr>
          <w:ilvl w:val="0"/>
          <w:numId w:val="1002"/>
        </w:numPr>
      </w:pPr>
      <w:r>
        <w:rPr>
          <w:b/>
          <w:bCs/>
        </w:rPr>
        <w:t xml:space="preserve">The MCP server logs tool calls to stderr</w:t>
      </w:r>
      <w:r>
        <w:t xml:space="preserve"> </w:t>
      </w:r>
      <w:r>
        <w:t xml:space="preserve">(via FastMCP’s built-in logging when</w:t>
      </w:r>
      <w:r>
        <w:t xml:space="preserve"> </w:t>
      </w:r>
      <w:r>
        <w:rPr>
          <w:rStyle w:val="VerbatimChar"/>
        </w:rPr>
        <w:t xml:space="preserve">--log-level debug</w:t>
      </w:r>
      <w:r>
        <w:t xml:space="preserve"> </w:t>
      </w:r>
      <w:r>
        <w:t xml:space="preserve">is set).</w:t>
      </w:r>
    </w:p>
    <w:bookmarkEnd w:id="17"/>
    <w:bookmarkStart w:id="18" w:name="what-metrics-matter-in-production"/>
    <w:p>
      <w:pPr>
        <w:pStyle w:val="Heading3"/>
      </w:pPr>
      <w:r>
        <w:t xml:space="preserve">What metrics matter in production?</w:t>
      </w:r>
    </w:p>
    <w:tbl>
      <w:tblPr>
        <w:tblStyle w:val="Table"/>
        <w:tblW w:type="pct" w:w="5000"/>
        <w:tblLayout w:type="fixed"/>
        <w:tblLook w:firstRow="1" w:lastRow="0" w:firstColumn="0" w:lastColumn="0" w:noHBand="0" w:noVBand="0" w:val="0020"/>
      </w:tblPr>
      <w:tblGrid>
        <w:gridCol w:w="4873"/>
        <w:gridCol w:w="3046"/>
      </w:tblGrid>
      <w:tr>
        <w:trPr>
          <w:tblHeader w:val="on"/>
        </w:trPr>
        <w:tc>
          <w:tcPr/>
          <w:p>
            <w:pPr>
              <w:pStyle w:val="Compact"/>
            </w:pPr>
            <w:r>
              <w:t xml:space="preserve">Metric</w:t>
            </w:r>
          </w:p>
        </w:tc>
        <w:tc>
          <w:tcPr/>
          <w:p>
            <w:pPr>
              <w:pStyle w:val="Compact"/>
            </w:pPr>
            <w:r>
              <w:t xml:space="preserve">Why</w:t>
            </w:r>
          </w:p>
        </w:tc>
      </w:tr>
      <w:tr>
        <w:tc>
          <w:tcPr/>
          <w:p>
            <w:pPr>
              <w:pStyle w:val="Compact"/>
            </w:pPr>
            <w:r>
              <w:t xml:space="preserve">Tool call latency (p50/p99)</w:t>
            </w:r>
          </w:p>
        </w:tc>
        <w:tc>
          <w:tcPr/>
          <w:p>
            <w:pPr>
              <w:pStyle w:val="Compact"/>
            </w:pPr>
            <w:r>
              <w:t xml:space="preserve">LLM agents are latency-sensitive; a slow tool degrades the full chain</w:t>
            </w:r>
          </w:p>
        </w:tc>
      </w:tr>
      <w:tr>
        <w:tc>
          <w:tcPr/>
          <w:p>
            <w:pPr>
              <w:pStyle w:val="Compact"/>
            </w:pPr>
            <w:r>
              <w:t xml:space="preserve">Tool error rate by tool name</w:t>
            </w:r>
          </w:p>
        </w:tc>
        <w:tc>
          <w:tcPr/>
          <w:p>
            <w:pPr>
              <w:pStyle w:val="Compact"/>
            </w:pPr>
            <w:r>
              <w:t xml:space="preserve">Tells you which tools have bad schemas or are being called incorrectly</w:t>
            </w:r>
          </w:p>
        </w:tc>
      </w:tr>
      <w:tr>
        <w:tc>
          <w:tcPr/>
          <w:p>
            <w:pPr>
              <w:pStyle w:val="Compact"/>
            </w:pPr>
            <w:r>
              <w:t xml:space="preserve">Status transition rejection rate</w:t>
            </w:r>
          </w:p>
        </w:tc>
        <w:tc>
          <w:tcPr/>
          <w:p>
            <w:pPr>
              <w:pStyle w:val="Compact"/>
            </w:pPr>
            <w:r>
              <w:t xml:space="preserve">High rate → the LLM is confused about the lifecycle</w:t>
            </w:r>
          </w:p>
        </w:tc>
      </w:tr>
      <w:tr>
        <w:tc>
          <w:tcPr/>
          <w:p>
            <w:pPr>
              <w:pStyle w:val="Compact"/>
            </w:pPr>
            <w:r>
              <w:rPr>
                <w:rStyle w:val="VerbatimChar"/>
              </w:rPr>
              <w:t xml:space="preserve">audit_log</w:t>
            </w:r>
            <w:r>
              <w:t xml:space="preserve"> </w:t>
            </w:r>
            <w:r>
              <w:t xml:space="preserve">write throughput</w:t>
            </w:r>
          </w:p>
        </w:tc>
        <w:tc>
          <w:tcPr/>
          <w:p>
            <w:pPr>
              <w:pStyle w:val="Compact"/>
            </w:pPr>
            <w:r>
              <w:t xml:space="preserve">Ensures audit trail stays current under load</w:t>
            </w:r>
          </w:p>
        </w:tc>
      </w:tr>
      <w:tr>
        <w:tc>
          <w:tcPr/>
          <w:p>
            <w:pPr>
              <w:pStyle w:val="Compact"/>
            </w:pPr>
            <w:r>
              <w:t xml:space="preserve">DB connection wait time</w:t>
            </w:r>
          </w:p>
        </w:tc>
        <w:tc>
          <w:tcPr/>
          <w:p>
            <w:pPr>
              <w:pStyle w:val="Compact"/>
            </w:pPr>
            <w:r>
              <w:t xml:space="preserve">SQLite doesn’t scale horizontally — this is the first bottleneck</w:t>
            </w:r>
          </w:p>
        </w:tc>
      </w:tr>
      <w:tr>
        <w:tc>
          <w:tcPr/>
          <w:p>
            <w:pPr>
              <w:pStyle w:val="Compact"/>
            </w:pPr>
            <w:r>
              <w:t xml:space="preserve">Unrecognized instruction rate (client)</w:t>
            </w:r>
          </w:p>
        </w:tc>
        <w:tc>
          <w:tcPr/>
          <w:p>
            <w:pPr>
              <w:pStyle w:val="Compact"/>
            </w:pPr>
            <w:r>
              <w:t xml:space="preserve">How often the dispatcher fails → signals need for more patterns</w:t>
            </w:r>
          </w:p>
        </w:tc>
      </w:tr>
    </w:tbl>
    <w:p>
      <w:r>
        <w:pict>
          <v:rect style="width:0;height:1.5pt" o:hralign="center" o:hrstd="t" o:hr="t"/>
        </w:pict>
      </w:r>
    </w:p>
    <w:bookmarkEnd w:id="18"/>
    <w:bookmarkEnd w:id="19"/>
    <w:bookmarkStart w:id="24" w:name="design-tradeoffs"/>
    <w:p>
      <w:pPr>
        <w:pStyle w:val="Heading2"/>
      </w:pPr>
      <w:r>
        <w:t xml:space="preserve">Design Tradeoffs</w:t>
      </w:r>
    </w:p>
    <w:bookmarkStart w:id="20" w:name="sqlite-vs-postgresql"/>
    <w:p>
      <w:pPr>
        <w:pStyle w:val="Heading3"/>
      </w:pPr>
      <w:r>
        <w:t xml:space="preserve">SQLite vs PostgreSQL</w:t>
      </w:r>
    </w:p>
    <w:p>
      <w:pPr>
        <w:pStyle w:val="FirstParagraph"/>
      </w:pPr>
      <w:r>
        <w:t xml:space="preserve">SQLite was chosen for zero-infrastructure convenience. For a real production system, PostgreSQL would be appropriate. The</w:t>
      </w:r>
      <w:r>
        <w:t xml:space="preserve"> </w:t>
      </w:r>
      <w:r>
        <w:rPr>
          <w:rStyle w:val="VerbatimChar"/>
        </w:rPr>
        <w:t xml:space="preserve">aiosqlite</w:t>
      </w:r>
      <w:r>
        <w:t xml:space="preserve"> </w:t>
      </w:r>
      <w:r>
        <w:t xml:space="preserve">async interface abstracts the DB layer well enough that swapping to</w:t>
      </w:r>
      <w:r>
        <w:t xml:space="preserve"> </w:t>
      </w:r>
      <w:r>
        <w:rPr>
          <w:rStyle w:val="VerbatimChar"/>
        </w:rPr>
        <w:t xml:space="preserve">asyncpg</w:t>
      </w:r>
      <w:r>
        <w:t xml:space="preserve"> </w:t>
      </w:r>
      <w:r>
        <w:t xml:space="preserve">+ PostgreSQL would require changing only</w:t>
      </w:r>
      <w:r>
        <w:t xml:space="preserve"> </w:t>
      </w:r>
      <w:r>
        <w:rPr>
          <w:rStyle w:val="VerbatimChar"/>
        </w:rPr>
        <w:t xml:space="preserve">server/db.py</w:t>
      </w:r>
      <w:r>
        <w:t xml:space="preserve"> </w:t>
      </w:r>
      <w:r>
        <w:t xml:space="preserve">and</w:t>
      </w:r>
      <w:r>
        <w:t xml:space="preserve"> </w:t>
      </w:r>
      <w:r>
        <w:rPr>
          <w:rStyle w:val="VerbatimChar"/>
        </w:rPr>
        <w:t xml:space="preserve">server/tools.py</w:t>
      </w:r>
      <w:r>
        <w:t xml:space="preserve"> </w:t>
      </w:r>
      <w:r>
        <w:t xml:space="preserve">(connection factory and parameterized query syntax).</w:t>
      </w:r>
    </w:p>
    <w:bookmarkEnd w:id="20"/>
    <w:bookmarkStart w:id="21" w:name="rule-based-dispatcher-vs-llm-planner"/>
    <w:p>
      <w:pPr>
        <w:pStyle w:val="Heading3"/>
      </w:pPr>
      <w:r>
        <w:t xml:space="preserve">Rule-based dispatcher vs LLM planner</w:t>
      </w:r>
    </w:p>
    <w:p>
      <w:pPr>
        <w:pStyle w:val="FirstParagraph"/>
      </w:pPr>
      <w:r>
        <w:t xml:space="preserve">The CLI client uses a regex/keyword dispatcher instead of an LLM. This means:</w:t>
      </w:r>
      <w:r>
        <w:t xml:space="preserve"> </w:t>
      </w:r>
      <w:r>
        <w:t xml:space="preserve">-</w:t>
      </w:r>
      <w:r>
        <w:t xml:space="preserve"> </w:t>
      </w:r>
      <w:r>
        <w:rPr>
          <w:b/>
          <w:bCs/>
        </w:rPr>
        <w:t xml:space="preserve">Pro</w:t>
      </w:r>
      <w:r>
        <w:t xml:space="preserve">: Fully deterministic, testable without API keys, no cost per test run</w:t>
      </w:r>
      <w:r>
        <w:t xml:space="preserve"> </w:t>
      </w:r>
      <w:r>
        <w:t xml:space="preserve">-</w:t>
      </w:r>
      <w:r>
        <w:t xml:space="preserve"> </w:t>
      </w:r>
      <w:r>
        <w:rPr>
          <w:b/>
          <w:bCs/>
        </w:rPr>
        <w:t xml:space="preserve">Pro</w:t>
      </w:r>
      <w:r>
        <w:t xml:space="preserve">: Explicit behavior — no hallucinated tool calls</w:t>
      </w:r>
      <w:r>
        <w:t xml:space="preserve"> </w:t>
      </w:r>
      <w:r>
        <w:t xml:space="preserve">-</w:t>
      </w:r>
      <w:r>
        <w:t xml:space="preserve"> </w:t>
      </w:r>
      <w:r>
        <w:rPr>
          <w:b/>
          <w:bCs/>
        </w:rPr>
        <w:t xml:space="preserve">Con</w:t>
      </w:r>
      <w:r>
        <w:t xml:space="preserve">: Limited vocabulary; novel phrasings will fail to match</w:t>
      </w:r>
    </w:p>
    <w:p>
      <w:pPr>
        <w:pStyle w:val="BodyText"/>
      </w:pPr>
      <w:r>
        <w:t xml:space="preserve">A production client would swap the dispatcher for OpenAI/Anthropic function calling. The interface stays the same — it still produces</w:t>
      </w:r>
      <w:r>
        <w:t xml:space="preserve"> </w:t>
      </w:r>
      <w:r>
        <w:rPr>
          <w:rStyle w:val="VerbatimChar"/>
        </w:rPr>
        <w:t xml:space="preserve">(tool_name, args)</w:t>
      </w:r>
      <w:r>
        <w:t xml:space="preserve"> </w:t>
      </w:r>
      <w:r>
        <w:t xml:space="preserve">pairs that are passed to</w:t>
      </w:r>
      <w:r>
        <w:t xml:space="preserve"> </w:t>
      </w:r>
      <w:r>
        <w:rPr>
          <w:rStyle w:val="VerbatimChar"/>
        </w:rPr>
        <w:t xml:space="preserve">session.call_tool()</w:t>
      </w:r>
      <w:r>
        <w:t xml:space="preserve">. The</w:t>
      </w:r>
      <w:r>
        <w:t xml:space="preserve"> </w:t>
      </w:r>
      <w:r>
        <w:rPr>
          <w:rStyle w:val="VerbatimChar"/>
        </w:rPr>
        <w:t xml:space="preserve">parse_instruction</w:t>
      </w:r>
      <w:r>
        <w:t xml:space="preserve"> </w:t>
      </w:r>
      <w:r>
        <w:t xml:space="preserve">function is a seam designed for this swap.</w:t>
      </w:r>
    </w:p>
    <w:bookmarkEnd w:id="21"/>
    <w:bookmarkStart w:id="22" w:name="no-authentication-layer"/>
    <w:p>
      <w:pPr>
        <w:pStyle w:val="Heading3"/>
      </w:pPr>
      <w:r>
        <w:t xml:space="preserve">No authentication layer</w:t>
      </w:r>
    </w:p>
    <w:p>
      <w:pPr>
        <w:pStyle w:val="FirstParagraph"/>
      </w:pPr>
      <w:r>
        <w:t xml:space="preserve">The server runs over stdio — the</w:t>
      </w:r>
      <w:r>
        <w:t xml:space="preserve"> </w:t>
      </w:r>
      <w:r>
        <w:t xml:space="preserve">“authentication”</w:t>
      </w:r>
      <w:r>
        <w:t xml:space="preserve"> </w:t>
      </w:r>
      <w:r>
        <w:t xml:space="preserve">is OS process isolation. The calling process must have filesystem access to launch the server. For an HTTP transport, you’d add API key validation or mTLS.</w:t>
      </w:r>
    </w:p>
    <w:bookmarkEnd w:id="22"/>
    <w:bookmarkStart w:id="23" w:name="stateless-server-design"/>
    <w:p>
      <w:pPr>
        <w:pStyle w:val="Heading3"/>
      </w:pPr>
      <w:r>
        <w:t xml:space="preserve">Stateless server design</w:t>
      </w:r>
    </w:p>
    <w:p>
      <w:pPr>
        <w:pStyle w:val="FirstParagraph"/>
      </w:pPr>
      <w:r>
        <w:t xml:space="preserve">The MCP server holds no in-memory state between tool calls. All state lives in SQLite. This means the server can be restarted at any time without data loss, and multiple clients could connect by pointing at the same database file (with the caveat that SQLite’s concurrency is limited by its write-ahead log).</w:t>
      </w:r>
    </w:p>
    <w:p>
      <w:r>
        <w:pict>
          <v:rect style="width:0;height:1.5pt" o:hralign="center" o:hrstd="t" o:hr="t"/>
        </w:pict>
      </w:r>
    </w:p>
    <w:bookmarkEnd w:id="23"/>
    <w:bookmarkEnd w:id="24"/>
    <w:bookmarkStart w:id="25" w:name="failure-modes"/>
    <w:p>
      <w:pPr>
        <w:pStyle w:val="Heading2"/>
      </w:pPr>
      <w:r>
        <w:t xml:space="preserve">Failure Modes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Behavior</w:t>
            </w:r>
          </w:p>
        </w:tc>
      </w:tr>
      <w:tr>
        <w:tc>
          <w:tcPr/>
          <w:p>
            <w:pPr>
              <w:pStyle w:val="Compact"/>
            </w:pPr>
            <w:r>
              <w:t xml:space="preserve">DB file missing or corrupted</w:t>
            </w:r>
          </w:p>
        </w:tc>
        <w:tc>
          <w:tcPr/>
          <w:p>
            <w:pPr>
              <w:pStyle w:val="Compact"/>
            </w:pPr>
            <w:r>
              <w:rPr>
                <w:rStyle w:val="VerbatimChar"/>
              </w:rPr>
              <w:t xml:space="preserve">init_db()</w:t>
            </w:r>
            <w:r>
              <w:t xml:space="preserve"> </w:t>
            </w:r>
            <w:r>
              <w:t xml:space="preserve">re-creates the schema; existing data would be lost if the file is corrupt</w:t>
            </w:r>
          </w:p>
        </w:tc>
      </w:tr>
      <w:tr>
        <w:tc>
          <w:tcPr/>
          <w:p>
            <w:pPr>
              <w:pStyle w:val="Compact"/>
            </w:pPr>
            <w:r>
              <w:t xml:space="preserve">Tool called with wrong argument types</w:t>
            </w:r>
          </w:p>
        </w:tc>
        <w:tc>
          <w:tcPr/>
          <w:p>
            <w:pPr>
              <w:pStyle w:val="Compact"/>
            </w:pPr>
            <w:r>
              <w:t xml:space="preserve">Pydantic raises</w:t>
            </w:r>
            <w:r>
              <w:t xml:space="preserve"> </w:t>
            </w:r>
            <w:r>
              <w:rPr>
                <w:rStyle w:val="VerbatimChar"/>
              </w:rPr>
              <w:t xml:space="preserve">ValidationError</w:t>
            </w:r>
            <w:r>
              <w:t xml:space="preserve"> </w:t>
            </w:r>
            <w:r>
              <w:t xml:space="preserve">→ FastMCP returns</w:t>
            </w:r>
            <w:r>
              <w:t xml:space="preserve"> </w:t>
            </w:r>
            <w:r>
              <w:rPr>
                <w:rStyle w:val="VerbatimChar"/>
              </w:rPr>
              <w:t xml:space="preserve">isError: true</w:t>
            </w:r>
          </w:p>
        </w:tc>
      </w:tr>
      <w:tr>
        <w:tc>
          <w:tcPr/>
          <w:p>
            <w:pPr>
              <w:pStyle w:val="Compact"/>
            </w:pPr>
            <w:r>
              <w:t xml:space="preserve">Status transition violation</w:t>
            </w:r>
          </w:p>
        </w:tc>
        <w:tc>
          <w:tcPr/>
          <w:p>
            <w:pPr>
              <w:pStyle w:val="Compact"/>
            </w:pPr>
            <w:r>
              <w:rPr>
                <w:rStyle w:val="VerbatimChar"/>
              </w:rPr>
              <w:t xml:space="preserve">ValueError</w:t>
            </w:r>
            <w:r>
              <w:t xml:space="preserve"> </w:t>
            </w:r>
            <w:r>
              <w:t xml:space="preserve">in tool →</w:t>
            </w:r>
            <w:r>
              <w:t xml:space="preserve"> </w:t>
            </w:r>
            <w:r>
              <w:rPr>
                <w:rStyle w:val="VerbatimChar"/>
              </w:rPr>
              <w:t xml:space="preserve">isError: true</w:t>
            </w:r>
            <w:r>
              <w:t xml:space="preserve"> </w:t>
            </w:r>
            <w:r>
              <w:t xml:space="preserve">with descriptive message</w:t>
            </w:r>
          </w:p>
        </w:tc>
      </w:tr>
      <w:tr>
        <w:tc>
          <w:tcPr/>
          <w:p>
            <w:pPr>
              <w:pStyle w:val="Compact"/>
            </w:pPr>
            <w:r>
              <w:t xml:space="preserve">Duplicate service name on create</w:t>
            </w:r>
          </w:p>
        </w:tc>
        <w:tc>
          <w:tcPr/>
          <w:p>
            <w:pPr>
              <w:pStyle w:val="Compact"/>
            </w:pPr>
            <w:r>
              <w:rPr>
                <w:rStyle w:val="VerbatimChar"/>
              </w:rPr>
              <w:t xml:space="preserve">IntegrityError</w:t>
            </w:r>
            <w:r>
              <w:t xml:space="preserve"> </w:t>
            </w:r>
            <w:r>
              <w:t xml:space="preserve">caught →</w:t>
            </w:r>
            <w:r>
              <w:t xml:space="preserve"> </w:t>
            </w:r>
            <w:r>
              <w:rPr>
                <w:rStyle w:val="VerbatimChar"/>
              </w:rPr>
              <w:t xml:space="preserve">isError: true</w:t>
            </w:r>
          </w:p>
        </w:tc>
      </w:tr>
      <w:tr>
        <w:tc>
          <w:tcPr/>
          <w:p>
            <w:pPr>
              <w:pStyle w:val="Compact"/>
            </w:pPr>
            <w:r>
              <w:t xml:space="preserve">Client instruction not recognized</w:t>
            </w:r>
          </w:p>
        </w:tc>
        <w:tc>
          <w:tcPr/>
          <w:p>
            <w:pPr>
              <w:pStyle w:val="Compact"/>
            </w:pPr>
            <w:r>
              <w:rPr>
                <w:rStyle w:val="VerbatimChar"/>
              </w:rPr>
              <w:t xml:space="preserve">parse_instruction</w:t>
            </w:r>
            <w:r>
              <w:t xml:space="preserve"> </w:t>
            </w:r>
            <w:r>
              <w:t xml:space="preserve">returns</w:t>
            </w:r>
            <w:r>
              <w:t xml:space="preserve"> </w:t>
            </w:r>
            <w:r>
              <w:rPr>
                <w:rStyle w:val="VerbatimChar"/>
              </w:rPr>
              <w:t xml:space="preserve">[]</w:t>
            </w:r>
            <w:r>
              <w:t xml:space="preserve"> </w:t>
            </w:r>
            <w:r>
              <w:t xml:space="preserve">→ CLI prints a helpful error, exits 1</w:t>
            </w:r>
          </w:p>
        </w:tc>
      </w:tr>
      <w:tr>
        <w:tc>
          <w:tcPr/>
          <w:p>
            <w:pPr>
              <w:pStyle w:val="Compact"/>
            </w:pPr>
            <w:r>
              <w:t xml:space="preserve">Server process crash</w:t>
            </w:r>
          </w:p>
        </w:tc>
        <w:tc>
          <w:tcPr/>
          <w:p>
            <w:pPr>
              <w:pStyle w:val="Compact"/>
            </w:pPr>
            <w:r>
              <w:t xml:space="preserve">Stdio connection closes; client receives EOF;</w:t>
            </w:r>
            <w:r>
              <w:t xml:space="preserve"> </w:t>
            </w:r>
            <w:r>
              <w:rPr>
                <w:rStyle w:val="VerbatimChar"/>
              </w:rPr>
              <w:t xml:space="preserve">ClientSession</w:t>
            </w:r>
            <w:r>
              <w:t xml:space="preserve"> </w:t>
            </w:r>
            <w:r>
              <w:t xml:space="preserve">raises</w:t>
            </w:r>
          </w:p>
        </w:tc>
      </w:tr>
      <w:tr>
        <w:tc>
          <w:tcPr/>
          <w:p>
            <w:pPr>
              <w:pStyle w:val="Compact"/>
            </w:pPr>
            <w:r>
              <w:t xml:space="preserve">Concurrent writes to SQLite</w:t>
            </w:r>
          </w:p>
        </w:tc>
        <w:tc>
          <w:tcPr/>
          <w:p>
            <w:pPr>
              <w:pStyle w:val="Compact"/>
            </w:pPr>
            <w:r>
              <w:t xml:space="preserve">WAL mode handles concurrent reads; writes serialize — acceptable for a local tool</w:t>
            </w:r>
          </w:p>
        </w:tc>
      </w:tr>
    </w:tbl>
    <w:p>
      <w:r>
        <w:pict>
          <v:rect style="width:0;height:1.5pt" o:hralign="center" o:hrstd="t" o:hr="t"/>
        </w:pict>
      </w:r>
    </w:p>
    <w:bookmarkEnd w:id="25"/>
    <w:bookmarkStart w:id="26" w:name="testing-strategy"/>
    <w:p>
      <w:pPr>
        <w:pStyle w:val="Heading2"/>
      </w:pPr>
      <w:r>
        <w:t xml:space="preserve">Testing Strategy</w:t>
      </w:r>
    </w:p>
    <w:p>
      <w:pPr>
        <w:pStyle w:val="FirstParagraph"/>
      </w:pPr>
      <w:r>
        <w:t xml:space="preserve">Three test files, each at a different layer:</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File</w:t>
            </w:r>
          </w:p>
        </w:tc>
        <w:tc>
          <w:tcPr/>
          <w:p>
            <w:pPr>
              <w:pStyle w:val="Compact"/>
            </w:pPr>
            <w:r>
              <w:t xml:space="preserve">Layer</w:t>
            </w:r>
          </w:p>
        </w:tc>
        <w:tc>
          <w:tcPr/>
          <w:p>
            <w:pPr>
              <w:pStyle w:val="Compact"/>
            </w:pPr>
            <w:r>
              <w:t xml:space="preserve">Dependencies</w:t>
            </w:r>
          </w:p>
        </w:tc>
      </w:tr>
      <w:tr>
        <w:tc>
          <w:tcPr/>
          <w:p>
            <w:pPr>
              <w:pStyle w:val="Compact"/>
            </w:pPr>
            <w:r>
              <w:rPr>
                <w:rStyle w:val="VerbatimChar"/>
              </w:rPr>
              <w:t xml:space="preserve">test_models.py</w:t>
            </w:r>
          </w:p>
        </w:tc>
        <w:tc>
          <w:tcPr/>
          <w:p>
            <w:pPr>
              <w:pStyle w:val="Compact"/>
            </w:pPr>
            <w:r>
              <w:t xml:space="preserve">Schema validation</w:t>
            </w:r>
          </w:p>
        </w:tc>
        <w:tc>
          <w:tcPr/>
          <w:p>
            <w:pPr>
              <w:pStyle w:val="Compact"/>
            </w:pPr>
            <w:r>
              <w:t xml:space="preserve">Pydantic only — no DB, no network</w:t>
            </w:r>
          </w:p>
        </w:tc>
      </w:tr>
      <w:tr>
        <w:tc>
          <w:tcPr/>
          <w:p>
            <w:pPr>
              <w:pStyle w:val="Compact"/>
            </w:pPr>
            <w:r>
              <w:rPr>
                <w:rStyle w:val="VerbatimChar"/>
              </w:rPr>
              <w:t xml:space="preserve">test_dispatcher.py</w:t>
            </w:r>
          </w:p>
        </w:tc>
        <w:tc>
          <w:tcPr/>
          <w:p>
            <w:pPr>
              <w:pStyle w:val="Compact"/>
            </w:pPr>
            <w:r>
              <w:t xml:space="preserve">CLI dispatcher</w:t>
            </w:r>
          </w:p>
        </w:tc>
        <w:tc>
          <w:tcPr/>
          <w:p>
            <w:pPr>
              <w:pStyle w:val="Compact"/>
            </w:pPr>
            <w:r>
              <w:t xml:space="preserve">Pure Python regex — no DB, no MCP, no network</w:t>
            </w:r>
          </w:p>
        </w:tc>
      </w:tr>
      <w:tr>
        <w:tc>
          <w:tcPr/>
          <w:p>
            <w:pPr>
              <w:pStyle w:val="Compact"/>
            </w:pPr>
            <w:r>
              <w:rPr>
                <w:rStyle w:val="VerbatimChar"/>
              </w:rPr>
              <w:t xml:space="preserve">test_tools.py</w:t>
            </w:r>
          </w:p>
        </w:tc>
        <w:tc>
          <w:tcPr/>
          <w:p>
            <w:pPr>
              <w:pStyle w:val="Compact"/>
            </w:pPr>
            <w:r>
              <w:t xml:space="preserve">Tool logic + DB</w:t>
            </w:r>
          </w:p>
        </w:tc>
        <w:tc>
          <w:tcPr/>
          <w:p>
            <w:pPr>
              <w:pStyle w:val="Compact"/>
            </w:pPr>
            <w:r>
              <w:t xml:space="preserve">aiosqlite with a temp file DB — no MCP layer, no LLM</w:t>
            </w:r>
          </w:p>
        </w:tc>
      </w:tr>
    </w:tbl>
    <w:p>
      <w:pPr>
        <w:pStyle w:val="BodyText"/>
      </w:pPr>
      <w:r>
        <w:t xml:space="preserve">No test requires a running MCP server or an LLM API key. This makes the suite fast (0.6s for 72 tests), deterministic, and CI-friendly.</w:t>
      </w:r>
    </w:p>
    <w:p>
      <w:pPr>
        <w:pStyle w:val="BodyText"/>
      </w:pPr>
      <w:r>
        <w:t xml:space="preserve">The MCP protocol layer itself (JSON-RPC serialization,</w:t>
      </w:r>
      <w:r>
        <w:t xml:space="preserve"> </w:t>
      </w:r>
      <w:r>
        <w:rPr>
          <w:rStyle w:val="VerbatimChar"/>
        </w:rPr>
        <w:t xml:space="preserve">tools/list</w:t>
      </w:r>
      <w:r>
        <w:t xml:space="preserve">,</w:t>
      </w:r>
      <w:r>
        <w:t xml:space="preserve"> </w:t>
      </w:r>
      <w:r>
        <w:rPr>
          <w:rStyle w:val="VerbatimChar"/>
        </w:rPr>
        <w:t xml:space="preserve">tools/call</w:t>
      </w:r>
      <w:r>
        <w:t xml:space="preserve"> </w:t>
      </w:r>
      <w:r>
        <w:t xml:space="preserve">dispatch) is tested by FastMCP’s own test suite — I rely on that rather than duplicating it.</w:t>
      </w:r>
    </w:p>
    <w:p>
      <w:r>
        <w:pict>
          <v:rect style="width:0;height:1.5pt" o:hralign="center" o:hrstd="t" o:hr="t"/>
        </w:pict>
      </w:r>
    </w:p>
    <w:bookmarkEnd w:id="26"/>
    <w:bookmarkStart w:id="27" w:name="what-would-i-add-with-more-time"/>
    <w:p>
      <w:pPr>
        <w:pStyle w:val="Heading2"/>
      </w:pPr>
      <w:r>
        <w:t xml:space="preserve">What Would I Add With More Time</w:t>
      </w:r>
    </w:p>
    <w:p>
      <w:pPr>
        <w:pStyle w:val="Compact"/>
        <w:numPr>
          <w:ilvl w:val="0"/>
          <w:numId w:val="1003"/>
        </w:numPr>
      </w:pPr>
      <w:r>
        <w:rPr>
          <w:rStyle w:val="VerbatimChar"/>
          <w:b/>
          <w:bCs/>
        </w:rPr>
        <w:t xml:space="preserve">search_incidents</w:t>
      </w:r>
      <w:r>
        <w:rPr>
          <w:b/>
          <w:bCs/>
        </w:rPr>
        <w:t xml:space="preserve"> </w:t>
      </w:r>
      <w:r>
        <w:rPr>
          <w:b/>
          <w:bCs/>
        </w:rPr>
        <w:t xml:space="preserve">tool</w:t>
      </w:r>
      <w:r>
        <w:t xml:space="preserve"> </w:t>
      </w:r>
      <w:r>
        <w:t xml:space="preserve">with full-text search on title/description</w:t>
      </w:r>
    </w:p>
    <w:p>
      <w:pPr>
        <w:pStyle w:val="Compact"/>
        <w:numPr>
          <w:ilvl w:val="0"/>
          <w:numId w:val="1003"/>
        </w:numPr>
      </w:pPr>
      <w:r>
        <w:rPr>
          <w:rStyle w:val="VerbatimChar"/>
          <w:b/>
          <w:bCs/>
        </w:rPr>
        <w:t xml:space="preserve">get_audit_log</w:t>
      </w:r>
      <w:r>
        <w:rPr>
          <w:b/>
          <w:bCs/>
        </w:rPr>
        <w:t xml:space="preserve"> </w:t>
      </w:r>
      <w:r>
        <w:rPr>
          <w:b/>
          <w:bCs/>
        </w:rPr>
        <w:t xml:space="preserve">tool</w:t>
      </w:r>
      <w:r>
        <w:t xml:space="preserve"> </w:t>
      </w:r>
      <w:r>
        <w:t xml:space="preserve">so the LLM can explain what happened to a record</w:t>
      </w:r>
    </w:p>
    <w:p>
      <w:pPr>
        <w:pStyle w:val="Compact"/>
        <w:numPr>
          <w:ilvl w:val="0"/>
          <w:numId w:val="1003"/>
        </w:numPr>
      </w:pPr>
      <w:r>
        <w:rPr>
          <w:rStyle w:val="VerbatimChar"/>
          <w:b/>
          <w:bCs/>
        </w:rPr>
        <w:t xml:space="preserve">add_incident_note</w:t>
      </w:r>
      <w:r>
        <w:rPr>
          <w:b/>
          <w:bCs/>
        </w:rPr>
        <w:t xml:space="preserve"> </w:t>
      </w:r>
      <w:r>
        <w:rPr>
          <w:b/>
          <w:bCs/>
        </w:rPr>
        <w:t xml:space="preserve">tool</w:t>
      </w:r>
      <w:r>
        <w:t xml:space="preserve"> </w:t>
      </w:r>
      <w:r>
        <w:t xml:space="preserve">for appending timeline entries without overwriting description</w:t>
      </w:r>
    </w:p>
    <w:p>
      <w:pPr>
        <w:pStyle w:val="Compact"/>
        <w:numPr>
          <w:ilvl w:val="0"/>
          <w:numId w:val="1003"/>
        </w:numPr>
      </w:pPr>
      <w:r>
        <w:rPr>
          <w:b/>
          <w:bCs/>
        </w:rPr>
        <w:t xml:space="preserve">HTTP SSE transport</w:t>
      </w:r>
      <w:r>
        <w:t xml:space="preserve"> </w:t>
      </w:r>
      <w:r>
        <w:t xml:space="preserve">option for multi-user scenarios</w:t>
      </w:r>
    </w:p>
    <w:p>
      <w:pPr>
        <w:pStyle w:val="Compact"/>
        <w:numPr>
          <w:ilvl w:val="0"/>
          <w:numId w:val="1003"/>
        </w:numPr>
      </w:pPr>
      <w:r>
        <w:rPr>
          <w:b/>
          <w:bCs/>
        </w:rPr>
        <w:t xml:space="preserve">LLM-based dispatcher</w:t>
      </w:r>
      <w:r>
        <w:t xml:space="preserve"> </w:t>
      </w:r>
      <w:r>
        <w:t xml:space="preserve">with fallback to rule-based for offline use</w:t>
      </w:r>
    </w:p>
    <w:p>
      <w:pPr>
        <w:pStyle w:val="Compact"/>
        <w:numPr>
          <w:ilvl w:val="0"/>
          <w:numId w:val="1003"/>
        </w:numPr>
      </w:pPr>
      <w:r>
        <w:rPr>
          <w:b/>
          <w:bCs/>
        </w:rPr>
        <w:t xml:space="preserve">OpenTelemetry spans</w:t>
      </w:r>
      <w:r>
        <w:t xml:space="preserve"> </w:t>
      </w:r>
      <w:r>
        <w:t xml:space="preserve">around each tool call for production observability</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2026-04-02T21:16:39Z</dcterms:created>
  <dcterms:modified xsi:type="dcterms:W3CDTF">2026-04-02T21:16:39Z</dcterms:modified>
</cp:coreProperties>
</file>

<file path=docProps/custom.xml><?xml version="1.0" encoding="utf-8"?>
<Properties xmlns="http://schemas.openxmlformats.org/officeDocument/2006/custom-properties" xmlns:vt="http://schemas.openxmlformats.org/officeDocument/2006/docPropsVTypes"/>
</file>