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906"/>
      </w:tblGrid>
      <w:tr>
        <w:trPr>
          <w:trHeight w:val="9600" w:hRule="exact"/>
        </w:trPr>
        <w:tc>
          <w:tcPr>
            <w:tcW w:type="dxa" w:w="11906"/>
            <w:tcBorders>
              <w:top w:val="none" w:color="FFFFFF" w:sz="0"/>
              <w:left w:val="none" w:color="FFFFFF" w:sz="0"/>
              <w:bottom w:val="none" w:color="FFFFFF" w:sz="0"/>
              <w:right w:val="none" w:color="FFFFFF" w:sz="0"/>
            </w:tcBorders>
            <w:shd w:fill="1E293B" w:color="auto" w:val="clear"/>
            <w:tcMar>
              <w:top w:type="dxa" w:w="0"/>
              <w:left w:type="dxa" w:w="1440"/>
              <w:bottom w:type="dxa" w:w="0"/>
              <w:right w:type="dxa" w:w="1440"/>
            </w:tcMar>
            <w:vAlign w:val="center"/>
          </w:tcPr>
          <w:p>
            <w:pPr>
              <w:spacing w:after="240"/>
            </w:pPr>
            <w:r>
              <w:rPr>
                <w:color w:val="94A3B8"/>
                <w:spacing w:val="60"/>
                <w:sz w:val="22"/>
                <w:szCs w:val="22"/>
              </w:rPr>
              <w:t xml:space="preserve">PROJECT DOCUMENTATION</w:t>
            </w:r>
          </w:p>
          <w:p>
            <w:pPr>
              <w:spacing w:after="200"/>
            </w:pPr>
            <w:r>
              <w:rPr>
                <w:rFonts w:ascii="Calibri" w:cs="Calibri" w:eastAsia="Calibri" w:hAnsi="Calibri"/>
                <w:b/>
                <w:bCs/>
                <w:color w:val="FFFFFF"/>
                <w:sz w:val="132"/>
                <w:szCs w:val="132"/>
              </w:rPr>
              <w:t xml:space="preserve">FORESIGHT</w:t>
            </w:r>
          </w:p>
          <w:p>
            <w:pPr>
              <w:pBdr>
                <w:top w:val="single" w:color="06B6D4" w:sz="18" w:space="14"/>
              </w:pBdr>
              <w:spacing w:after="360"/>
            </w:pPr>
          </w:p>
          <w:p>
            <w:pPr>
              <w:spacing w:after="120" w:line="300"/>
            </w:pPr>
            <w:r>
              <w:rPr>
                <w:color w:val="E2E8F0"/>
                <w:sz w:val="40"/>
                <w:szCs w:val="40"/>
              </w:rPr>
              <w:t xml:space="preserve">AI-Powered Demand &amp; Inventory Intelligence Platform</w:t>
            </w:r>
          </w:p>
          <w:p>
            <w:pPr>
              <w:spacing w:after="0"/>
            </w:pPr>
            <w:r>
              <w:rPr>
                <w:color w:val="94A3B8"/>
                <w:sz w:val="26"/>
                <w:szCs w:val="26"/>
              </w:rPr>
              <w:t xml:space="preserve">Project Documentation &amp; Presentation</w:t>
            </w:r>
          </w:p>
        </w:tc>
      </w:tr>
      <w:tr>
        <w:trPr>
          <w:trHeight w:val="160" w:hRule="exact"/>
        </w:trPr>
        <w:tc>
          <w:tcPr>
            <w:tcW w:type="dxa" w:w="11906"/>
            <w:tcBorders>
              <w:top w:val="none" w:color="FFFFFF" w:sz="0"/>
              <w:left w:val="none" w:color="FFFFFF" w:sz="0"/>
              <w:bottom w:val="none" w:color="FFFFFF" w:sz="0"/>
              <w:right w:val="none" w:color="FFFFFF" w:sz="0"/>
            </w:tcBorders>
            <w:shd w:fill="2563EB" w:color="auto" w:val="clear"/>
          </w:tcPr>
          <w:p/>
        </w:tc>
      </w:tr>
      <w:tr>
        <w:trPr>
          <w:trHeight w:val="80" w:hRule="exact"/>
        </w:trPr>
        <w:tc>
          <w:tcPr>
            <w:tcW w:type="dxa" w:w="11906"/>
            <w:tcBorders>
              <w:top w:val="none" w:color="FFFFFF" w:sz="0"/>
              <w:left w:val="none" w:color="FFFFFF" w:sz="0"/>
              <w:bottom w:val="none" w:color="FFFFFF" w:sz="0"/>
              <w:right w:val="none" w:color="FFFFFF" w:sz="0"/>
            </w:tcBorders>
            <w:shd w:fill="7C3AED" w:color="auto" w:val="clear"/>
          </w:tcPr>
          <w:p/>
        </w:tc>
      </w:tr>
    </w:tbl>
    <w:p>
      <w:pPr>
        <w:spacing w:after="0" w:before="700"/>
      </w:pPr>
    </w:p>
    <w:tbl>
      <w:tblPr>
        <w:tblW w:type="dxa" w:w="9024"/>
        <w:tblInd w:type="dxa" w:w="14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8"/>
        <w:gridCol w:w="3008"/>
        <w:gridCol w:w="3008"/>
      </w:tblGrid>
      <w:tr>
        <w:tc>
          <w:tcPr>
            <w:tcW w:type="dxa" w:w="3008"/>
            <w:tcBorders>
              <w:top w:val="single" w:color="2563EB" w:sz="24"/>
              <w:left w:val="none" w:color="FFFFFF" w:sz="0"/>
              <w:bottom w:val="none" w:color="FFFFFF" w:sz="0"/>
              <w:right w:val="none" w:color="FFFFFF" w:sz="0"/>
            </w:tcBorders>
            <w:tcMar>
              <w:top w:type="dxa" w:w="140"/>
              <w:left w:type="dxa" w:w="0"/>
              <w:bottom w:type="dxa" w:w="60"/>
              <w:right w:type="dxa" w:w="200"/>
            </w:tcMar>
          </w:tcPr>
          <w:p>
            <w:pPr>
              <w:spacing w:after="40"/>
            </w:pPr>
            <w:r>
              <w:rPr>
                <w:b/>
                <w:bCs/>
                <w:color w:val="1E293B"/>
                <w:sz w:val="26"/>
                <w:szCs w:val="26"/>
              </w:rPr>
              <w:t xml:space="preserve">Demand Forecasting</w:t>
            </w:r>
          </w:p>
          <w:p>
            <w:pPr>
              <w:spacing w:after="0"/>
            </w:pPr>
            <w:r>
              <w:rPr>
                <w:color w:val="64748B"/>
                <w:sz w:val="20"/>
                <w:szCs w:val="20"/>
              </w:rPr>
              <w:t xml:space="preserve">XGBoost • 7-Day Forecast</w:t>
            </w:r>
          </w:p>
        </w:tc>
        <w:tc>
          <w:tcPr>
            <w:tcW w:type="dxa" w:w="3008"/>
            <w:tcBorders>
              <w:top w:val="single" w:color="7C3AED" w:sz="24"/>
              <w:left w:val="none" w:color="FFFFFF" w:sz="0"/>
              <w:bottom w:val="none" w:color="FFFFFF" w:sz="0"/>
              <w:right w:val="none" w:color="FFFFFF" w:sz="0"/>
            </w:tcBorders>
            <w:tcMar>
              <w:top w:type="dxa" w:w="140"/>
              <w:left w:type="dxa" w:w="0"/>
              <w:bottom w:type="dxa" w:w="60"/>
              <w:right w:type="dxa" w:w="200"/>
            </w:tcMar>
          </w:tcPr>
          <w:p>
            <w:pPr>
              <w:spacing w:after="40"/>
            </w:pPr>
            <w:r>
              <w:rPr>
                <w:b/>
                <w:bCs/>
                <w:color w:val="1E293B"/>
                <w:sz w:val="26"/>
                <w:szCs w:val="26"/>
              </w:rPr>
              <w:t xml:space="preserve">Inventory Intelligence</w:t>
            </w:r>
          </w:p>
          <w:p>
            <w:pPr>
              <w:spacing w:after="0"/>
            </w:pPr>
            <w:r>
              <w:rPr>
                <w:color w:val="64748B"/>
                <w:sz w:val="20"/>
                <w:szCs w:val="20"/>
              </w:rPr>
              <w:t xml:space="preserve">Risk • Safety Stock • Reorder</w:t>
            </w:r>
          </w:p>
        </w:tc>
        <w:tc>
          <w:tcPr>
            <w:tcW w:type="dxa" w:w="3008"/>
            <w:tcBorders>
              <w:top w:val="single" w:color="06B6D4" w:sz="24"/>
              <w:left w:val="none" w:color="FFFFFF" w:sz="0"/>
              <w:bottom w:val="none" w:color="FFFFFF" w:sz="0"/>
              <w:right w:val="none" w:color="FFFFFF" w:sz="0"/>
            </w:tcBorders>
            <w:tcMar>
              <w:top w:type="dxa" w:w="140"/>
              <w:left w:type="dxa" w:w="0"/>
              <w:bottom w:type="dxa" w:w="60"/>
              <w:right w:type="dxa" w:w="200"/>
            </w:tcMar>
          </w:tcPr>
          <w:p>
            <w:pPr>
              <w:spacing w:after="40"/>
            </w:pPr>
            <w:r>
              <w:rPr>
                <w:b/>
                <w:bCs/>
                <w:color w:val="1E293B"/>
                <w:sz w:val="26"/>
                <w:szCs w:val="26"/>
              </w:rPr>
              <w:t xml:space="preserve">Interactive Dashboard</w:t>
            </w:r>
          </w:p>
          <w:p>
            <w:pPr>
              <w:spacing w:after="0"/>
            </w:pPr>
            <w:r>
              <w:rPr>
                <w:color w:val="64748B"/>
                <w:sz w:val="20"/>
                <w:szCs w:val="20"/>
              </w:rPr>
              <w:t xml:space="preserve">Streamlit • Analytics</w:t>
            </w:r>
          </w:p>
        </w:tc>
      </w:tr>
    </w:tbl>
    <w:p>
      <w:pPr>
        <w:spacing w:after="0" w:before="900"/>
        <w:ind w:left="1440"/>
      </w:pPr>
      <w:r>
        <w:rPr>
          <w:color w:val="64748B"/>
          <w:sz w:val="20"/>
          <w:szCs w:val="20"/>
        </w:rPr>
        <w:t xml:space="preserve">73,100 retail records  |  100 Store–Product SKUs  |  7-day forecast horizon</w:t>
      </w:r>
    </w:p>
    <w:p>
      <w:pPr>
        <w:sectPr>
          <w:pgSz w:w="11906" w:h="16838" w:orient="portrait"/>
          <w:pgMar w:top="0" w:right="0" w:bottom="0" w:left="0" w:header="0" w:footer="0" w:gutter="0"/>
          <w:pgNumType/>
          <w:docGrid w:linePitch="360"/>
        </w:sectPr>
      </w:pPr>
    </w:p>
    <w:p>
      <w:pPr>
        <w:pStyle w:val="TOCTitle"/>
      </w:pPr>
      <w:r>
        <w:t xml:space="preserve">Contents</w:t>
      </w:r>
    </w:p>
    <w:p>
      <w:pPr>
        <w:pStyle w:val="TOC1"/>
      </w:pPr>
      <w:r>
        <w:fldChar w:fldCharType="begin"/>
      </w:r>
      <w:r>
        <w:instrText xml:space="preserve"> TOC \o "1-2" \h \z \u </w:instrText>
      </w:r>
      <w:r>
        <w:fldChar w:fldCharType="separate"/>
      </w:r>
      <w:hyperlink w:anchor="_Toc0001" w:history="1">
        <w:r>
          <w:t xml:space="preserve">1. Abstract</w:t>
        </w:r>
        <w:r>
          <w:tab/>
        </w:r>
        <w:r>
          <w:t>3</w:t>
        </w:r>
      </w:hyperlink>
    </w:p>
    <w:p>
      <w:pPr>
        <w:pStyle w:val="TOC2"/>
      </w:pPr>
      <w:hyperlink w:anchor="_Toc0002" w:history="1">
        <w:r>
          <w:t xml:space="preserve">Project at a glance</w:t>
        </w:r>
        <w:r>
          <w:tab/>
        </w:r>
        <w:r>
          <w:t>3</w:t>
        </w:r>
      </w:hyperlink>
    </w:p>
    <w:p>
      <w:pPr>
        <w:pStyle w:val="TOC1"/>
      </w:pPr>
      <w:hyperlink w:anchor="_Toc0003" w:history="1">
        <w:r>
          <w:t xml:space="preserve">2. Introduction and Objectives</w:t>
        </w:r>
        <w:r>
          <w:tab/>
        </w:r>
        <w:r>
          <w:t>4</w:t>
        </w:r>
      </w:hyperlink>
    </w:p>
    <w:p>
      <w:pPr>
        <w:pStyle w:val="TOC2"/>
      </w:pPr>
      <w:hyperlink w:anchor="_Toc0004" w:history="1">
        <w:r>
          <w:t xml:space="preserve">2.1 Background</w:t>
        </w:r>
        <w:r>
          <w:tab/>
        </w:r>
        <w:r>
          <w:t>4</w:t>
        </w:r>
      </w:hyperlink>
    </w:p>
    <w:p>
      <w:pPr>
        <w:pStyle w:val="TOC2"/>
      </w:pPr>
      <w:hyperlink w:anchor="_Toc0005" w:history="1">
        <w:r>
          <w:t xml:space="preserve">2.2 Motivation</w:t>
        </w:r>
        <w:r>
          <w:tab/>
        </w:r>
        <w:r>
          <w:t>4</w:t>
        </w:r>
      </w:hyperlink>
    </w:p>
    <w:p>
      <w:pPr>
        <w:pStyle w:val="TOC2"/>
      </w:pPr>
      <w:hyperlink w:anchor="_Toc0006" w:history="1">
        <w:r>
          <w:t xml:space="preserve">2.3 Problem Statement</w:t>
        </w:r>
        <w:r>
          <w:tab/>
        </w:r>
        <w:r>
          <w:t>4</w:t>
        </w:r>
      </w:hyperlink>
    </w:p>
    <w:p>
      <w:pPr>
        <w:pStyle w:val="TOC2"/>
      </w:pPr>
      <w:hyperlink w:anchor="_Toc0007" w:history="1">
        <w:r>
          <w:t xml:space="preserve">2.4 Objectives</w:t>
        </w:r>
        <w:r>
          <w:tab/>
        </w:r>
        <w:r>
          <w:t>4</w:t>
        </w:r>
      </w:hyperlink>
    </w:p>
    <w:p>
      <w:pPr>
        <w:pStyle w:val="TOC2"/>
      </w:pPr>
      <w:hyperlink w:anchor="_Toc0008" w:history="1">
        <w:r>
          <w:t xml:space="preserve">2.5 Scope of the Project</w:t>
        </w:r>
        <w:r>
          <w:tab/>
        </w:r>
        <w:r>
          <w:t>5</w:t>
        </w:r>
      </w:hyperlink>
    </w:p>
    <w:p>
      <w:pPr>
        <w:pStyle w:val="TOC1"/>
      </w:pPr>
      <w:hyperlink w:anchor="_Toc0009" w:history="1">
        <w:r>
          <w:t xml:space="preserve">3. System Analysis</w:t>
        </w:r>
        <w:r>
          <w:tab/>
        </w:r>
        <w:r>
          <w:t>6</w:t>
        </w:r>
      </w:hyperlink>
    </w:p>
    <w:p>
      <w:pPr>
        <w:pStyle w:val="TOC2"/>
      </w:pPr>
      <w:hyperlink w:anchor="_Toc0010" w:history="1">
        <w:r>
          <w:t xml:space="preserve">3.1 Existing System</w:t>
        </w:r>
        <w:r>
          <w:tab/>
        </w:r>
        <w:r>
          <w:t>6</w:t>
        </w:r>
      </w:hyperlink>
    </w:p>
    <w:p>
      <w:pPr>
        <w:pStyle w:val="TOC2"/>
      </w:pPr>
      <w:hyperlink w:anchor="_Toc0011" w:history="1">
        <w:r>
          <w:t xml:space="preserve">3.2 Limitations of the Existing System</w:t>
        </w:r>
        <w:r>
          <w:tab/>
        </w:r>
        <w:r>
          <w:t>6</w:t>
        </w:r>
      </w:hyperlink>
    </w:p>
    <w:p>
      <w:pPr>
        <w:pStyle w:val="TOC2"/>
      </w:pPr>
      <w:hyperlink w:anchor="_Toc0012" w:history="1">
        <w:r>
          <w:t xml:space="preserve">3.3 Proposed System</w:t>
        </w:r>
        <w:r>
          <w:tab/>
        </w:r>
        <w:r>
          <w:t>6</w:t>
        </w:r>
      </w:hyperlink>
    </w:p>
    <w:p>
      <w:pPr>
        <w:pStyle w:val="TOC2"/>
      </w:pPr>
      <w:hyperlink w:anchor="_Toc0013" w:history="1">
        <w:r>
          <w:t xml:space="preserve">3.4 Advantages of the Proposed System</w:t>
        </w:r>
        <w:r>
          <w:tab/>
        </w:r>
        <w:r>
          <w:t>6</w:t>
        </w:r>
      </w:hyperlink>
    </w:p>
    <w:p>
      <w:pPr>
        <w:pStyle w:val="TOC1"/>
      </w:pPr>
      <w:hyperlink w:anchor="_Toc0014" w:history="1">
        <w:r>
          <w:t xml:space="preserve">4. Technology Stack and Requirements</w:t>
        </w:r>
        <w:r>
          <w:tab/>
        </w:r>
        <w:r>
          <w:t>7</w:t>
        </w:r>
      </w:hyperlink>
    </w:p>
    <w:p>
      <w:pPr>
        <w:pStyle w:val="TOC2"/>
      </w:pPr>
      <w:hyperlink w:anchor="_Toc0015" w:history="1">
        <w:r>
          <w:t xml:space="preserve">4.1 Technology Stack</w:t>
        </w:r>
        <w:r>
          <w:tab/>
        </w:r>
        <w:r>
          <w:t>7</w:t>
        </w:r>
      </w:hyperlink>
    </w:p>
    <w:p>
      <w:pPr>
        <w:pStyle w:val="TOC2"/>
      </w:pPr>
      <w:hyperlink w:anchor="_Toc0016" w:history="1">
        <w:r>
          <w:t xml:space="preserve">4.2 System Requirements</w:t>
        </w:r>
        <w:r>
          <w:tab/>
        </w:r>
        <w:r>
          <w:t>7</w:t>
        </w:r>
      </w:hyperlink>
    </w:p>
    <w:p>
      <w:pPr>
        <w:pStyle w:val="TOC1"/>
      </w:pPr>
      <w:hyperlink w:anchor="_Toc0017" w:history="1">
        <w:r>
          <w:t xml:space="preserve">5. Dataset and Data Preparation</w:t>
        </w:r>
        <w:r>
          <w:tab/>
        </w:r>
        <w:r>
          <w:t>8</w:t>
        </w:r>
      </w:hyperlink>
    </w:p>
    <w:p>
      <w:pPr>
        <w:pStyle w:val="TOC2"/>
      </w:pPr>
      <w:hyperlink w:anchor="_Toc0018" w:history="1">
        <w:r>
          <w:t xml:space="preserve">5.1 Dataset Description</w:t>
        </w:r>
        <w:r>
          <w:tab/>
        </w:r>
        <w:r>
          <w:t>8</w:t>
        </w:r>
      </w:hyperlink>
    </w:p>
    <w:p>
      <w:pPr>
        <w:pStyle w:val="TOC2"/>
      </w:pPr>
      <w:hyperlink w:anchor="_Toc0019" w:history="1">
        <w:r>
          <w:t xml:space="preserve">5.2 Data Preprocessing</w:t>
        </w:r>
        <w:r>
          <w:tab/>
        </w:r>
        <w:r>
          <w:t>8</w:t>
        </w:r>
      </w:hyperlink>
    </w:p>
    <w:p>
      <w:pPr>
        <w:pStyle w:val="TOC2"/>
      </w:pPr>
      <w:hyperlink w:anchor="_Toc0020" w:history="1">
        <w:r>
          <w:t xml:space="preserve">5.3 Feature Engineering</w:t>
        </w:r>
        <w:r>
          <w:tab/>
        </w:r>
        <w:r>
          <w:t>8</w:t>
        </w:r>
      </w:hyperlink>
    </w:p>
    <w:p>
      <w:pPr>
        <w:pStyle w:val="TOC1"/>
      </w:pPr>
      <w:hyperlink w:anchor="_Toc0021" w:history="1">
        <w:r>
          <w:t xml:space="preserve">6. Machine Learning Methodology</w:t>
        </w:r>
        <w:r>
          <w:tab/>
        </w:r>
        <w:r>
          <w:t>10</w:t>
        </w:r>
      </w:hyperlink>
    </w:p>
    <w:p>
      <w:pPr>
        <w:pStyle w:val="TOC2"/>
      </w:pPr>
      <w:hyperlink w:anchor="_Toc0022" w:history="1">
        <w:r>
          <w:t xml:space="preserve">6.1 Modelling Approach</w:t>
        </w:r>
        <w:r>
          <w:tab/>
        </w:r>
        <w:r>
          <w:t>10</w:t>
        </w:r>
      </w:hyperlink>
    </w:p>
    <w:p>
      <w:pPr>
        <w:pStyle w:val="TOC2"/>
      </w:pPr>
      <w:hyperlink w:anchor="_Toc0023" w:history="1">
        <w:r>
          <w:t xml:space="preserve">6.2 Chronological Train/Test Split</w:t>
        </w:r>
        <w:r>
          <w:tab/>
        </w:r>
        <w:r>
          <w:t>10</w:t>
        </w:r>
      </w:hyperlink>
    </w:p>
    <w:p>
      <w:pPr>
        <w:pStyle w:val="TOC2"/>
      </w:pPr>
      <w:hyperlink w:anchor="_Toc0024" w:history="1">
        <w:r>
          <w:t xml:space="preserve">6.3 Random Forest Baseline</w:t>
        </w:r>
        <w:r>
          <w:tab/>
        </w:r>
        <w:r>
          <w:t>10</w:t>
        </w:r>
      </w:hyperlink>
    </w:p>
    <w:p>
      <w:pPr>
        <w:pStyle w:val="TOC2"/>
      </w:pPr>
      <w:hyperlink w:anchor="_Toc0025" w:history="1">
        <w:r>
          <w:t xml:space="preserve">6.4 XGBoost Model</w:t>
        </w:r>
        <w:r>
          <w:tab/>
        </w:r>
        <w:r>
          <w:t>10</w:t>
        </w:r>
      </w:hyperlink>
    </w:p>
    <w:p>
      <w:pPr>
        <w:pStyle w:val="TOC2"/>
      </w:pPr>
      <w:hyperlink w:anchor="_Toc0026" w:history="1">
        <w:r>
          <w:t xml:space="preserve">6.5 Model Evaluation</w:t>
        </w:r>
        <w:r>
          <w:tab/>
        </w:r>
        <w:r>
          <w:t>11</w:t>
        </w:r>
      </w:hyperlink>
    </w:p>
    <w:p>
      <w:pPr>
        <w:pStyle w:val="TOC1"/>
      </w:pPr>
      <w:hyperlink w:anchor="_Toc0027" w:history="1">
        <w:r>
          <w:t xml:space="preserve">7. Demand Forecasting</w:t>
        </w:r>
        <w:r>
          <w:tab/>
        </w:r>
        <w:r>
          <w:t>12</w:t>
        </w:r>
      </w:hyperlink>
    </w:p>
    <w:p>
      <w:pPr>
        <w:pStyle w:val="TOC2"/>
      </w:pPr>
      <w:hyperlink w:anchor="_Toc0028" w:history="1">
        <w:r>
          <w:t xml:space="preserve">7.1 Recursive Forecasting Process</w:t>
        </w:r>
        <w:r>
          <w:tab/>
        </w:r>
        <w:r>
          <w:t>12</w:t>
        </w:r>
      </w:hyperlink>
    </w:p>
    <w:p>
      <w:pPr>
        <w:pStyle w:val="TOC2"/>
      </w:pPr>
      <w:hyperlink w:anchor="_Toc0029" w:history="1">
        <w:r>
          <w:t xml:space="preserve">7.2 Forecast Coverage and Validation</w:t>
        </w:r>
        <w:r>
          <w:tab/>
        </w:r>
        <w:r>
          <w:t>12</w:t>
        </w:r>
      </w:hyperlink>
    </w:p>
    <w:p>
      <w:pPr>
        <w:pStyle w:val="TOC1"/>
      </w:pPr>
      <w:hyperlink w:anchor="_Toc0030" w:history="1">
        <w:r>
          <w:t xml:space="preserve">8. Inventory Intelligence and Simulation</w:t>
        </w:r>
        <w:r>
          <w:tab/>
        </w:r>
        <w:r>
          <w:t>13</w:t>
        </w:r>
      </w:hyperlink>
    </w:p>
    <w:p>
      <w:pPr>
        <w:pStyle w:val="TOC2"/>
      </w:pPr>
      <w:hyperlink w:anchor="_Toc0031" w:history="1">
        <w:r>
          <w:t xml:space="preserve">8.1 Inventory Intelligence Layer</w:t>
        </w:r>
        <w:r>
          <w:tab/>
        </w:r>
        <w:r>
          <w:t>13</w:t>
        </w:r>
      </w:hyperlink>
    </w:p>
    <w:p>
      <w:pPr>
        <w:pStyle w:val="TOC2"/>
      </w:pPr>
      <w:hyperlink w:anchor="_Toc0032" w:history="1">
        <w:r>
          <w:t xml:space="preserve">8.2 Safety Stock and Reorder Point</w:t>
        </w:r>
        <w:r>
          <w:tab/>
        </w:r>
        <w:r>
          <w:t>13</w:t>
        </w:r>
      </w:hyperlink>
    </w:p>
    <w:p>
      <w:pPr>
        <w:pStyle w:val="TOC2"/>
      </w:pPr>
      <w:hyperlink w:anchor="_Toc0033" w:history="1">
        <w:r>
          <w:t xml:space="preserve">8.3 Stockout Risk Detection</w:t>
        </w:r>
        <w:r>
          <w:tab/>
        </w:r>
        <w:r>
          <w:t>13</w:t>
        </w:r>
      </w:hyperlink>
    </w:p>
    <w:p>
      <w:pPr>
        <w:pStyle w:val="TOC2"/>
      </w:pPr>
      <w:hyperlink w:anchor="_Toc0034" w:history="1">
        <w:r>
          <w:t xml:space="preserve">8.4 Dynamic Inventory Simulation</w:t>
        </w:r>
        <w:r>
          <w:tab/>
        </w:r>
        <w:r>
          <w:t>14</w:t>
        </w:r>
      </w:hyperlink>
    </w:p>
    <w:p>
      <w:pPr>
        <w:pStyle w:val="TOC1"/>
      </w:pPr>
      <w:hyperlink w:anchor="_Toc0035" w:history="1">
        <w:r>
          <w:t xml:space="preserve">9. System Architecture and Modules</w:t>
        </w:r>
        <w:r>
          <w:tab/>
        </w:r>
        <w:r>
          <w:t>15</w:t>
        </w:r>
      </w:hyperlink>
    </w:p>
    <w:p>
      <w:pPr>
        <w:pStyle w:val="TOC2"/>
      </w:pPr>
      <w:hyperlink w:anchor="_Toc0036" w:history="1">
        <w:r>
          <w:t xml:space="preserve">9.1 Architecture</w:t>
        </w:r>
        <w:r>
          <w:tab/>
        </w:r>
        <w:r>
          <w:t>15</w:t>
        </w:r>
      </w:hyperlink>
    </w:p>
    <w:p>
      <w:pPr>
        <w:pStyle w:val="TOC2"/>
      </w:pPr>
      <w:hyperlink w:anchor="_Toc0037" w:history="1">
        <w:r>
          <w:t xml:space="preserve">9.2 Module Description</w:t>
        </w:r>
        <w:r>
          <w:tab/>
        </w:r>
        <w:r>
          <w:t>15</w:t>
        </w:r>
      </w:hyperlink>
    </w:p>
    <w:p>
      <w:pPr>
        <w:pStyle w:val="TOC1"/>
      </w:pPr>
      <w:hyperlink w:anchor="_Toc0038" w:history="1">
        <w:r>
          <w:t xml:space="preserve">10. Interactive Dashboard</w:t>
        </w:r>
        <w:r>
          <w:tab/>
        </w:r>
        <w:r>
          <w:t>16</w:t>
        </w:r>
      </w:hyperlink>
    </w:p>
    <w:p>
      <w:pPr>
        <w:pStyle w:val="TOC2"/>
      </w:pPr>
      <w:hyperlink w:anchor="_Toc0039" w:history="1">
        <w:r>
          <w:t xml:space="preserve">10.1 Main Dashboard</w:t>
        </w:r>
        <w:r>
          <w:tab/>
        </w:r>
        <w:r>
          <w:t>16</w:t>
        </w:r>
      </w:hyperlink>
    </w:p>
    <w:p>
      <w:pPr>
        <w:pStyle w:val="TOC2"/>
      </w:pPr>
      <w:hyperlink w:anchor="_Toc0040" w:history="1">
        <w:r>
          <w:t xml:space="preserve">10.2 Demand and Risk Analysis</w:t>
        </w:r>
        <w:r>
          <w:tab/>
        </w:r>
        <w:r>
          <w:t>16</w:t>
        </w:r>
      </w:hyperlink>
    </w:p>
    <w:p>
      <w:pPr>
        <w:pStyle w:val="TOC2"/>
      </w:pPr>
      <w:hyperlink w:anchor="_Toc0041" w:history="1">
        <w:r>
          <w:t xml:space="preserve">10.3 Inventory and Recommendations</w:t>
        </w:r>
        <w:r>
          <w:tab/>
        </w:r>
        <w:r>
          <w:t>16</w:t>
        </w:r>
      </w:hyperlink>
    </w:p>
    <w:p>
      <w:pPr>
        <w:pStyle w:val="TOC1"/>
      </w:pPr>
      <w:hyperlink w:anchor="_Toc0042" w:history="1">
        <w:r>
          <w:t xml:space="preserve">11. Results and Analysis</w:t>
        </w:r>
        <w:r>
          <w:tab/>
        </w:r>
        <w:r>
          <w:t>17</w:t>
        </w:r>
      </w:hyperlink>
    </w:p>
    <w:p>
      <w:pPr>
        <w:pStyle w:val="TOC2"/>
      </w:pPr>
      <w:hyperlink w:anchor="_Toc0043" w:history="1">
        <w:r>
          <w:t xml:space="preserve">11.1 Observations</w:t>
        </w:r>
        <w:r>
          <w:tab/>
        </w:r>
        <w:r>
          <w:t>17</w:t>
        </w:r>
      </w:hyperlink>
    </w:p>
    <w:p>
      <w:pPr>
        <w:pStyle w:val="TOC1"/>
      </w:pPr>
      <w:hyperlink w:anchor="_Toc0044" w:history="1">
        <w:r>
          <w:t xml:space="preserve">12. Advantages, Limitations, and Future Scope</w:t>
        </w:r>
        <w:r>
          <w:tab/>
        </w:r>
        <w:r>
          <w:t>18</w:t>
        </w:r>
      </w:hyperlink>
    </w:p>
    <w:p>
      <w:pPr>
        <w:pStyle w:val="TOC2"/>
      </w:pPr>
      <w:hyperlink w:anchor="_Toc0045" w:history="1">
        <w:r>
          <w:t xml:space="preserve">12.1 Advantages</w:t>
        </w:r>
        <w:r>
          <w:tab/>
        </w:r>
        <w:r>
          <w:t>18</w:t>
        </w:r>
      </w:hyperlink>
    </w:p>
    <w:p>
      <w:pPr>
        <w:pStyle w:val="TOC2"/>
      </w:pPr>
      <w:hyperlink w:anchor="_Toc0046" w:history="1">
        <w:r>
          <w:t xml:space="preserve">12.2 Limitations</w:t>
        </w:r>
        <w:r>
          <w:tab/>
        </w:r>
        <w:r>
          <w:t>18</w:t>
        </w:r>
      </w:hyperlink>
    </w:p>
    <w:p>
      <w:pPr>
        <w:pStyle w:val="TOC2"/>
      </w:pPr>
      <w:hyperlink w:anchor="_Toc0047" w:history="1">
        <w:r>
          <w:t xml:space="preserve">12.3 Future Scope</w:t>
        </w:r>
        <w:r>
          <w:tab/>
        </w:r>
        <w:r>
          <w:t>18</w:t>
        </w:r>
      </w:hyperlink>
    </w:p>
    <w:p>
      <w:pPr>
        <w:pStyle w:val="TOC1"/>
      </w:pPr>
      <w:hyperlink w:anchor="_Toc0048" w:history="1">
        <w:r>
          <w:t xml:space="preserve">13. Conclusion</w:t>
        </w:r>
        <w:r>
          <w:tab/>
        </w:r>
        <w:r>
          <w:t>19</w:t>
        </w:r>
      </w:hyperlink>
    </w:p>
    <w:p>
      <w:pPr>
        <w:pStyle w:val="TOC1"/>
      </w:pPr>
      <w:hyperlink w:anchor="_Toc9999" w:history="1">
        <w:r>
          <w:t xml:space="preserve">References</w:t>
        </w:r>
        <w:r>
          <w:tab/>
        </w:r>
        <w:r>
          <w:t>19</w:t>
        </w:r>
      </w:hyperlink>
    </w:p>
    <w:p>
      <w:r>
        <w:fldChar w:fldCharType="end"/>
      </w:r>
    </w:p>
    <w:p>
      <w:pPr>
        <w:pStyle w:val="Heading1"/>
        <w:pageBreakBefore/>
      </w:pPr>
      <w:bookmarkStart w:name="_Toc0001" w:id="101"/>
      <w:r>
        <w:t xml:space="preserve">1. Abstract</w:t>
      </w:r>
      <w:bookmarkEnd w:id="101"/>
    </w:p>
    <w:p>
      <w:pPr>
        <w:spacing w:after="140" w:before="0" w:line="288"/>
      </w:pPr>
      <w:r>
        <w:t xml:space="preserve">FORESIGHT is an AI-powered platform that combines short-term retail demand forecasting with inventory intelligence. The system analyzes historical sales and operational data, engineers time-series and business features, and uses XGBoost regression to forecast demand.</w:t>
      </w:r>
    </w:p>
    <w:p>
      <w:pPr>
        <w:spacing w:after="140" w:before="0" w:line="288"/>
      </w:pPr>
      <w:r>
        <w:t xml:space="preserve">Forecasts are converted into safety-stock, reorder-point, stockout-risk, inventory-coverage, and recommended-order indicators. A seven-day recursive forecast is generated for 100 Store–Product combinations, followed by a scenario-based dynamic inventory simulation. An interactive Streamlit dashboard presents KPIs, demand trends, risk analysis, inventory coverage, and reorder recommendations.</w:t>
      </w:r>
    </w:p>
    <w:p>
      <w:pPr>
        <w:pStyle w:val="Heading2"/>
      </w:pPr>
      <w:bookmarkStart w:name="_Toc0002" w:id="102"/>
      <w:r>
        <w:t xml:space="preserve">Project at a glance</w:t>
      </w:r>
      <w:bookmarkEnd w:id="102"/>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6326"/>
      </w:tblGrid>
      <w:tr>
        <w:trPr>
          <w:cantSplit/>
        </w:trPr>
        <w:tc>
          <w:tcPr>
            <w:tcW w:type="dxa" w:w="2700"/>
            <w:tcBorders>
              <w:top w:val="none" w:color="FFFFFF" w:sz="0"/>
              <w:left w:val="none" w:color="FFFFFF" w:sz="0"/>
              <w:bottom w:val="single" w:color="CBD5E1" w:sz="4"/>
              <w:right w:val="none" w:color="FFFFFF" w:sz="0"/>
            </w:tcBorders>
            <w:shd w:fill="EFF4FF" w:color="auto" w:val="clear"/>
            <w:tcMar>
              <w:top w:type="dxa" w:w="80"/>
              <w:left w:type="dxa" w:w="120"/>
              <w:bottom w:type="dxa" w:w="80"/>
              <w:right w:type="dxa" w:w="120"/>
            </w:tcMar>
            <w:vAlign w:val="center"/>
          </w:tcPr>
          <w:p>
            <w:pPr>
              <w:keepNext/>
              <w:spacing w:after="0" w:line="264"/>
            </w:pPr>
            <w:r>
              <w:rPr>
                <w:b/>
                <w:bCs/>
                <w:color w:val="1E293B"/>
                <w:sz w:val="20"/>
                <w:szCs w:val="20"/>
              </w:rPr>
              <w:t xml:space="preserve">Dataset</w:t>
            </w:r>
          </w:p>
        </w:tc>
        <w:tc>
          <w:tcPr>
            <w:tcW w:type="dxa" w:w="6326"/>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pPr>
            <w:r>
              <w:rPr>
                <w:sz w:val="20"/>
                <w:szCs w:val="20"/>
              </w:rPr>
              <w:t xml:space="preserve">73,100 records, 15 variables, 2022-01-01 to 2024-01-01</w:t>
            </w:r>
          </w:p>
        </w:tc>
      </w:tr>
      <w:tr>
        <w:trPr>
          <w:cantSplit/>
        </w:trPr>
        <w:tc>
          <w:tcPr>
            <w:tcW w:type="dxa" w:w="2700"/>
            <w:tcBorders>
              <w:top w:val="none" w:color="FFFFFF" w:sz="0"/>
              <w:left w:val="none" w:color="FFFFFF" w:sz="0"/>
              <w:bottom w:val="single" w:color="CBD5E1" w:sz="4"/>
              <w:right w:val="none" w:color="FFFFFF" w:sz="0"/>
            </w:tcBorders>
            <w:shd w:fill="EFF4FF" w:color="auto" w:val="clear"/>
            <w:tcMar>
              <w:top w:type="dxa" w:w="80"/>
              <w:left w:type="dxa" w:w="120"/>
              <w:bottom w:type="dxa" w:w="80"/>
              <w:right w:type="dxa" w:w="120"/>
            </w:tcMar>
            <w:vAlign w:val="center"/>
          </w:tcPr>
          <w:p>
            <w:pPr>
              <w:keepNext/>
              <w:spacing w:after="0" w:line="264"/>
            </w:pPr>
            <w:r>
              <w:rPr>
                <w:b/>
                <w:bCs/>
                <w:color w:val="1E293B"/>
                <w:sz w:val="20"/>
                <w:szCs w:val="20"/>
              </w:rPr>
              <w:t xml:space="preserve">Coverage</w:t>
            </w:r>
          </w:p>
        </w:tc>
        <w:tc>
          <w:tcPr>
            <w:tcW w:type="dxa" w:w="6326"/>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pPr>
            <w:r>
              <w:rPr>
                <w:sz w:val="20"/>
                <w:szCs w:val="20"/>
              </w:rPr>
              <w:t xml:space="preserve">5 stores × 20 products = 100 Store–Product combinations (SKUs)</w:t>
            </w:r>
          </w:p>
        </w:tc>
      </w:tr>
      <w:tr>
        <w:trPr>
          <w:cantSplit/>
        </w:trPr>
        <w:tc>
          <w:tcPr>
            <w:tcW w:type="dxa" w:w="2700"/>
            <w:tcBorders>
              <w:top w:val="none" w:color="FFFFFF" w:sz="0"/>
              <w:left w:val="none" w:color="FFFFFF" w:sz="0"/>
              <w:bottom w:val="single" w:color="CBD5E1" w:sz="4"/>
              <w:right w:val="none" w:color="FFFFFF" w:sz="0"/>
            </w:tcBorders>
            <w:shd w:fill="EFF4FF" w:color="auto" w:val="clear"/>
            <w:tcMar>
              <w:top w:type="dxa" w:w="80"/>
              <w:left w:type="dxa" w:w="120"/>
              <w:bottom w:type="dxa" w:w="80"/>
              <w:right w:type="dxa" w:w="120"/>
            </w:tcMar>
            <w:vAlign w:val="center"/>
          </w:tcPr>
          <w:p>
            <w:pPr>
              <w:keepNext/>
              <w:spacing w:after="0" w:line="264"/>
            </w:pPr>
            <w:r>
              <w:rPr>
                <w:b/>
                <w:bCs/>
                <w:color w:val="1E293B"/>
                <w:sz w:val="20"/>
                <w:szCs w:val="20"/>
              </w:rPr>
              <w:t xml:space="preserve">Forecasting model</w:t>
            </w:r>
          </w:p>
        </w:tc>
        <w:tc>
          <w:tcPr>
            <w:tcW w:type="dxa" w:w="6326"/>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pPr>
            <w:r>
              <w:rPr>
                <w:sz w:val="20"/>
                <w:szCs w:val="20"/>
              </w:rPr>
              <w:t xml:space="preserve">XGBoost regression pipeline (300 estimators), saved as xgboost_demand_model.pkl</w:t>
            </w:r>
          </w:p>
        </w:tc>
      </w:tr>
      <w:tr>
        <w:trPr>
          <w:cantSplit/>
        </w:trPr>
        <w:tc>
          <w:tcPr>
            <w:tcW w:type="dxa" w:w="2700"/>
            <w:tcBorders>
              <w:top w:val="none" w:color="FFFFFF" w:sz="0"/>
              <w:left w:val="none" w:color="FFFFFF" w:sz="0"/>
              <w:bottom w:val="single" w:color="CBD5E1" w:sz="4"/>
              <w:right w:val="none" w:color="FFFFFF" w:sz="0"/>
            </w:tcBorders>
            <w:shd w:fill="EFF4FF" w:color="auto" w:val="clear"/>
            <w:tcMar>
              <w:top w:type="dxa" w:w="80"/>
              <w:left w:type="dxa" w:w="120"/>
              <w:bottom w:type="dxa" w:w="80"/>
              <w:right w:type="dxa" w:w="120"/>
            </w:tcMar>
            <w:vAlign w:val="center"/>
          </w:tcPr>
          <w:p>
            <w:pPr>
              <w:keepNext/>
              <w:spacing w:after="0" w:line="264"/>
            </w:pPr>
            <w:r>
              <w:rPr>
                <w:b/>
                <w:bCs/>
                <w:color w:val="1E293B"/>
                <w:sz w:val="20"/>
                <w:szCs w:val="20"/>
              </w:rPr>
              <w:t xml:space="preserve">Test performance</w:t>
            </w:r>
          </w:p>
        </w:tc>
        <w:tc>
          <w:tcPr>
            <w:tcW w:type="dxa" w:w="6326"/>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pPr>
            <w:r>
              <w:rPr>
                <w:sz w:val="20"/>
                <w:szCs w:val="20"/>
              </w:rPr>
              <w:t xml:space="preserve">MAE 89.21  |  RMSE 108.88  |  WAPE 65.56%  |  SMAPE 72.19%</w:t>
            </w:r>
          </w:p>
        </w:tc>
      </w:tr>
      <w:tr>
        <w:trPr>
          <w:cantSplit/>
        </w:trPr>
        <w:tc>
          <w:tcPr>
            <w:tcW w:type="dxa" w:w="2700"/>
            <w:tcBorders>
              <w:top w:val="none" w:color="FFFFFF" w:sz="0"/>
              <w:left w:val="none" w:color="FFFFFF" w:sz="0"/>
              <w:bottom w:val="single" w:color="CBD5E1" w:sz="4"/>
              <w:right w:val="none" w:color="FFFFFF" w:sz="0"/>
            </w:tcBorders>
            <w:shd w:fill="EFF4FF" w:color="auto" w:val="clear"/>
            <w:tcMar>
              <w:top w:type="dxa" w:w="80"/>
              <w:left w:type="dxa" w:w="120"/>
              <w:bottom w:type="dxa" w:w="80"/>
              <w:right w:type="dxa" w:w="120"/>
            </w:tcMar>
            <w:vAlign w:val="center"/>
          </w:tcPr>
          <w:p>
            <w:pPr>
              <w:keepNext/>
              <w:spacing w:after="0" w:line="264"/>
            </w:pPr>
            <w:r>
              <w:rPr>
                <w:b/>
                <w:bCs/>
                <w:color w:val="1E293B"/>
                <w:sz w:val="20"/>
                <w:szCs w:val="20"/>
              </w:rPr>
              <w:t xml:space="preserve">Forecast horizon</w:t>
            </w:r>
          </w:p>
        </w:tc>
        <w:tc>
          <w:tcPr>
            <w:tcW w:type="dxa" w:w="6326"/>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pPr>
            <w:r>
              <w:rPr>
                <w:sz w:val="20"/>
                <w:szCs w:val="20"/>
              </w:rPr>
              <w:t xml:space="preserve">7 days (2024-01-02 to 2024-01-08), 700 forecast records</w:t>
            </w:r>
          </w:p>
        </w:tc>
      </w:tr>
      <w:tr>
        <w:trPr>
          <w:cantSplit/>
        </w:trPr>
        <w:tc>
          <w:tcPr>
            <w:tcW w:type="dxa" w:w="2700"/>
            <w:tcBorders>
              <w:top w:val="none" w:color="FFFFFF" w:sz="0"/>
              <w:left w:val="none" w:color="FFFFFF" w:sz="0"/>
              <w:bottom w:val="single" w:color="CBD5E1" w:sz="4"/>
              <w:right w:val="none" w:color="FFFFFF" w:sz="0"/>
            </w:tcBorders>
            <w:shd w:fill="EFF4FF" w:color="auto" w:val="clear"/>
            <w:tcMar>
              <w:top w:type="dxa" w:w="80"/>
              <w:left w:type="dxa" w:w="120"/>
              <w:bottom w:type="dxa" w:w="80"/>
              <w:right w:type="dxa" w:w="120"/>
            </w:tcMar>
            <w:vAlign w:val="center"/>
          </w:tcPr>
          <w:p>
            <w:pPr>
              <w:keepNext/>
              <w:spacing w:after="0" w:line="264"/>
            </w:pPr>
            <w:r>
              <w:rPr>
                <w:b/>
                <w:bCs/>
                <w:color w:val="1E293B"/>
                <w:sz w:val="20"/>
                <w:szCs w:val="20"/>
              </w:rPr>
              <w:t xml:space="preserve">Inventory assumptions</w:t>
            </w:r>
          </w:p>
        </w:tc>
        <w:tc>
          <w:tcPr>
            <w:tcW w:type="dxa" w:w="6326"/>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pPr>
            <w:r>
              <w:rPr>
                <w:sz w:val="20"/>
                <w:szCs w:val="20"/>
              </w:rPr>
              <w:t xml:space="preserve">3-day lead time, service factor 1.65</w:t>
            </w:r>
          </w:p>
        </w:tc>
      </w:tr>
      <w:tr>
        <w:trPr>
          <w:cantSplit/>
        </w:trPr>
        <w:tc>
          <w:tcPr>
            <w:tcW w:type="dxa" w:w="2700"/>
            <w:tcBorders>
              <w:top w:val="none" w:color="FFFFFF" w:sz="0"/>
              <w:left w:val="none" w:color="FFFFFF" w:sz="0"/>
              <w:bottom w:val="single" w:color="CBD5E1" w:sz="4"/>
              <w:right w:val="none" w:color="FFFFFF" w:sz="0"/>
            </w:tcBorders>
            <w:shd w:fill="EFF4FF" w:color="auto" w:val="clear"/>
            <w:tcMar>
              <w:top w:type="dxa" w:w="80"/>
              <w:left w:type="dxa" w:w="120"/>
              <w:bottom w:type="dxa" w:w="80"/>
              <w:right w:type="dxa" w:w="120"/>
            </w:tcMar>
            <w:vAlign w:val="center"/>
          </w:tcPr>
          <w:p>
            <w:pPr>
              <w:keepNext w:val="false"/>
              <w:spacing w:after="0" w:line="264"/>
            </w:pPr>
            <w:r>
              <w:rPr>
                <w:b/>
                <w:bCs/>
                <w:color w:val="1E293B"/>
                <w:sz w:val="20"/>
                <w:szCs w:val="20"/>
              </w:rPr>
              <w:t xml:space="preserve">Interface</w:t>
            </w:r>
          </w:p>
        </w:tc>
        <w:tc>
          <w:tcPr>
            <w:tcW w:type="dxa" w:w="6326"/>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val="false"/>
              <w:spacing w:after="0" w:line="264"/>
            </w:pPr>
            <w:r>
              <w:rPr>
                <w:sz w:val="20"/>
                <w:szCs w:val="20"/>
              </w:rPr>
              <w:t xml:space="preserve">Interactive Streamlit dashboard with filters and CSV download</w:t>
            </w:r>
          </w:p>
        </w:tc>
      </w:tr>
    </w:tbl>
    <w:p>
      <w:pPr>
        <w:pStyle w:val="Heading1"/>
        <w:pageBreakBefore/>
      </w:pPr>
      <w:bookmarkStart w:name="_Toc0003" w:id="103"/>
      <w:r>
        <w:t xml:space="preserve">2. Introduction and Objectives</w:t>
      </w:r>
      <w:bookmarkEnd w:id="103"/>
    </w:p>
    <w:p>
      <w:pPr>
        <w:pStyle w:val="Heading2"/>
      </w:pPr>
      <w:bookmarkStart w:name="_Toc0004" w:id="104"/>
      <w:r>
        <w:t xml:space="preserve">2.1 Background</w:t>
      </w:r>
      <w:bookmarkEnd w:id="104"/>
    </w:p>
    <w:p>
      <w:pPr>
        <w:spacing w:after="140" w:before="0" w:line="288"/>
      </w:pPr>
      <w:r>
        <w:t xml:space="preserve">Retail businesses must balance product availability with the cost and risk of holding excess inventory. Demand varies across products, stores, seasons, pricing conditions, promotions, and other business factors. Manual estimation and fixed reorder rules may not capture these changing patterns effectively.</w:t>
      </w:r>
    </w:p>
    <w:p>
      <w:pPr>
        <w:spacing w:after="140" w:before="0" w:line="288"/>
      </w:pPr>
      <w:r>
        <w:t xml:space="preserve">FORESIGHT connects machine-learning demand prediction with inventory decision rules and interactive analytics.</w:t>
      </w:r>
    </w:p>
    <w:p>
      <w:pPr>
        <w:keepNext/>
        <w:pBdr>
          <w:left w:val="single" w:color="2563EB" w:sz="24" w:space="8"/>
        </w:pBdr>
        <w:shd w:fill="EFF4FF" w:color="auto" w:val="clear"/>
        <w:spacing w:after="40" w:before="60"/>
        <w:ind w:left="200" w:right="160"/>
      </w:pPr>
      <w:r>
        <w:rPr>
          <w:b/>
          <w:bCs/>
          <w:color w:val="2563EB"/>
          <w:sz w:val="21"/>
          <w:szCs w:val="21"/>
        </w:rPr>
        <w:t xml:space="preserve">How to read the inventory output</w:t>
      </w:r>
    </w:p>
    <w:p>
      <w:pPr>
        <w:pBdr>
          <w:left w:val="single" w:color="2563EB" w:sz="24" w:space="8"/>
        </w:pBdr>
        <w:shd w:fill="EFF4FF" w:color="auto" w:val="clear"/>
        <w:spacing w:after="160" w:line="276"/>
        <w:ind w:left="200" w:right="160"/>
      </w:pPr>
      <w:r>
        <w:rPr>
          <w:color w:val="1E293B"/>
          <w:sz w:val="20"/>
          <w:szCs w:val="20"/>
        </w:rPr>
        <w:t xml:space="preserve">The future inventory output is treated as a scenario simulation based on explicit assumptions. It is not an actual procurement order.</w:t>
      </w:r>
    </w:p>
    <w:p>
      <w:pPr>
        <w:pStyle w:val="Heading2"/>
      </w:pPr>
      <w:bookmarkStart w:name="_Toc0005" w:id="105"/>
      <w:r>
        <w:t xml:space="preserve">2.2 Motivation</w:t>
      </w:r>
      <w:bookmarkEnd w:id="105"/>
    </w:p>
    <w:p>
      <w:pPr>
        <w:pStyle w:val="ListParagraph"/>
        <w:numPr>
          <w:ilvl w:val="0"/>
          <w:numId w:val="2"/>
        </w:numPr>
        <w:spacing w:after="70" w:line="280"/>
      </w:pPr>
      <w:r>
        <w:t xml:space="preserve">Reduce dependence on manual demand estimation.</w:t>
      </w:r>
    </w:p>
    <w:p>
      <w:pPr>
        <w:pStyle w:val="ListParagraph"/>
        <w:numPr>
          <w:ilvl w:val="0"/>
          <w:numId w:val="2"/>
        </w:numPr>
        <w:spacing w:after="70" w:line="280"/>
      </w:pPr>
      <w:r>
        <w:t xml:space="preserve">Demonstrate a practical application of machine learning in retail analytics.</w:t>
      </w:r>
    </w:p>
    <w:p>
      <w:pPr>
        <w:pStyle w:val="ListParagraph"/>
        <w:numPr>
          <w:ilvl w:val="0"/>
          <w:numId w:val="2"/>
        </w:numPr>
        <w:spacing w:after="70" w:line="280"/>
      </w:pPr>
      <w:r>
        <w:t xml:space="preserve">Identify products requiring attention because of projected inventory pressure.</w:t>
      </w:r>
    </w:p>
    <w:p>
      <w:pPr>
        <w:pStyle w:val="ListParagraph"/>
        <w:numPr>
          <w:ilvl w:val="0"/>
          <w:numId w:val="2"/>
        </w:numPr>
        <w:spacing w:after="70" w:line="280"/>
      </w:pPr>
      <w:r>
        <w:t xml:space="preserve">Combine predictive analytics with business-oriented inventory rules.</w:t>
      </w:r>
    </w:p>
    <w:p>
      <w:pPr>
        <w:pStyle w:val="ListParagraph"/>
        <w:numPr>
          <w:ilvl w:val="0"/>
          <w:numId w:val="2"/>
        </w:numPr>
        <w:spacing w:after="70" w:line="280"/>
      </w:pPr>
      <w:r>
        <w:t xml:space="preserve">Provide an interactive interface for monitoring and analysis.</w:t>
      </w:r>
    </w:p>
    <w:p>
      <w:pPr>
        <w:pStyle w:val="ListParagraph"/>
        <w:numPr>
          <w:ilvl w:val="0"/>
          <w:numId w:val="2"/>
        </w:numPr>
        <w:spacing w:after="70" w:line="280"/>
      </w:pPr>
      <w:r>
        <w:t xml:space="preserve">Build an end-to-end analytical solution from raw data to decision-support output.</w:t>
      </w:r>
    </w:p>
    <w:p>
      <w:pPr>
        <w:pStyle w:val="Heading2"/>
      </w:pPr>
      <w:bookmarkStart w:name="_Toc0006" w:id="106"/>
      <w:r>
        <w:t xml:space="preserve">2.3 Problem Statement</w:t>
      </w:r>
      <w:bookmarkEnd w:id="106"/>
    </w:p>
    <w:p>
      <w:pPr>
        <w:spacing w:after="140" w:before="0" w:line="288"/>
      </w:pPr>
      <w:r>
        <w:t xml:space="preserve">Retail inventory planning requires reliable short-term demand estimates. Historical averages or fixed reorder levels may fail to reflect changing demand across Store–Product combinations. A demand forecast alone does not directly show when inventory may become insufficient.</w:t>
      </w:r>
    </w:p>
    <w:p>
      <w:pPr>
        <w:spacing w:after="140" w:before="0" w:line="288"/>
      </w:pPr>
      <w:r>
        <w:t xml:space="preserve">The project therefore addresses the need for an integrated system that forecasts demand and converts predictions into stockout risk, reorder requirements, and projected inventory movement.</w:t>
      </w:r>
    </w:p>
    <w:p>
      <w:pPr>
        <w:pStyle w:val="Heading2"/>
      </w:pPr>
      <w:bookmarkStart w:name="_Toc0007" w:id="107"/>
      <w:r>
        <w:t xml:space="preserve">2.4 Objectives</w:t>
      </w:r>
      <w:bookmarkEnd w:id="107"/>
    </w:p>
    <w:p>
      <w:pPr>
        <w:pStyle w:val="ListParagraph"/>
        <w:numPr>
          <w:ilvl w:val="0"/>
          <w:numId w:val="3"/>
        </w:numPr>
        <w:spacing w:after="70" w:line="280"/>
      </w:pPr>
      <w:r>
        <w:t xml:space="preserve">Analyze historical retail sales and inventory data.</w:t>
      </w:r>
    </w:p>
    <w:p>
      <w:pPr>
        <w:pStyle w:val="ListParagraph"/>
        <w:numPr>
          <w:ilvl w:val="0"/>
          <w:numId w:val="3"/>
        </w:numPr>
        <w:spacing w:after="70" w:line="280"/>
      </w:pPr>
      <w:r>
        <w:t xml:space="preserve">Preprocess data and create machine-learning-ready features.</w:t>
      </w:r>
    </w:p>
    <w:p>
      <w:pPr>
        <w:pStyle w:val="ListParagraph"/>
        <w:numPr>
          <w:ilvl w:val="0"/>
          <w:numId w:val="3"/>
        </w:numPr>
        <w:spacing w:after="70" w:line="280"/>
      </w:pPr>
      <w:r>
        <w:t xml:space="preserve">Engineer calendar, lag, rolling, categorical, and inventory-related variables.</w:t>
      </w:r>
    </w:p>
    <w:p>
      <w:pPr>
        <w:pStyle w:val="ListParagraph"/>
        <w:numPr>
          <w:ilvl w:val="0"/>
          <w:numId w:val="3"/>
        </w:numPr>
        <w:spacing w:after="70" w:line="280"/>
      </w:pPr>
      <w:r>
        <w:t xml:space="preserve">Develop and evaluate demand forecasting models.</w:t>
      </w:r>
    </w:p>
    <w:p>
      <w:pPr>
        <w:pStyle w:val="ListParagraph"/>
        <w:numPr>
          <w:ilvl w:val="0"/>
          <w:numId w:val="3"/>
        </w:numPr>
        <w:spacing w:after="70" w:line="280"/>
      </w:pPr>
      <w:r>
        <w:t xml:space="preserve">Use XGBoost for short-term demand prediction.</w:t>
      </w:r>
    </w:p>
    <w:p>
      <w:pPr>
        <w:pStyle w:val="ListParagraph"/>
        <w:numPr>
          <w:ilvl w:val="0"/>
          <w:numId w:val="3"/>
        </w:numPr>
        <w:spacing w:after="70" w:line="280"/>
      </w:pPr>
      <w:r>
        <w:t xml:space="preserve">Generate recursive seven-day forecasts for multiple SKUs.</w:t>
      </w:r>
    </w:p>
    <w:p>
      <w:pPr>
        <w:pStyle w:val="ListParagraph"/>
        <w:numPr>
          <w:ilvl w:val="0"/>
          <w:numId w:val="3"/>
        </w:numPr>
        <w:spacing w:after="70" w:line="280"/>
      </w:pPr>
      <w:r>
        <w:t xml:space="preserve">Calculate safety stock, reorder point, stockout risk, and recommended order quantity.</w:t>
      </w:r>
    </w:p>
    <w:p>
      <w:pPr>
        <w:pStyle w:val="ListParagraph"/>
        <w:numPr>
          <w:ilvl w:val="0"/>
          <w:numId w:val="3"/>
        </w:numPr>
        <w:spacing w:after="70" w:line="280"/>
      </w:pPr>
      <w:r>
        <w:t xml:space="preserve">Simulate inventory movement using a defined lead time.</w:t>
      </w:r>
    </w:p>
    <w:p>
      <w:pPr>
        <w:pStyle w:val="ListParagraph"/>
        <w:numPr>
          <w:ilvl w:val="0"/>
          <w:numId w:val="3"/>
        </w:numPr>
        <w:spacing w:after="70" w:line="280"/>
      </w:pPr>
      <w:r>
        <w:t xml:space="preserve">Present results through an interactive Streamlit dashboard.</w:t>
      </w:r>
    </w:p>
    <w:p>
      <w:pPr>
        <w:pStyle w:val="Heading2"/>
      </w:pPr>
      <w:bookmarkStart w:name="_Toc0008" w:id="108"/>
      <w:r>
        <w:t xml:space="preserve">2.5 Scope of the Project</w:t>
      </w:r>
      <w:bookmarkEnd w:id="108"/>
    </w:p>
    <w:p>
      <w:pPr>
        <w:keepNext/>
        <w:spacing w:after="60" w:before="0" w:line="288"/>
      </w:pPr>
      <w:r>
        <w:t xml:space="preserve">The project covers:</w:t>
      </w:r>
    </w:p>
    <w:p>
      <w:pPr>
        <w:pStyle w:val="ListParagraph"/>
        <w:numPr>
          <w:ilvl w:val="0"/>
          <w:numId w:val="2"/>
        </w:numPr>
        <w:spacing w:after="70" w:line="280"/>
      </w:pPr>
      <w:r>
        <w:t xml:space="preserve">Historical retail demand and inventory analysis.</w:t>
      </w:r>
    </w:p>
    <w:p>
      <w:pPr>
        <w:pStyle w:val="ListParagraph"/>
        <w:numPr>
          <w:ilvl w:val="0"/>
          <w:numId w:val="2"/>
        </w:numPr>
        <w:spacing w:after="70" w:line="280"/>
      </w:pPr>
      <w:r>
        <w:t xml:space="preserve">Store–Product (SKU) level forecasting.</w:t>
      </w:r>
    </w:p>
    <w:p>
      <w:pPr>
        <w:pStyle w:val="ListParagraph"/>
        <w:numPr>
          <w:ilvl w:val="0"/>
          <w:numId w:val="2"/>
        </w:numPr>
        <w:spacing w:after="70" w:line="280"/>
      </w:pPr>
      <w:r>
        <w:t xml:space="preserve">Seven-day future demand forecasting.</w:t>
      </w:r>
    </w:p>
    <w:p>
      <w:pPr>
        <w:pStyle w:val="ListParagraph"/>
        <w:numPr>
          <w:ilvl w:val="0"/>
          <w:numId w:val="2"/>
        </w:numPr>
        <w:spacing w:after="70" w:line="280"/>
      </w:pPr>
      <w:r>
        <w:t xml:space="preserve">Inventory risk and reorder analysis.</w:t>
      </w:r>
    </w:p>
    <w:p>
      <w:pPr>
        <w:pStyle w:val="ListParagraph"/>
        <w:numPr>
          <w:ilvl w:val="0"/>
          <w:numId w:val="2"/>
        </w:numPr>
        <w:spacing w:after="70" w:line="280"/>
      </w:pPr>
      <w:r>
        <w:t xml:space="preserve">Scenario-based dynamic inventory simulation.</w:t>
      </w:r>
    </w:p>
    <w:p>
      <w:pPr>
        <w:pStyle w:val="ListParagraph"/>
        <w:numPr>
          <w:ilvl w:val="0"/>
          <w:numId w:val="2"/>
        </w:numPr>
        <w:spacing w:after="70" w:line="280"/>
      </w:pPr>
      <w:r>
        <w:t xml:space="preserve">Interactive dashboard and CSV output generation.</w:t>
      </w:r>
    </w:p>
    <w:p>
      <w:pPr>
        <w:keepNext/>
        <w:pBdr>
          <w:left w:val="single" w:color="64748B" w:sz="24" w:space="8"/>
        </w:pBdr>
        <w:shd w:fill="F1F5F9" w:color="auto" w:val="clear"/>
        <w:spacing w:after="40" w:before="60"/>
        <w:ind w:left="200" w:right="160"/>
      </w:pPr>
      <w:r>
        <w:rPr>
          <w:b/>
          <w:bCs/>
          <w:color w:val="64748B"/>
          <w:sz w:val="21"/>
          <w:szCs w:val="21"/>
        </w:rPr>
        <w:t xml:space="preserve">Out of scope</w:t>
      </w:r>
    </w:p>
    <w:p>
      <w:pPr>
        <w:pBdr>
          <w:left w:val="single" w:color="64748B" w:sz="24" w:space="8"/>
        </w:pBdr>
        <w:shd w:fill="F1F5F9" w:color="auto" w:val="clear"/>
        <w:spacing w:after="160" w:line="276"/>
        <w:ind w:left="200" w:right="160"/>
      </w:pPr>
      <w:r>
        <w:rPr>
          <w:color w:val="1E293B"/>
          <w:sz w:val="20"/>
          <w:szCs w:val="20"/>
        </w:rPr>
        <w:t xml:space="preserve">The current scope does not include live ERP integration, real purchase-order execution, or live external market feeds.</w:t>
      </w:r>
    </w:p>
    <w:p>
      <w:pPr>
        <w:pStyle w:val="Heading1"/>
        <w:pageBreakBefore/>
      </w:pPr>
      <w:bookmarkStart w:name="_Toc0009" w:id="109"/>
      <w:r>
        <w:t xml:space="preserve">3. System Analysis</w:t>
      </w:r>
      <w:bookmarkEnd w:id="109"/>
    </w:p>
    <w:p>
      <w:pPr>
        <w:pStyle w:val="Heading2"/>
      </w:pPr>
      <w:bookmarkStart w:name="_Toc0010" w:id="110"/>
      <w:r>
        <w:t xml:space="preserve">3.1 Existing System</w:t>
      </w:r>
      <w:bookmarkEnd w:id="110"/>
    </w:p>
    <w:p>
      <w:pPr>
        <w:spacing w:after="140" w:before="0" w:line="288"/>
      </w:pPr>
      <w:r>
        <w:t xml:space="preserve">Many basic inventory workflows rely on historical averages, spreadsheets, fixed reorder levels, or manually reviewed reports. Demand and inventory information may be analyzed separately, and risk identification can depend on manual thresholds and periodic review. Such approaches provide useful descriptive information but offer limited automated forecasting and scenario analysis.</w:t>
      </w:r>
    </w:p>
    <w:p>
      <w:pPr>
        <w:pStyle w:val="Heading2"/>
      </w:pPr>
      <w:bookmarkStart w:name="_Toc0011" w:id="111"/>
      <w:r>
        <w:t xml:space="preserve">3.2 Limitations of the Existing System</w:t>
      </w:r>
      <w:bookmarkEnd w:id="111"/>
    </w:p>
    <w:p>
      <w:pPr>
        <w:pStyle w:val="ListParagraph"/>
        <w:numPr>
          <w:ilvl w:val="0"/>
          <w:numId w:val="2"/>
        </w:numPr>
        <w:spacing w:after="70" w:line="280"/>
      </w:pPr>
      <w:r>
        <w:t xml:space="preserve">Limited ability to model complex demand patterns.</w:t>
      </w:r>
    </w:p>
    <w:p>
      <w:pPr>
        <w:pStyle w:val="ListParagraph"/>
        <w:numPr>
          <w:ilvl w:val="0"/>
          <w:numId w:val="2"/>
        </w:numPr>
        <w:spacing w:after="70" w:line="280"/>
      </w:pPr>
      <w:r>
        <w:t xml:space="preserve">Manual processes can be time-consuming and inconsistent.</w:t>
      </w:r>
    </w:p>
    <w:p>
      <w:pPr>
        <w:pStyle w:val="ListParagraph"/>
        <w:numPr>
          <w:ilvl w:val="0"/>
          <w:numId w:val="2"/>
        </w:numPr>
        <w:spacing w:after="70" w:line="280"/>
      </w:pPr>
      <w:r>
        <w:t xml:space="preserve">Fixed reorder levels may not adapt to changing demand.</w:t>
      </w:r>
    </w:p>
    <w:p>
      <w:pPr>
        <w:pStyle w:val="ListParagraph"/>
        <w:numPr>
          <w:ilvl w:val="0"/>
          <w:numId w:val="2"/>
        </w:numPr>
        <w:spacing w:after="70" w:line="280"/>
      </w:pPr>
      <w:r>
        <w:t xml:space="preserve">Potential stockout conditions may be detected late.</w:t>
      </w:r>
    </w:p>
    <w:p>
      <w:pPr>
        <w:pStyle w:val="ListParagraph"/>
        <w:numPr>
          <w:ilvl w:val="0"/>
          <w:numId w:val="2"/>
        </w:numPr>
        <w:spacing w:after="70" w:line="280"/>
      </w:pPr>
      <w:r>
        <w:t xml:space="preserve">Forecasting and inventory analysis may remain disconnected.</w:t>
      </w:r>
    </w:p>
    <w:p>
      <w:pPr>
        <w:pStyle w:val="ListParagraph"/>
        <w:numPr>
          <w:ilvl w:val="0"/>
          <w:numId w:val="2"/>
        </w:numPr>
        <w:spacing w:after="70" w:line="280"/>
      </w:pPr>
      <w:r>
        <w:t xml:space="preserve">Limited interactive visualization for SKU-level decision support.</w:t>
      </w:r>
    </w:p>
    <w:p>
      <w:pPr>
        <w:pStyle w:val="Heading2"/>
      </w:pPr>
      <w:bookmarkStart w:name="_Toc0012" w:id="112"/>
      <w:r>
        <w:t xml:space="preserve">3.3 Proposed System</w:t>
      </w:r>
      <w:bookmarkEnd w:id="112"/>
    </w:p>
    <w:p>
      <w:pPr>
        <w:keepNext/>
        <w:spacing w:after="60" w:before="0" w:line="288"/>
      </w:pPr>
      <w:r>
        <w:t xml:space="preserve">FORESIGHT integrates data preparation, feature engineering, machine learning, inventory intelligence, simulation, and visualization in a single workflow:</w:t>
      </w:r>
    </w:p>
    <w:p>
      <w:pPr>
        <w:pStyle w:val="ListParagraph"/>
        <w:numPr>
          <w:ilvl w:val="0"/>
          <w:numId w:val="2"/>
        </w:numPr>
        <w:spacing w:after="70" w:line="280"/>
      </w:pPr>
      <w:r>
        <w:t xml:space="preserve">Historical data is transformed into time-aware features and used to train and evaluate forecasting models.</w:t>
      </w:r>
    </w:p>
    <w:p>
      <w:pPr>
        <w:pStyle w:val="ListParagraph"/>
        <w:numPr>
          <w:ilvl w:val="0"/>
          <w:numId w:val="2"/>
        </w:numPr>
        <w:spacing w:after="70" w:line="280"/>
      </w:pPr>
      <w:r>
        <w:t xml:space="preserve">XGBoost generates recursive seven-day demand forecasts for 100 Store–Product combinations.</w:t>
      </w:r>
    </w:p>
    <w:p>
      <w:pPr>
        <w:pStyle w:val="ListParagraph"/>
        <w:numPr>
          <w:ilvl w:val="0"/>
          <w:numId w:val="2"/>
        </w:numPr>
        <w:spacing w:after="70" w:line="280"/>
      </w:pPr>
      <w:r>
        <w:t xml:space="preserve">Inventory rules use predicted demand and variability to calculate safety stock and reorder points.</w:t>
      </w:r>
    </w:p>
    <w:p>
      <w:pPr>
        <w:pStyle w:val="ListParagraph"/>
        <w:numPr>
          <w:ilvl w:val="0"/>
          <w:numId w:val="2"/>
        </w:numPr>
        <w:spacing w:after="70" w:line="280"/>
      </w:pPr>
      <w:r>
        <w:t xml:space="preserve">A dynamic simulation models inventory consumption and order arrivals using a three-day lead time.</w:t>
      </w:r>
    </w:p>
    <w:p>
      <w:pPr>
        <w:pStyle w:val="ListParagraph"/>
        <w:numPr>
          <w:ilvl w:val="0"/>
          <w:numId w:val="2"/>
        </w:numPr>
        <w:spacing w:after="70" w:line="280"/>
      </w:pPr>
      <w:r>
        <w:t xml:space="preserve">Streamlit provides an interactive dashboard for exploring the results.</w:t>
      </w:r>
    </w:p>
    <w:p>
      <w:pPr>
        <w:pStyle w:val="Heading2"/>
      </w:pPr>
      <w:bookmarkStart w:name="_Toc0013" w:id="113"/>
      <w:r>
        <w:t xml:space="preserve">3.4 Advantages of the Proposed System</w:t>
      </w:r>
      <w:bookmarkEnd w:id="113"/>
    </w:p>
    <w:p>
      <w:pPr>
        <w:pStyle w:val="ListParagraph"/>
        <w:numPr>
          <w:ilvl w:val="0"/>
          <w:numId w:val="2"/>
        </w:numPr>
        <w:spacing w:after="70" w:line="280"/>
      </w:pPr>
      <w:r>
        <w:t xml:space="preserve">Combines prediction and inventory analytics in one workflow.</w:t>
      </w:r>
    </w:p>
    <w:p>
      <w:pPr>
        <w:pStyle w:val="ListParagraph"/>
        <w:numPr>
          <w:ilvl w:val="0"/>
          <w:numId w:val="2"/>
        </w:numPr>
        <w:spacing w:after="70" w:line="280"/>
      </w:pPr>
      <w:r>
        <w:t xml:space="preserve">Supports SKU-level demand forecasting.</w:t>
      </w:r>
    </w:p>
    <w:p>
      <w:pPr>
        <w:pStyle w:val="ListParagraph"/>
        <w:numPr>
          <w:ilvl w:val="0"/>
          <w:numId w:val="2"/>
        </w:numPr>
        <w:spacing w:after="70" w:line="280"/>
      </w:pPr>
      <w:r>
        <w:t xml:space="preserve">Uses chronological evaluation to respect time ordering.</w:t>
      </w:r>
    </w:p>
    <w:p>
      <w:pPr>
        <w:pStyle w:val="ListParagraph"/>
        <w:numPr>
          <w:ilvl w:val="0"/>
          <w:numId w:val="2"/>
        </w:numPr>
        <w:spacing w:after="70" w:line="280"/>
      </w:pPr>
      <w:r>
        <w:t xml:space="preserve">Provides explicit risk and reorder indicators.</w:t>
      </w:r>
    </w:p>
    <w:p>
      <w:pPr>
        <w:pStyle w:val="ListParagraph"/>
        <w:numPr>
          <w:ilvl w:val="0"/>
          <w:numId w:val="2"/>
        </w:numPr>
        <w:spacing w:after="70" w:line="280"/>
      </w:pPr>
      <w:r>
        <w:t xml:space="preserve">Enables scenario-based inventory simulation.</w:t>
      </w:r>
    </w:p>
    <w:p>
      <w:pPr>
        <w:pStyle w:val="ListParagraph"/>
        <w:numPr>
          <w:ilvl w:val="0"/>
          <w:numId w:val="2"/>
        </w:numPr>
        <w:spacing w:after="70" w:line="280"/>
      </w:pPr>
      <w:r>
        <w:t xml:space="preserve">Makes outputs accessible through an interactive dashboard.</w:t>
      </w:r>
    </w:p>
    <w:p>
      <w:pPr>
        <w:pStyle w:val="ListParagraph"/>
        <w:numPr>
          <w:ilvl w:val="0"/>
          <w:numId w:val="2"/>
        </w:numPr>
        <w:spacing w:after="70" w:line="280"/>
      </w:pPr>
      <w:r>
        <w:t xml:space="preserve">Produces reusable CSV outputs for further analysis.</w:t>
      </w:r>
    </w:p>
    <w:p>
      <w:pPr>
        <w:pStyle w:val="Heading1"/>
        <w:pageBreakBefore/>
      </w:pPr>
      <w:bookmarkStart w:name="_Toc0014" w:id="114"/>
      <w:r>
        <w:t xml:space="preserve">4. Technology Stack and Requirements</w:t>
      </w:r>
      <w:bookmarkEnd w:id="114"/>
    </w:p>
    <w:p>
      <w:pPr>
        <w:pStyle w:val="Heading2"/>
      </w:pPr>
      <w:bookmarkStart w:name="_Toc0015" w:id="115"/>
      <w:r>
        <w:t xml:space="preserve">4.1 Technology Stack</w:t>
      </w:r>
      <w:bookmarkEnd w:id="115"/>
    </w:p>
    <w:p>
      <w:pPr>
        <w:pStyle w:val="Caption"/>
        <w:keepNext/>
        <w:spacing w:after="80" w:before="160"/>
        <w:jc w:val="left"/>
      </w:pPr>
      <w:r>
        <w:rPr>
          <w:b/>
          <w:bCs/>
        </w:rPr>
        <w:t xml:space="preserve">Table 1. </w:t>
      </w:r>
      <w:r>
        <w:t xml:space="preserve">Technologies used and their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blHeader/>
        </w:trPr>
        <w:tc>
          <w:tcPr>
            <w:tcW w:type="dxa" w:w="2300"/>
            <w:tcBorders>
              <w:top w:val="none" w:color="FFFFFF" w:sz="0"/>
              <w:left w:val="none" w:color="FFFFFF" w:sz="0"/>
              <w:bottom w:val="single" w:color="1E293B" w:sz="4"/>
              <w:right w:val="none" w:color="FFFFFF" w:sz="0"/>
            </w:tcBorders>
            <w:shd w:fill="1E293B" w:color="auto" w:val="clear"/>
            <w:tcMar>
              <w:top w:type="dxa" w:w="80"/>
              <w:left w:type="dxa" w:w="120"/>
              <w:bottom w:type="dxa" w:w="80"/>
              <w:right w:type="dxa" w:w="120"/>
            </w:tcMar>
            <w:vAlign w:val="center"/>
          </w:tcPr>
          <w:p>
            <w:pPr>
              <w:keepNext/>
              <w:spacing w:after="0" w:line="264"/>
            </w:pPr>
            <w:r>
              <w:rPr>
                <w:b/>
                <w:bCs/>
                <w:color w:val="FFFFFF"/>
                <w:sz w:val="20"/>
                <w:szCs w:val="20"/>
              </w:rPr>
              <w:t xml:space="preserve">Technology</w:t>
            </w:r>
          </w:p>
        </w:tc>
        <w:tc>
          <w:tcPr>
            <w:tcW w:type="dxa" w:w="6726"/>
            <w:tcBorders>
              <w:top w:val="none" w:color="FFFFFF" w:sz="0"/>
              <w:left w:val="none" w:color="FFFFFF" w:sz="0"/>
              <w:bottom w:val="single" w:color="1E293B" w:sz="4"/>
              <w:right w:val="none" w:color="FFFFFF" w:sz="0"/>
            </w:tcBorders>
            <w:shd w:fill="1E293B" w:color="auto" w:val="clear"/>
            <w:tcMar>
              <w:top w:type="dxa" w:w="80"/>
              <w:left w:type="dxa" w:w="120"/>
              <w:bottom w:type="dxa" w:w="80"/>
              <w:right w:type="dxa" w:w="120"/>
            </w:tcMar>
            <w:vAlign w:val="center"/>
          </w:tcPr>
          <w:p>
            <w:pPr>
              <w:keepNext/>
              <w:spacing w:after="0" w:line="264"/>
            </w:pPr>
            <w:r>
              <w:rPr>
                <w:b/>
                <w:bCs/>
                <w:color w:val="FFFFFF"/>
                <w:sz w:val="20"/>
                <w:szCs w:val="20"/>
              </w:rPr>
              <w:t xml:space="preserve">Role in the project</w:t>
            </w:r>
          </w:p>
        </w:tc>
      </w:tr>
      <w:tr>
        <w:trPr>
          <w:cantSplit/>
        </w:trPr>
        <w:tc>
          <w:tcPr>
            <w:tcW w:type="dxa" w:w="2300"/>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pPr>
            <w:r>
              <w:rPr>
                <w:b/>
                <w:bCs/>
                <w:sz w:val="20"/>
                <w:szCs w:val="20"/>
              </w:rPr>
              <w:t xml:space="preserve">Python</w:t>
            </w:r>
          </w:p>
        </w:tc>
        <w:tc>
          <w:tcPr>
            <w:tcW w:type="dxa" w:w="6726"/>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pPr>
            <w:r>
              <w:rPr>
                <w:b w:val="false"/>
                <w:bCs w:val="false"/>
                <w:sz w:val="20"/>
                <w:szCs w:val="20"/>
              </w:rPr>
              <w:t xml:space="preserve">Data processing, feature engineering, model development, and simulation</w:t>
            </w:r>
          </w:p>
        </w:tc>
      </w:tr>
      <w:tr>
        <w:trPr>
          <w:cantSplit/>
        </w:trPr>
        <w:tc>
          <w:tcPr>
            <w:tcW w:type="dxa" w:w="23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Next/>
              <w:spacing w:after="0" w:line="264"/>
            </w:pPr>
            <w:r>
              <w:rPr>
                <w:b/>
                <w:bCs/>
                <w:sz w:val="20"/>
                <w:szCs w:val="20"/>
              </w:rPr>
              <w:t xml:space="preserve">Pandas / NumPy</w:t>
            </w:r>
          </w:p>
        </w:tc>
        <w:tc>
          <w:tcPr>
            <w:tcW w:type="dxa" w:w="6726"/>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Next/>
              <w:spacing w:after="0" w:line="264"/>
            </w:pPr>
            <w:r>
              <w:rPr>
                <w:b w:val="false"/>
                <w:bCs w:val="false"/>
                <w:sz w:val="20"/>
                <w:szCs w:val="20"/>
              </w:rPr>
              <w:t xml:space="preserve">Data manipulation and numerical processing</w:t>
            </w:r>
          </w:p>
        </w:tc>
      </w:tr>
      <w:tr>
        <w:trPr>
          <w:cantSplit/>
        </w:trPr>
        <w:tc>
          <w:tcPr>
            <w:tcW w:type="dxa" w:w="2300"/>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pPr>
            <w:r>
              <w:rPr>
                <w:b/>
                <w:bCs/>
                <w:sz w:val="20"/>
                <w:szCs w:val="20"/>
              </w:rPr>
              <w:t xml:space="preserve">Scikit-learn</w:t>
            </w:r>
          </w:p>
        </w:tc>
        <w:tc>
          <w:tcPr>
            <w:tcW w:type="dxa" w:w="6726"/>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pPr>
            <w:r>
              <w:rPr>
                <w:b w:val="false"/>
                <w:bCs w:val="false"/>
                <w:sz w:val="20"/>
                <w:szCs w:val="20"/>
              </w:rPr>
              <w:t xml:space="preserve">Preprocessing, pipelines, evaluation, and the Random Forest baseline</w:t>
            </w:r>
          </w:p>
        </w:tc>
      </w:tr>
      <w:tr>
        <w:trPr>
          <w:cantSplit/>
        </w:trPr>
        <w:tc>
          <w:tcPr>
            <w:tcW w:type="dxa" w:w="23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Next/>
              <w:spacing w:after="0" w:line="264"/>
            </w:pPr>
            <w:r>
              <w:rPr>
                <w:b/>
                <w:bCs/>
                <w:sz w:val="20"/>
                <w:szCs w:val="20"/>
              </w:rPr>
              <w:t xml:space="preserve">XGBoost</w:t>
            </w:r>
          </w:p>
        </w:tc>
        <w:tc>
          <w:tcPr>
            <w:tcW w:type="dxa" w:w="6726"/>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Next/>
              <w:spacing w:after="0" w:line="264"/>
            </w:pPr>
            <w:r>
              <w:rPr>
                <w:b w:val="false"/>
                <w:bCs w:val="false"/>
                <w:sz w:val="20"/>
                <w:szCs w:val="20"/>
              </w:rPr>
              <w:t xml:space="preserve">Gradient-boosted regression for demand forecasting</w:t>
            </w:r>
          </w:p>
        </w:tc>
      </w:tr>
      <w:tr>
        <w:trPr>
          <w:cantSplit/>
        </w:trPr>
        <w:tc>
          <w:tcPr>
            <w:tcW w:type="dxa" w:w="2300"/>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pPr>
            <w:r>
              <w:rPr>
                <w:b/>
                <w:bCs/>
                <w:sz w:val="20"/>
                <w:szCs w:val="20"/>
              </w:rPr>
              <w:t xml:space="preserve">Joblib</w:t>
            </w:r>
          </w:p>
        </w:tc>
        <w:tc>
          <w:tcPr>
            <w:tcW w:type="dxa" w:w="6726"/>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pPr>
            <w:r>
              <w:rPr>
                <w:b w:val="false"/>
                <w:bCs w:val="false"/>
                <w:sz w:val="20"/>
                <w:szCs w:val="20"/>
              </w:rPr>
              <w:t xml:space="preserve">Model persistence and loading</w:t>
            </w:r>
          </w:p>
        </w:tc>
      </w:tr>
      <w:tr>
        <w:trPr>
          <w:cantSplit/>
        </w:trPr>
        <w:tc>
          <w:tcPr>
            <w:tcW w:type="dxa" w:w="23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Next/>
              <w:spacing w:after="0" w:line="264"/>
            </w:pPr>
            <w:r>
              <w:rPr>
                <w:b/>
                <w:bCs/>
                <w:sz w:val="20"/>
                <w:szCs w:val="20"/>
              </w:rPr>
              <w:t xml:space="preserve">Streamlit</w:t>
            </w:r>
          </w:p>
        </w:tc>
        <w:tc>
          <w:tcPr>
            <w:tcW w:type="dxa" w:w="6726"/>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Next/>
              <w:spacing w:after="0" w:line="264"/>
            </w:pPr>
            <w:r>
              <w:rPr>
                <w:b w:val="false"/>
                <w:bCs w:val="false"/>
                <w:sz w:val="20"/>
                <w:szCs w:val="20"/>
              </w:rPr>
              <w:t xml:space="preserve">Interactive analytical dashboard</w:t>
            </w:r>
          </w:p>
        </w:tc>
      </w:tr>
      <w:tr>
        <w:trPr>
          <w:cantSplit/>
        </w:trPr>
        <w:tc>
          <w:tcPr>
            <w:tcW w:type="dxa" w:w="2300"/>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pPr>
            <w:r>
              <w:rPr>
                <w:b/>
                <w:bCs/>
                <w:sz w:val="20"/>
                <w:szCs w:val="20"/>
              </w:rPr>
              <w:t xml:space="preserve">Plotly</w:t>
            </w:r>
          </w:p>
        </w:tc>
        <w:tc>
          <w:tcPr>
            <w:tcW w:type="dxa" w:w="6726"/>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pPr>
            <w:r>
              <w:rPr>
                <w:b w:val="false"/>
                <w:bCs w:val="false"/>
                <w:sz w:val="20"/>
                <w:szCs w:val="20"/>
              </w:rPr>
              <w:t xml:space="preserve">Interactive visualizations</w:t>
            </w:r>
          </w:p>
        </w:tc>
      </w:tr>
      <w:tr>
        <w:trPr>
          <w:cantSplit/>
        </w:trPr>
        <w:tc>
          <w:tcPr>
            <w:tcW w:type="dxa" w:w="23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Next w:val="false"/>
              <w:spacing w:after="0" w:line="264"/>
            </w:pPr>
            <w:r>
              <w:rPr>
                <w:b/>
                <w:bCs/>
                <w:sz w:val="20"/>
                <w:szCs w:val="20"/>
              </w:rPr>
              <w:t xml:space="preserve">Google Colab / GPU</w:t>
            </w:r>
          </w:p>
        </w:tc>
        <w:tc>
          <w:tcPr>
            <w:tcW w:type="dxa" w:w="6726"/>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Next w:val="false"/>
              <w:spacing w:after="0" w:line="264"/>
            </w:pPr>
            <w:r>
              <w:rPr>
                <w:b w:val="false"/>
                <w:bCs w:val="false"/>
                <w:sz w:val="20"/>
                <w:szCs w:val="20"/>
              </w:rPr>
              <w:t xml:space="preserve">Model experimentation and forecasting workflow</w:t>
            </w:r>
          </w:p>
        </w:tc>
      </w:tr>
    </w:tbl>
    <w:p>
      <w:pPr>
        <w:pStyle w:val="Heading2"/>
      </w:pPr>
      <w:bookmarkStart w:name="_Toc0016" w:id="116"/>
      <w:r>
        <w:t xml:space="preserve">4.2 System Requirements</w:t>
      </w:r>
      <w:bookmarkEnd w:id="116"/>
    </w:p>
    <w:p>
      <w:pPr>
        <w:pStyle w:val="Caption"/>
        <w:keepNext/>
        <w:spacing w:after="80" w:before="160"/>
        <w:jc w:val="left"/>
      </w:pPr>
      <w:r>
        <w:rPr>
          <w:b/>
          <w:bCs/>
        </w:rPr>
        <w:t xml:space="preserve">Table 2. </w:t>
      </w:r>
      <w:r>
        <w:t xml:space="preserve">Minimum and recommended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blHeader/>
        </w:trPr>
        <w:tc>
          <w:tcPr>
            <w:tcW w:type="dxa" w:w="2300"/>
            <w:tcBorders>
              <w:top w:val="none" w:color="FFFFFF" w:sz="0"/>
              <w:left w:val="none" w:color="FFFFFF" w:sz="0"/>
              <w:bottom w:val="single" w:color="1E293B" w:sz="4"/>
              <w:right w:val="none" w:color="FFFFFF" w:sz="0"/>
            </w:tcBorders>
            <w:shd w:fill="1E293B" w:color="auto" w:val="clear"/>
            <w:tcMar>
              <w:top w:type="dxa" w:w="80"/>
              <w:left w:type="dxa" w:w="120"/>
              <w:bottom w:type="dxa" w:w="80"/>
              <w:right w:type="dxa" w:w="120"/>
            </w:tcMar>
            <w:vAlign w:val="center"/>
          </w:tcPr>
          <w:p>
            <w:pPr>
              <w:keepNext/>
              <w:spacing w:after="0" w:line="264"/>
            </w:pPr>
            <w:r>
              <w:rPr>
                <w:b/>
                <w:bCs/>
                <w:color w:val="FFFFFF"/>
                <w:sz w:val="20"/>
                <w:szCs w:val="20"/>
              </w:rPr>
              <w:t xml:space="preserve">Requirement</w:t>
            </w:r>
          </w:p>
        </w:tc>
        <w:tc>
          <w:tcPr>
            <w:tcW w:type="dxa" w:w="6726"/>
            <w:tcBorders>
              <w:top w:val="none" w:color="FFFFFF" w:sz="0"/>
              <w:left w:val="none" w:color="FFFFFF" w:sz="0"/>
              <w:bottom w:val="single" w:color="1E293B" w:sz="4"/>
              <w:right w:val="none" w:color="FFFFFF" w:sz="0"/>
            </w:tcBorders>
            <w:shd w:fill="1E293B" w:color="auto" w:val="clear"/>
            <w:tcMar>
              <w:top w:type="dxa" w:w="80"/>
              <w:left w:type="dxa" w:w="120"/>
              <w:bottom w:type="dxa" w:w="80"/>
              <w:right w:type="dxa" w:w="120"/>
            </w:tcMar>
            <w:vAlign w:val="center"/>
          </w:tcPr>
          <w:p>
            <w:pPr>
              <w:keepNext/>
              <w:spacing w:after="0" w:line="264"/>
            </w:pPr>
            <w:r>
              <w:rPr>
                <w:b/>
                <w:bCs/>
                <w:color w:val="FFFFFF"/>
                <w:sz w:val="20"/>
                <w:szCs w:val="20"/>
              </w:rPr>
              <w:t xml:space="preserve">Specification</w:t>
            </w:r>
          </w:p>
        </w:tc>
      </w:tr>
      <w:tr>
        <w:trPr>
          <w:cantSplit/>
        </w:trPr>
        <w:tc>
          <w:tcPr>
            <w:tcW w:type="dxa" w:w="2300"/>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pPr>
            <w:r>
              <w:rPr>
                <w:b/>
                <w:bCs/>
                <w:sz w:val="20"/>
                <w:szCs w:val="20"/>
              </w:rPr>
              <w:t xml:space="preserve">Operating system</w:t>
            </w:r>
          </w:p>
        </w:tc>
        <w:tc>
          <w:tcPr>
            <w:tcW w:type="dxa" w:w="6726"/>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pPr>
            <w:r>
              <w:rPr>
                <w:b w:val="false"/>
                <w:bCs w:val="false"/>
                <w:sz w:val="20"/>
                <w:szCs w:val="20"/>
              </w:rPr>
              <w:t xml:space="preserve">Windows, Linux, or macOS</w:t>
            </w:r>
          </w:p>
        </w:tc>
      </w:tr>
      <w:tr>
        <w:trPr>
          <w:cantSplit/>
        </w:trPr>
        <w:tc>
          <w:tcPr>
            <w:tcW w:type="dxa" w:w="23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Next/>
              <w:spacing w:after="0" w:line="264"/>
            </w:pPr>
            <w:r>
              <w:rPr>
                <w:b/>
                <w:bCs/>
                <w:sz w:val="20"/>
                <w:szCs w:val="20"/>
              </w:rPr>
              <w:t xml:space="preserve">Python</w:t>
            </w:r>
          </w:p>
        </w:tc>
        <w:tc>
          <w:tcPr>
            <w:tcW w:type="dxa" w:w="6726"/>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Next/>
              <w:spacing w:after="0" w:line="264"/>
            </w:pPr>
            <w:r>
              <w:rPr>
                <w:b w:val="false"/>
                <w:bCs w:val="false"/>
                <w:sz w:val="20"/>
                <w:szCs w:val="20"/>
              </w:rPr>
              <w:t xml:space="preserve">Python 3.x environment</w:t>
            </w:r>
          </w:p>
        </w:tc>
      </w:tr>
      <w:tr>
        <w:trPr>
          <w:cantSplit/>
        </w:trPr>
        <w:tc>
          <w:tcPr>
            <w:tcW w:type="dxa" w:w="2300"/>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pPr>
            <w:r>
              <w:rPr>
                <w:b/>
                <w:bCs/>
                <w:sz w:val="20"/>
                <w:szCs w:val="20"/>
              </w:rPr>
              <w:t xml:space="preserve">Memory</w:t>
            </w:r>
          </w:p>
        </w:tc>
        <w:tc>
          <w:tcPr>
            <w:tcW w:type="dxa" w:w="6726"/>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pPr>
            <w:r>
              <w:rPr>
                <w:b w:val="false"/>
                <w:bCs w:val="false"/>
                <w:sz w:val="20"/>
                <w:szCs w:val="20"/>
              </w:rPr>
              <w:t xml:space="preserve">8 GB RAM or more recommended for comfortable data processing</w:t>
            </w:r>
          </w:p>
        </w:tc>
      </w:tr>
      <w:tr>
        <w:trPr>
          <w:cantSplit/>
        </w:trPr>
        <w:tc>
          <w:tcPr>
            <w:tcW w:type="dxa" w:w="23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Next/>
              <w:spacing w:after="0" w:line="264"/>
            </w:pPr>
            <w:r>
              <w:rPr>
                <w:b/>
                <w:bCs/>
                <w:sz w:val="20"/>
                <w:szCs w:val="20"/>
              </w:rPr>
              <w:t xml:space="preserve">Network</w:t>
            </w:r>
          </w:p>
        </w:tc>
        <w:tc>
          <w:tcPr>
            <w:tcW w:type="dxa" w:w="6726"/>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Next/>
              <w:spacing w:after="0" w:line="264"/>
            </w:pPr>
            <w:r>
              <w:rPr>
                <w:b w:val="false"/>
                <w:bCs w:val="false"/>
                <w:sz w:val="20"/>
                <w:szCs w:val="20"/>
              </w:rPr>
              <w:t xml:space="preserve">Internet connection for package installation and optional cloud execution</w:t>
            </w:r>
          </w:p>
        </w:tc>
      </w:tr>
      <w:tr>
        <w:trPr>
          <w:cantSplit/>
        </w:trPr>
        <w:tc>
          <w:tcPr>
            <w:tcW w:type="dxa" w:w="2300"/>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pPr>
            <w:r>
              <w:rPr>
                <w:b/>
                <w:bCs/>
                <w:sz w:val="20"/>
                <w:szCs w:val="20"/>
              </w:rPr>
              <w:t xml:space="preserve">Python libraries</w:t>
            </w:r>
          </w:p>
        </w:tc>
        <w:tc>
          <w:tcPr>
            <w:tcW w:type="dxa" w:w="6726"/>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pPr>
            <w:r>
              <w:rPr>
                <w:b w:val="false"/>
                <w:bCs w:val="false"/>
                <w:sz w:val="20"/>
                <w:szCs w:val="20"/>
              </w:rPr>
              <w:t xml:space="preserve">pandas, numpy, scikit-learn, xgboost, joblib, streamlit, plotly</w:t>
            </w:r>
          </w:p>
        </w:tc>
      </w:tr>
      <w:tr>
        <w:trPr>
          <w:cantSplit/>
        </w:trPr>
        <w:tc>
          <w:tcPr>
            <w:tcW w:type="dxa" w:w="23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Next w:val="false"/>
              <w:spacing w:after="0" w:line="264"/>
            </w:pPr>
            <w:r>
              <w:rPr>
                <w:b/>
                <w:bCs/>
                <w:sz w:val="20"/>
                <w:szCs w:val="20"/>
              </w:rPr>
              <w:t xml:space="preserve">Browser</w:t>
            </w:r>
          </w:p>
        </w:tc>
        <w:tc>
          <w:tcPr>
            <w:tcW w:type="dxa" w:w="6726"/>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Next w:val="false"/>
              <w:spacing w:after="0" w:line="264"/>
            </w:pPr>
            <w:r>
              <w:rPr>
                <w:b w:val="false"/>
                <w:bCs w:val="false"/>
                <w:sz w:val="20"/>
                <w:szCs w:val="20"/>
              </w:rPr>
              <w:t xml:space="preserve">Chrome, Edge, Firefox, or another modern browser for the dashboard</w:t>
            </w:r>
          </w:p>
        </w:tc>
      </w:tr>
    </w:tbl>
    <w:p>
      <w:pPr>
        <w:pStyle w:val="Heading1"/>
        <w:pageBreakBefore/>
      </w:pPr>
      <w:bookmarkStart w:name="_Toc0017" w:id="117"/>
      <w:r>
        <w:t xml:space="preserve">5. Dataset and Data Preparation</w:t>
      </w:r>
      <w:bookmarkEnd w:id="117"/>
    </w:p>
    <w:p>
      <w:pPr>
        <w:pStyle w:val="Heading2"/>
      </w:pPr>
      <w:bookmarkStart w:name="_Toc0018" w:id="118"/>
      <w:r>
        <w:t xml:space="preserve">5.1 Dataset Description</w:t>
      </w:r>
      <w:bookmarkEnd w:id="118"/>
    </w:p>
    <w:p>
      <w:pPr>
        <w:spacing w:after="140" w:before="0" w:line="288"/>
      </w:pPr>
      <w:r>
        <w:t xml:space="preserve">The project uses a retail store inventory dataset with daily records for every Store–Product combination. The target variable is </w:t>
      </w:r>
      <w:r>
        <w:rPr>
          <w:b/>
          <w:bCs/>
        </w:rPr>
        <w:t xml:space="preserve">Units Sold</w:t>
      </w:r>
      <w:r>
        <w:t xml:space="preserve">. Important business variables include inventory level, units ordered, price, discount, weather, holiday/promotion, competitor pricing, and seasonality.</w:t>
      </w:r>
    </w:p>
    <w:p>
      <w:pPr>
        <w:pStyle w:val="Caption"/>
        <w:keepNext/>
        <w:spacing w:after="80" w:before="160"/>
        <w:jc w:val="left"/>
      </w:pPr>
      <w:r>
        <w:rPr>
          <w:b/>
          <w:bCs/>
        </w:rPr>
        <w:t xml:space="preserve">Table 3. </w:t>
      </w:r>
      <w:r>
        <w:t xml:space="preserve">Dataset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6326"/>
      </w:tblGrid>
      <w:tr>
        <w:trPr>
          <w:cantSplit/>
        </w:trPr>
        <w:tc>
          <w:tcPr>
            <w:tcW w:type="dxa" w:w="2700"/>
            <w:tcBorders>
              <w:top w:val="none" w:color="FFFFFF" w:sz="0"/>
              <w:left w:val="none" w:color="FFFFFF" w:sz="0"/>
              <w:bottom w:val="single" w:color="CBD5E1" w:sz="4"/>
              <w:right w:val="none" w:color="FFFFFF" w:sz="0"/>
            </w:tcBorders>
            <w:shd w:fill="EFF4FF" w:color="auto" w:val="clear"/>
            <w:tcMar>
              <w:top w:type="dxa" w:w="80"/>
              <w:left w:type="dxa" w:w="120"/>
              <w:bottom w:type="dxa" w:w="80"/>
              <w:right w:type="dxa" w:w="120"/>
            </w:tcMar>
            <w:vAlign w:val="center"/>
          </w:tcPr>
          <w:p>
            <w:pPr>
              <w:keepNext/>
              <w:spacing w:after="0" w:line="264"/>
            </w:pPr>
            <w:r>
              <w:rPr>
                <w:b/>
                <w:bCs/>
                <w:color w:val="1E293B"/>
                <w:sz w:val="20"/>
                <w:szCs w:val="20"/>
              </w:rPr>
              <w:t xml:space="preserve">Records</w:t>
            </w:r>
          </w:p>
        </w:tc>
        <w:tc>
          <w:tcPr>
            <w:tcW w:type="dxa" w:w="6326"/>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pPr>
            <w:r>
              <w:rPr>
                <w:sz w:val="20"/>
                <w:szCs w:val="20"/>
              </w:rPr>
              <w:t xml:space="preserve">73,100 original records</w:t>
            </w:r>
          </w:p>
        </w:tc>
      </w:tr>
      <w:tr>
        <w:trPr>
          <w:cantSplit/>
        </w:trPr>
        <w:tc>
          <w:tcPr>
            <w:tcW w:type="dxa" w:w="2700"/>
            <w:tcBorders>
              <w:top w:val="none" w:color="FFFFFF" w:sz="0"/>
              <w:left w:val="none" w:color="FFFFFF" w:sz="0"/>
              <w:bottom w:val="single" w:color="CBD5E1" w:sz="4"/>
              <w:right w:val="none" w:color="FFFFFF" w:sz="0"/>
            </w:tcBorders>
            <w:shd w:fill="EFF4FF" w:color="auto" w:val="clear"/>
            <w:tcMar>
              <w:top w:type="dxa" w:w="80"/>
              <w:left w:type="dxa" w:w="120"/>
              <w:bottom w:type="dxa" w:w="80"/>
              <w:right w:type="dxa" w:w="120"/>
            </w:tcMar>
            <w:vAlign w:val="center"/>
          </w:tcPr>
          <w:p>
            <w:pPr>
              <w:keepNext/>
              <w:spacing w:after="0" w:line="264"/>
            </w:pPr>
            <w:r>
              <w:rPr>
                <w:b/>
                <w:bCs/>
                <w:color w:val="1E293B"/>
                <w:sz w:val="20"/>
                <w:szCs w:val="20"/>
              </w:rPr>
              <w:t xml:space="preserve">Variables</w:t>
            </w:r>
          </w:p>
        </w:tc>
        <w:tc>
          <w:tcPr>
            <w:tcW w:type="dxa" w:w="6326"/>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pPr>
            <w:r>
              <w:rPr>
                <w:sz w:val="20"/>
                <w:szCs w:val="20"/>
              </w:rPr>
              <w:t xml:space="preserve">15 columns</w:t>
            </w:r>
          </w:p>
        </w:tc>
      </w:tr>
      <w:tr>
        <w:trPr>
          <w:cantSplit/>
        </w:trPr>
        <w:tc>
          <w:tcPr>
            <w:tcW w:type="dxa" w:w="2700"/>
            <w:tcBorders>
              <w:top w:val="none" w:color="FFFFFF" w:sz="0"/>
              <w:left w:val="none" w:color="FFFFFF" w:sz="0"/>
              <w:bottom w:val="single" w:color="CBD5E1" w:sz="4"/>
              <w:right w:val="none" w:color="FFFFFF" w:sz="0"/>
            </w:tcBorders>
            <w:shd w:fill="EFF4FF" w:color="auto" w:val="clear"/>
            <w:tcMar>
              <w:top w:type="dxa" w:w="80"/>
              <w:left w:type="dxa" w:w="120"/>
              <w:bottom w:type="dxa" w:w="80"/>
              <w:right w:type="dxa" w:w="120"/>
            </w:tcMar>
            <w:vAlign w:val="center"/>
          </w:tcPr>
          <w:p>
            <w:pPr>
              <w:keepNext/>
              <w:spacing w:after="0" w:line="264"/>
            </w:pPr>
            <w:r>
              <w:rPr>
                <w:b/>
                <w:bCs/>
                <w:color w:val="1E293B"/>
                <w:sz w:val="20"/>
                <w:szCs w:val="20"/>
              </w:rPr>
              <w:t xml:space="preserve">Date range</w:t>
            </w:r>
          </w:p>
        </w:tc>
        <w:tc>
          <w:tcPr>
            <w:tcW w:type="dxa" w:w="6326"/>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pPr>
            <w:r>
              <w:rPr>
                <w:sz w:val="20"/>
                <w:szCs w:val="20"/>
              </w:rPr>
              <w:t xml:space="preserve">2022-01-01 to 2024-01-01</w:t>
            </w:r>
          </w:p>
        </w:tc>
      </w:tr>
      <w:tr>
        <w:trPr>
          <w:cantSplit/>
        </w:trPr>
        <w:tc>
          <w:tcPr>
            <w:tcW w:type="dxa" w:w="2700"/>
            <w:tcBorders>
              <w:top w:val="none" w:color="FFFFFF" w:sz="0"/>
              <w:left w:val="none" w:color="FFFFFF" w:sz="0"/>
              <w:bottom w:val="single" w:color="CBD5E1" w:sz="4"/>
              <w:right w:val="none" w:color="FFFFFF" w:sz="0"/>
            </w:tcBorders>
            <w:shd w:fill="EFF4FF" w:color="auto" w:val="clear"/>
            <w:tcMar>
              <w:top w:type="dxa" w:w="80"/>
              <w:left w:type="dxa" w:w="120"/>
              <w:bottom w:type="dxa" w:w="80"/>
              <w:right w:type="dxa" w:w="120"/>
            </w:tcMar>
            <w:vAlign w:val="center"/>
          </w:tcPr>
          <w:p>
            <w:pPr>
              <w:keepNext/>
              <w:spacing w:after="0" w:line="264"/>
            </w:pPr>
            <w:r>
              <w:rPr>
                <w:b/>
                <w:bCs/>
                <w:color w:val="1E293B"/>
                <w:sz w:val="20"/>
                <w:szCs w:val="20"/>
              </w:rPr>
              <w:t xml:space="preserve">Stores / products</w:t>
            </w:r>
          </w:p>
        </w:tc>
        <w:tc>
          <w:tcPr>
            <w:tcW w:type="dxa" w:w="6326"/>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pPr>
            <w:r>
              <w:rPr>
                <w:sz w:val="20"/>
                <w:szCs w:val="20"/>
              </w:rPr>
              <w:t xml:space="preserve">5 stores, 20 products, 100 Store–Product combinations</w:t>
            </w:r>
          </w:p>
        </w:tc>
      </w:tr>
      <w:tr>
        <w:trPr>
          <w:cantSplit/>
        </w:trPr>
        <w:tc>
          <w:tcPr>
            <w:tcW w:type="dxa" w:w="2700"/>
            <w:tcBorders>
              <w:top w:val="none" w:color="FFFFFF" w:sz="0"/>
              <w:left w:val="none" w:color="FFFFFF" w:sz="0"/>
              <w:bottom w:val="single" w:color="CBD5E1" w:sz="4"/>
              <w:right w:val="none" w:color="FFFFFF" w:sz="0"/>
            </w:tcBorders>
            <w:shd w:fill="EFF4FF" w:color="auto" w:val="clear"/>
            <w:tcMar>
              <w:top w:type="dxa" w:w="80"/>
              <w:left w:type="dxa" w:w="120"/>
              <w:bottom w:type="dxa" w:w="80"/>
              <w:right w:type="dxa" w:w="120"/>
            </w:tcMar>
            <w:vAlign w:val="center"/>
          </w:tcPr>
          <w:p>
            <w:pPr>
              <w:keepNext/>
              <w:spacing w:after="0" w:line="264"/>
            </w:pPr>
            <w:r>
              <w:rPr>
                <w:b/>
                <w:bCs/>
                <w:color w:val="1E293B"/>
                <w:sz w:val="20"/>
                <w:szCs w:val="20"/>
              </w:rPr>
              <w:t xml:space="preserve">Categories / regions</w:t>
            </w:r>
          </w:p>
        </w:tc>
        <w:tc>
          <w:tcPr>
            <w:tcW w:type="dxa" w:w="6326"/>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pPr>
            <w:r>
              <w:rPr>
                <w:sz w:val="20"/>
                <w:szCs w:val="20"/>
              </w:rPr>
              <w:t xml:space="preserve">5 categories, 4 regions</w:t>
            </w:r>
          </w:p>
        </w:tc>
      </w:tr>
      <w:tr>
        <w:trPr>
          <w:cantSplit/>
        </w:trPr>
        <w:tc>
          <w:tcPr>
            <w:tcW w:type="dxa" w:w="2700"/>
            <w:tcBorders>
              <w:top w:val="none" w:color="FFFFFF" w:sz="0"/>
              <w:left w:val="none" w:color="FFFFFF" w:sz="0"/>
              <w:bottom w:val="single" w:color="CBD5E1" w:sz="4"/>
              <w:right w:val="none" w:color="FFFFFF" w:sz="0"/>
            </w:tcBorders>
            <w:shd w:fill="EFF4FF" w:color="auto" w:val="clear"/>
            <w:tcMar>
              <w:top w:type="dxa" w:w="80"/>
              <w:left w:type="dxa" w:w="120"/>
              <w:bottom w:type="dxa" w:w="80"/>
              <w:right w:type="dxa" w:w="120"/>
            </w:tcMar>
            <w:vAlign w:val="center"/>
          </w:tcPr>
          <w:p>
            <w:pPr>
              <w:keepNext w:val="false"/>
              <w:spacing w:after="0" w:line="264"/>
            </w:pPr>
            <w:r>
              <w:rPr>
                <w:b/>
                <w:bCs/>
                <w:color w:val="1E293B"/>
                <w:sz w:val="20"/>
                <w:szCs w:val="20"/>
              </w:rPr>
              <w:t xml:space="preserve">Target variable</w:t>
            </w:r>
          </w:p>
        </w:tc>
        <w:tc>
          <w:tcPr>
            <w:tcW w:type="dxa" w:w="6326"/>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val="false"/>
              <w:spacing w:after="0" w:line="264"/>
            </w:pPr>
            <w:r>
              <w:rPr>
                <w:sz w:val="20"/>
                <w:szCs w:val="20"/>
              </w:rPr>
              <w:t xml:space="preserve">Units Sold</w:t>
            </w:r>
          </w:p>
        </w:tc>
      </w:tr>
    </w:tbl>
    <w:p>
      <w:pPr>
        <w:spacing w:after="160"/>
      </w:pPr>
    </w:p>
    <w:p>
      <w:pPr>
        <w:keepNext/>
        <w:pBdr>
          <w:left w:val="single" w:color="2563EB" w:sz="24" w:space="8"/>
        </w:pBdr>
        <w:shd w:fill="EFF4FF" w:color="auto" w:val="clear"/>
        <w:spacing w:after="40" w:before="60"/>
        <w:ind w:left="200" w:right="160"/>
      </w:pPr>
      <w:r>
        <w:rPr>
          <w:b/>
          <w:bCs/>
          <w:color w:val="2563EB"/>
          <w:sz w:val="21"/>
          <w:szCs w:val="21"/>
        </w:rPr>
        <w:t xml:space="preserve">Avoiding target leakage</w:t>
      </w:r>
    </w:p>
    <w:p>
      <w:pPr>
        <w:pBdr>
          <w:left w:val="single" w:color="2563EB" w:sz="24" w:space="8"/>
        </w:pBdr>
        <w:shd w:fill="EFF4FF" w:color="auto" w:val="clear"/>
        <w:spacing w:after="160" w:line="276"/>
        <w:ind w:left="200" w:right="160"/>
      </w:pPr>
      <w:r>
        <w:rPr>
          <w:color w:val="1E293B"/>
          <w:sz w:val="20"/>
          <w:szCs w:val="20"/>
        </w:rPr>
        <w:t xml:space="preserve">The original Demand Forecast field was excluded from the machine-learning features to avoid target leakage.</w:t>
      </w:r>
    </w:p>
    <w:p>
      <w:pPr>
        <w:pStyle w:val="Heading2"/>
      </w:pPr>
      <w:bookmarkStart w:name="_Toc0019" w:id="119"/>
      <w:r>
        <w:t xml:space="preserve">5.2 Data Preprocessing</w:t>
      </w:r>
      <w:bookmarkEnd w:id="119"/>
    </w:p>
    <w:p>
      <w:pPr>
        <w:pStyle w:val="ListParagraph"/>
        <w:numPr>
          <w:ilvl w:val="0"/>
          <w:numId w:val="2"/>
        </w:numPr>
        <w:spacing w:after="70" w:line="280"/>
      </w:pPr>
      <w:r>
        <w:t xml:space="preserve">Date values were converted into a consistent datetime format.</w:t>
      </w:r>
    </w:p>
    <w:p>
      <w:pPr>
        <w:pStyle w:val="ListParagraph"/>
        <w:numPr>
          <w:ilvl w:val="0"/>
          <w:numId w:val="2"/>
        </w:numPr>
        <w:spacing w:after="70" w:line="280"/>
      </w:pPr>
      <w:r>
        <w:t xml:space="preserve">Data was ordered by Store, Product, and Date before time-series feature generation.</w:t>
      </w:r>
    </w:p>
    <w:p>
      <w:pPr>
        <w:pStyle w:val="ListParagraph"/>
        <w:numPr>
          <w:ilvl w:val="0"/>
          <w:numId w:val="2"/>
        </w:numPr>
        <w:spacing w:after="70" w:line="280"/>
      </w:pPr>
      <w:r>
        <w:t xml:space="preserve">Lag and rolling calculations were performed at Store–Product level.</w:t>
      </w:r>
    </w:p>
    <w:p>
      <w:pPr>
        <w:pStyle w:val="ListParagraph"/>
        <w:numPr>
          <w:ilvl w:val="0"/>
          <w:numId w:val="2"/>
        </w:numPr>
        <w:spacing w:after="70" w:line="280"/>
      </w:pPr>
      <w:r>
        <w:t xml:space="preserve">Rows with unavailable initial lag/rolling values were removed.</w:t>
      </w:r>
    </w:p>
    <w:p>
      <w:pPr>
        <w:pStyle w:val="ListParagraph"/>
        <w:numPr>
          <w:ilvl w:val="0"/>
          <w:numId w:val="2"/>
        </w:numPr>
        <w:spacing w:after="70" w:line="280"/>
      </w:pPr>
      <w:r>
        <w:t xml:space="preserve">The resulting machine-learning dataset contained </w:t>
      </w:r>
      <w:r>
        <w:rPr>
          <w:b/>
          <w:bCs/>
        </w:rPr>
        <w:t xml:space="preserve">70,300 rows and 32 columns</w:t>
      </w:r>
      <w:r>
        <w:t xml:space="preserve">.</w:t>
      </w:r>
    </w:p>
    <w:p>
      <w:pPr>
        <w:pStyle w:val="ListParagraph"/>
        <w:numPr>
          <w:ilvl w:val="0"/>
          <w:numId w:val="2"/>
        </w:numPr>
        <w:spacing w:after="70" w:line="280"/>
      </w:pPr>
      <w:r>
        <w:t xml:space="preserve">Data-quality checks confirmed no duplicate Store–Product–Date records and correct daily sequencing.</w:t>
      </w:r>
    </w:p>
    <w:p>
      <w:pPr>
        <w:pStyle w:val="Heading2"/>
      </w:pPr>
      <w:bookmarkStart w:name="_Toc0020" w:id="120"/>
      <w:r>
        <w:t xml:space="preserve">5.3 Feature Engineering</w:t>
      </w:r>
      <w:bookmarkEnd w:id="120"/>
    </w:p>
    <w:p>
      <w:pPr>
        <w:spacing w:after="140" w:before="0" w:line="288"/>
      </w:pPr>
      <w:r>
        <w:t xml:space="preserve">Time-aware features give the model a memory of recent demand. Every lag and rolling value is calculated within a single Store–Product series, so no information from another SKU or from the future leaks into a prediction.</w:t>
      </w:r>
    </w:p>
    <w:p>
      <w:pPr>
        <w:pStyle w:val="Caption"/>
        <w:keepNext/>
        <w:spacing w:after="80" w:before="160"/>
        <w:jc w:val="left"/>
      </w:pPr>
      <w:r>
        <w:rPr>
          <w:b/>
          <w:bCs/>
        </w:rPr>
        <w:t xml:space="preserve">Table 4. </w:t>
      </w:r>
      <w:r>
        <w:t xml:space="preserve">Engineered features by group</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blHeader/>
        </w:trPr>
        <w:tc>
          <w:tcPr>
            <w:tcW w:type="dxa" w:w="2300"/>
            <w:tcBorders>
              <w:top w:val="none" w:color="FFFFFF" w:sz="0"/>
              <w:left w:val="none" w:color="FFFFFF" w:sz="0"/>
              <w:bottom w:val="single" w:color="1E293B" w:sz="4"/>
              <w:right w:val="none" w:color="FFFFFF" w:sz="0"/>
            </w:tcBorders>
            <w:shd w:fill="1E293B" w:color="auto" w:val="clear"/>
            <w:tcMar>
              <w:top w:type="dxa" w:w="80"/>
              <w:left w:type="dxa" w:w="120"/>
              <w:bottom w:type="dxa" w:w="80"/>
              <w:right w:type="dxa" w:w="120"/>
            </w:tcMar>
            <w:vAlign w:val="center"/>
          </w:tcPr>
          <w:p>
            <w:pPr>
              <w:keepNext/>
              <w:spacing w:after="0" w:line="264"/>
            </w:pPr>
            <w:r>
              <w:rPr>
                <w:b/>
                <w:bCs/>
                <w:color w:val="FFFFFF"/>
                <w:sz w:val="20"/>
                <w:szCs w:val="20"/>
              </w:rPr>
              <w:t xml:space="preserve">Feature group</w:t>
            </w:r>
          </w:p>
        </w:tc>
        <w:tc>
          <w:tcPr>
            <w:tcW w:type="dxa" w:w="6726"/>
            <w:tcBorders>
              <w:top w:val="none" w:color="FFFFFF" w:sz="0"/>
              <w:left w:val="none" w:color="FFFFFF" w:sz="0"/>
              <w:bottom w:val="single" w:color="1E293B" w:sz="4"/>
              <w:right w:val="none" w:color="FFFFFF" w:sz="0"/>
            </w:tcBorders>
            <w:shd w:fill="1E293B" w:color="auto" w:val="clear"/>
            <w:tcMar>
              <w:top w:type="dxa" w:w="80"/>
              <w:left w:type="dxa" w:w="120"/>
              <w:bottom w:type="dxa" w:w="80"/>
              <w:right w:type="dxa" w:w="120"/>
            </w:tcMar>
            <w:vAlign w:val="center"/>
          </w:tcPr>
          <w:p>
            <w:pPr>
              <w:keepNext/>
              <w:spacing w:after="0" w:line="264"/>
            </w:pPr>
            <w:r>
              <w:rPr>
                <w:b/>
                <w:bCs/>
                <w:color w:val="FFFFFF"/>
                <w:sz w:val="20"/>
                <w:szCs w:val="20"/>
              </w:rPr>
              <w:t xml:space="preserve">Features</w:t>
            </w:r>
          </w:p>
        </w:tc>
      </w:tr>
      <w:tr>
        <w:trPr>
          <w:cantSplit/>
        </w:trPr>
        <w:tc>
          <w:tcPr>
            <w:tcW w:type="dxa" w:w="2300"/>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pPr>
            <w:r>
              <w:rPr>
                <w:b/>
                <w:bCs/>
                <w:sz w:val="20"/>
                <w:szCs w:val="20"/>
              </w:rPr>
              <w:t xml:space="preserve">Calendar</w:t>
            </w:r>
          </w:p>
        </w:tc>
        <w:tc>
          <w:tcPr>
            <w:tcW w:type="dxa" w:w="6726"/>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pPr>
            <w:r>
              <w:rPr>
                <w:b w:val="false"/>
                <w:bCs w:val="false"/>
                <w:sz w:val="20"/>
                <w:szCs w:val="20"/>
              </w:rPr>
              <w:t xml:space="preserve">Year, Month, Day, DayOfWeek, WeekOfYear, Quarter, IsWeekend</w:t>
            </w:r>
          </w:p>
        </w:tc>
      </w:tr>
      <w:tr>
        <w:trPr>
          <w:cantSplit/>
        </w:trPr>
        <w:tc>
          <w:tcPr>
            <w:tcW w:type="dxa" w:w="23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Next/>
              <w:spacing w:after="0" w:line="264"/>
            </w:pPr>
            <w:r>
              <w:rPr>
                <w:b/>
                <w:bCs/>
                <w:sz w:val="20"/>
                <w:szCs w:val="20"/>
              </w:rPr>
              <w:t xml:space="preserve">Lag features</w:t>
            </w:r>
          </w:p>
        </w:tc>
        <w:tc>
          <w:tcPr>
            <w:tcW w:type="dxa" w:w="6726"/>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Next/>
              <w:spacing w:after="0" w:line="264"/>
            </w:pPr>
            <w:r>
              <w:rPr>
                <w:b w:val="false"/>
                <w:bCs w:val="false"/>
                <w:sz w:val="20"/>
                <w:szCs w:val="20"/>
              </w:rPr>
              <w:t xml:space="preserve">Lag_1, Lag_7, Lag_14, Lag_28</w:t>
            </w:r>
          </w:p>
        </w:tc>
      </w:tr>
      <w:tr>
        <w:trPr>
          <w:cantSplit/>
        </w:trPr>
        <w:tc>
          <w:tcPr>
            <w:tcW w:type="dxa" w:w="2300"/>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pPr>
            <w:r>
              <w:rPr>
                <w:b/>
                <w:bCs/>
                <w:sz w:val="20"/>
                <w:szCs w:val="20"/>
              </w:rPr>
              <w:t xml:space="preserve">Rolling demand statistics</w:t>
            </w:r>
          </w:p>
        </w:tc>
        <w:tc>
          <w:tcPr>
            <w:tcW w:type="dxa" w:w="6726"/>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pPr>
            <w:r>
              <w:rPr>
                <w:b w:val="false"/>
                <w:bCs w:val="false"/>
                <w:sz w:val="20"/>
                <w:szCs w:val="20"/>
              </w:rPr>
              <w:t xml:space="preserve">7-, 14-, and 28-day means; 7- and 28-day standard deviations</w:t>
            </w:r>
          </w:p>
        </w:tc>
      </w:tr>
      <w:tr>
        <w:trPr>
          <w:cantSplit/>
        </w:trPr>
        <w:tc>
          <w:tcPr>
            <w:tcW w:type="dxa" w:w="23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Next/>
              <w:spacing w:after="0" w:line="264"/>
            </w:pPr>
            <w:r>
              <w:rPr>
                <w:b/>
                <w:bCs/>
                <w:sz w:val="20"/>
                <w:szCs w:val="20"/>
              </w:rPr>
              <w:t xml:space="preserve">Inventory and order history</w:t>
            </w:r>
          </w:p>
        </w:tc>
        <w:tc>
          <w:tcPr>
            <w:tcW w:type="dxa" w:w="6726"/>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Next/>
              <w:spacing w:after="0" w:line="264"/>
            </w:pPr>
            <w:r>
              <w:rPr>
                <w:b w:val="false"/>
                <w:bCs w:val="false"/>
                <w:sz w:val="20"/>
                <w:szCs w:val="20"/>
              </w:rPr>
              <w:t xml:space="preserve">Inventory_Lag_1, Units_Ordered_Lag_1</w:t>
            </w:r>
          </w:p>
        </w:tc>
      </w:tr>
      <w:tr>
        <w:trPr>
          <w:cantSplit/>
        </w:trPr>
        <w:tc>
          <w:tcPr>
            <w:tcW w:type="dxa" w:w="2300"/>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val="false"/>
              <w:spacing w:after="0" w:line="264"/>
            </w:pPr>
            <w:r>
              <w:rPr>
                <w:b/>
                <w:bCs/>
                <w:sz w:val="20"/>
                <w:szCs w:val="20"/>
              </w:rPr>
              <w:t xml:space="preserve">Categorical variables</w:t>
            </w:r>
          </w:p>
        </w:tc>
        <w:tc>
          <w:tcPr>
            <w:tcW w:type="dxa" w:w="6726"/>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val="false"/>
              <w:spacing w:after="0" w:line="264"/>
            </w:pPr>
            <w:r>
              <w:rPr>
                <w:b w:val="false"/>
                <w:bCs w:val="false"/>
                <w:sz w:val="20"/>
                <w:szCs w:val="20"/>
              </w:rPr>
              <w:t xml:space="preserve">Store ID, Product ID, Category, Region</w:t>
            </w:r>
          </w:p>
        </w:tc>
      </w:tr>
    </w:tbl>
    <w:p>
      <w:pPr>
        <w:spacing w:after="120"/>
      </w:pPr>
    </w:p>
    <w:p>
      <w:pPr>
        <w:spacing w:after="140" w:before="0" w:line="288"/>
      </w:pPr>
      <w:r>
        <w:t xml:space="preserve">Feature engineering was audited, and the lag and rolling calculations matched the Store–Product grouping.</w:t>
      </w:r>
    </w:p>
    <w:p>
      <w:pPr>
        <w:pStyle w:val="Heading1"/>
        <w:pageBreakBefore/>
      </w:pPr>
      <w:bookmarkStart w:name="_Toc0021" w:id="121"/>
      <w:r>
        <w:t xml:space="preserve">6. Machine Learning Methodology</w:t>
      </w:r>
      <w:bookmarkEnd w:id="121"/>
    </w:p>
    <w:p>
      <w:pPr>
        <w:pStyle w:val="Heading2"/>
      </w:pPr>
      <w:bookmarkStart w:name="_Toc0022" w:id="122"/>
      <w:r>
        <w:t xml:space="preserve">6.1 Modelling Approach</w:t>
      </w:r>
      <w:bookmarkEnd w:id="122"/>
    </w:p>
    <w:p>
      <w:pPr>
        <w:pStyle w:val="ListParagraph"/>
        <w:numPr>
          <w:ilvl w:val="0"/>
          <w:numId w:val="2"/>
        </w:numPr>
        <w:spacing w:after="70" w:line="280"/>
      </w:pPr>
      <w:r>
        <w:rPr>
          <w:b/>
          <w:bCs/>
        </w:rPr>
        <w:t xml:space="preserve">Target:</w:t>
      </w:r>
      <w:r>
        <w:t xml:space="preserve"> Units Sold.</w:t>
      </w:r>
    </w:p>
    <w:p>
      <w:pPr>
        <w:pStyle w:val="ListParagraph"/>
        <w:numPr>
          <w:ilvl w:val="0"/>
          <w:numId w:val="2"/>
        </w:numPr>
        <w:spacing w:after="70" w:line="280"/>
      </w:pPr>
      <w:r>
        <w:rPr>
          <w:b/>
          <w:bCs/>
        </w:rPr>
        <w:t xml:space="preserve">Categorical variables</w:t>
      </w:r>
      <w:r>
        <w:t xml:space="preserve"> were one-hot encoded with an encoder configured to ignore unknown categories.</w:t>
      </w:r>
    </w:p>
    <w:p>
      <w:pPr>
        <w:pStyle w:val="ListParagraph"/>
        <w:numPr>
          <w:ilvl w:val="0"/>
          <w:numId w:val="2"/>
        </w:numPr>
        <w:spacing w:after="70" w:line="280"/>
      </w:pPr>
      <w:r>
        <w:rPr>
          <w:b/>
          <w:bCs/>
        </w:rPr>
        <w:t xml:space="preserve">Numerical features</w:t>
      </w:r>
      <w:r>
        <w:t xml:space="preserve"> were passed through the preprocessing pipeline unchanged.</w:t>
      </w:r>
    </w:p>
    <w:p>
      <w:pPr>
        <w:pStyle w:val="ListParagraph"/>
        <w:numPr>
          <w:ilvl w:val="0"/>
          <w:numId w:val="2"/>
        </w:numPr>
        <w:spacing w:after="70" w:line="280"/>
      </w:pPr>
      <w:r>
        <w:rPr>
          <w:b/>
          <w:bCs/>
        </w:rPr>
        <w:t xml:space="preserve">Models:</w:t>
      </w:r>
      <w:r>
        <w:t xml:space="preserve"> Random Forest as a baseline and XGBoost as the main forecasting model.</w:t>
      </w:r>
    </w:p>
    <w:p>
      <w:pPr>
        <w:pStyle w:val="Heading2"/>
      </w:pPr>
      <w:bookmarkStart w:name="_Toc0023" w:id="123"/>
      <w:r>
        <w:t xml:space="preserve">6.2 Chronological Train/Test Split</w:t>
      </w:r>
      <w:bookmarkEnd w:id="123"/>
    </w:p>
    <w:p>
      <w:pPr>
        <w:spacing w:after="140" w:before="0" w:line="288"/>
      </w:pPr>
      <w:r>
        <w:t xml:space="preserve">Because demand is a time series, the data was split by date rather than at random. Training uses the earlier 80% of dates and testing uses the most recent 20%, so evaluation reflects genuine forecasting of unseen future periods. The training set contains 56,200 rows (2022-01-29 to 2023-08-13) and the test set 14,100 rows (2023-08-14 to 2024-01-01).</w:t>
      </w:r>
    </w:p>
    <w:p>
      <w:pPr>
        <w:keepNext/>
        <w:spacing w:after="60" w:before="120"/>
        <w:jc w:val="center"/>
      </w:pPr>
      <w:r>
        <w:drawing>
          <wp:inline distT="0" distB="0" distL="0" distR="0">
            <wp:extent cx="5334000" cy="1209675"/>
            <wp:effectExtent t="0" r="0" b="0" l="0"/>
            <wp:docPr id="1" name="Chronological split date: 2023-08-14" descr="Chronological split date: 2023-08-14" title="Chronological split date: 2023-0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209675"/>
                    </a:xfrm>
                    <a:prstGeom prst="rect">
                      <a:avLst/>
                    </a:prstGeom>
                  </pic:spPr>
                </pic:pic>
              </a:graphicData>
            </a:graphic>
          </wp:inline>
        </w:drawing>
      </w:r>
    </w:p>
    <w:p>
      <w:pPr>
        <w:pStyle w:val="Caption"/>
      </w:pPr>
      <w:r>
        <w:rPr>
          <w:b/>
          <w:bCs/>
        </w:rPr>
        <w:t xml:space="preserve">Figure 1. </w:t>
      </w:r>
      <w:r>
        <w:t xml:space="preserve">Chronological split date: 2023-08-14</w:t>
      </w:r>
    </w:p>
    <w:p>
      <w:pPr>
        <w:pStyle w:val="Heading2"/>
      </w:pPr>
      <w:bookmarkStart w:name="_Toc0024" w:id="124"/>
      <w:r>
        <w:t xml:space="preserve">6.3 Random Forest Baseline</w:t>
      </w:r>
      <w:bookmarkEnd w:id="124"/>
    </w:p>
    <w:p>
      <w:pPr>
        <w:spacing w:after="140" w:before="0" w:line="288"/>
      </w:pPr>
      <w:r>
        <w:t xml:space="preserve">A RandomForestRegressor with 150 trees, a maximum depth of 20, and a minimum split size of 5 provided a reference point for evaluating the boosted-tree model. Its test results were MAE 89.44, RMSE 108.60, WAPE 65.73%, and SMAPE 72.24%.</w:t>
      </w:r>
    </w:p>
    <w:p>
      <w:pPr>
        <w:pStyle w:val="Heading2"/>
      </w:pPr>
      <w:bookmarkStart w:name="_Toc0025" w:id="125"/>
      <w:r>
        <w:t xml:space="preserve">6.4 XGBoost Model</w:t>
      </w:r>
      <w:bookmarkEnd w:id="125"/>
    </w:p>
    <w:p>
      <w:pPr>
        <w:keepNext/>
        <w:spacing w:after="140" w:before="0" w:line="288"/>
      </w:pPr>
      <w:r>
        <w:t xml:space="preserve">The main forecasting model is an XGBRegressor inside a scikit-learn pipeline. The trained pipeline was saved as xgboost_demand_model.pkl so that it can be reused without retraining.</w:t>
      </w:r>
    </w:p>
    <w:p>
      <w:pPr>
        <w:pStyle w:val="Caption"/>
        <w:keepNext/>
        <w:spacing w:after="80" w:before="160"/>
        <w:jc w:val="left"/>
      </w:pPr>
      <w:r>
        <w:rPr>
          <w:b/>
          <w:bCs/>
        </w:rPr>
        <w:t xml:space="preserve">Table 5. </w:t>
      </w:r>
      <w:r>
        <w:t xml:space="preserve">XGBoost hyperparameters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1213"/>
        <w:gridCol w:w="2500"/>
        <w:gridCol w:w="2813"/>
      </w:tblGrid>
      <w:tr>
        <w:trPr>
          <w:cantSplit/>
          <w:tblHeader/>
        </w:trPr>
        <w:tc>
          <w:tcPr>
            <w:tcW w:type="dxa" w:w="2500"/>
            <w:tcBorders>
              <w:top w:val="none" w:color="FFFFFF" w:sz="0"/>
              <w:left w:val="none" w:color="FFFFFF" w:sz="0"/>
              <w:bottom w:val="single" w:color="1E293B" w:sz="4"/>
              <w:right w:val="none" w:color="FFFFFF" w:sz="0"/>
            </w:tcBorders>
            <w:shd w:fill="1E293B" w:color="auto" w:val="clear"/>
            <w:tcMar>
              <w:top w:type="dxa" w:w="80"/>
              <w:left w:type="dxa" w:w="120"/>
              <w:bottom w:type="dxa" w:w="80"/>
              <w:right w:type="dxa" w:w="120"/>
            </w:tcMar>
            <w:vAlign w:val="center"/>
          </w:tcPr>
          <w:p>
            <w:pPr>
              <w:keepNext/>
              <w:spacing w:after="0" w:line="264"/>
            </w:pPr>
            <w:r>
              <w:rPr>
                <w:b/>
                <w:bCs/>
                <w:color w:val="FFFFFF"/>
                <w:sz w:val="20"/>
                <w:szCs w:val="20"/>
              </w:rPr>
              <w:t xml:space="preserve">Parameter</w:t>
            </w:r>
          </w:p>
        </w:tc>
        <w:tc>
          <w:tcPr>
            <w:tcW w:type="dxa" w:w="1213"/>
            <w:tcBorders>
              <w:top w:val="none" w:color="FFFFFF" w:sz="0"/>
              <w:left w:val="none" w:color="FFFFFF" w:sz="0"/>
              <w:bottom w:val="single" w:color="1E293B" w:sz="4"/>
              <w:right w:val="none" w:color="FFFFFF" w:sz="0"/>
            </w:tcBorders>
            <w:shd w:fill="1E293B" w:color="auto" w:val="clear"/>
            <w:tcMar>
              <w:top w:type="dxa" w:w="80"/>
              <w:left w:type="dxa" w:w="120"/>
              <w:bottom w:type="dxa" w:w="80"/>
              <w:right w:type="dxa" w:w="120"/>
            </w:tcMar>
            <w:vAlign w:val="center"/>
          </w:tcPr>
          <w:p>
            <w:pPr>
              <w:keepNext/>
              <w:spacing w:after="0" w:line="264"/>
              <w:jc w:val="center"/>
            </w:pPr>
            <w:r>
              <w:rPr>
                <w:b/>
                <w:bCs/>
                <w:color w:val="FFFFFF"/>
                <w:sz w:val="20"/>
                <w:szCs w:val="20"/>
              </w:rPr>
              <w:t xml:space="preserve">Value</w:t>
            </w:r>
          </w:p>
        </w:tc>
        <w:tc>
          <w:tcPr>
            <w:tcW w:type="dxa" w:w="2500"/>
            <w:tcBorders>
              <w:top w:val="none" w:color="FFFFFF" w:sz="0"/>
              <w:left w:val="none" w:color="FFFFFF" w:sz="0"/>
              <w:bottom w:val="single" w:color="1E293B" w:sz="4"/>
              <w:right w:val="none" w:color="FFFFFF" w:sz="0"/>
            </w:tcBorders>
            <w:shd w:fill="1E293B" w:color="auto" w:val="clear"/>
            <w:tcMar>
              <w:top w:type="dxa" w:w="80"/>
              <w:left w:type="dxa" w:w="120"/>
              <w:bottom w:type="dxa" w:w="80"/>
              <w:right w:type="dxa" w:w="120"/>
            </w:tcMar>
            <w:vAlign w:val="center"/>
          </w:tcPr>
          <w:p>
            <w:pPr>
              <w:keepNext/>
              <w:spacing w:after="0" w:line="264"/>
            </w:pPr>
            <w:r>
              <w:rPr>
                <w:b/>
                <w:bCs/>
                <w:color w:val="FFFFFF"/>
                <w:sz w:val="20"/>
                <w:szCs w:val="20"/>
              </w:rPr>
              <w:t xml:space="preserve">Parameter</w:t>
            </w:r>
          </w:p>
        </w:tc>
        <w:tc>
          <w:tcPr>
            <w:tcW w:type="dxa" w:w="2813"/>
            <w:tcBorders>
              <w:top w:val="none" w:color="FFFFFF" w:sz="0"/>
              <w:left w:val="none" w:color="FFFFFF" w:sz="0"/>
              <w:bottom w:val="single" w:color="1E293B" w:sz="4"/>
              <w:right w:val="none" w:color="FFFFFF" w:sz="0"/>
            </w:tcBorders>
            <w:shd w:fill="1E293B" w:color="auto" w:val="clear"/>
            <w:tcMar>
              <w:top w:type="dxa" w:w="80"/>
              <w:left w:type="dxa" w:w="120"/>
              <w:bottom w:type="dxa" w:w="80"/>
              <w:right w:type="dxa" w:w="120"/>
            </w:tcMar>
            <w:vAlign w:val="center"/>
          </w:tcPr>
          <w:p>
            <w:pPr>
              <w:keepNext/>
              <w:spacing w:after="0" w:line="264"/>
              <w:jc w:val="center"/>
            </w:pPr>
            <w:r>
              <w:rPr>
                <w:b/>
                <w:bCs/>
                <w:color w:val="FFFFFF"/>
                <w:sz w:val="20"/>
                <w:szCs w:val="20"/>
              </w:rPr>
              <w:t xml:space="preserve">Value</w:t>
            </w:r>
          </w:p>
        </w:tc>
      </w:tr>
      <w:tr>
        <w:trPr>
          <w:cantSplit/>
        </w:trPr>
        <w:tc>
          <w:tcPr>
            <w:tcW w:type="dxa" w:w="2500"/>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pPr>
            <w:r>
              <w:rPr>
                <w:b/>
                <w:bCs/>
                <w:sz w:val="20"/>
                <w:szCs w:val="20"/>
              </w:rPr>
              <w:t xml:space="preserve">Number of estimators</w:t>
            </w:r>
          </w:p>
        </w:tc>
        <w:tc>
          <w:tcPr>
            <w:tcW w:type="dxa" w:w="1213"/>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jc w:val="center"/>
            </w:pPr>
            <w:r>
              <w:rPr>
                <w:b w:val="false"/>
                <w:bCs w:val="false"/>
                <w:sz w:val="20"/>
                <w:szCs w:val="20"/>
              </w:rPr>
              <w:t xml:space="preserve">300</w:t>
            </w:r>
          </w:p>
        </w:tc>
        <w:tc>
          <w:tcPr>
            <w:tcW w:type="dxa" w:w="2500"/>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pPr>
            <w:r>
              <w:rPr>
                <w:b/>
                <w:bCs/>
                <w:sz w:val="20"/>
                <w:szCs w:val="20"/>
              </w:rPr>
              <w:t xml:space="preserve">Learning rate</w:t>
            </w:r>
          </w:p>
        </w:tc>
        <w:tc>
          <w:tcPr>
            <w:tcW w:type="dxa" w:w="2813"/>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jc w:val="center"/>
            </w:pPr>
            <w:r>
              <w:rPr>
                <w:b w:val="false"/>
                <w:bCs w:val="false"/>
                <w:sz w:val="20"/>
                <w:szCs w:val="20"/>
              </w:rPr>
              <w:t xml:space="preserve">0.05</w:t>
            </w:r>
          </w:p>
        </w:tc>
      </w:tr>
      <w:tr>
        <w:trPr>
          <w:cantSplit/>
        </w:trPr>
        <w:tc>
          <w:tcPr>
            <w:tcW w:type="dxa" w:w="25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Next/>
              <w:spacing w:after="0" w:line="264"/>
            </w:pPr>
            <w:r>
              <w:rPr>
                <w:b/>
                <w:bCs/>
                <w:sz w:val="20"/>
                <w:szCs w:val="20"/>
              </w:rPr>
              <w:t xml:space="preserve">Maximum depth</w:t>
            </w:r>
          </w:p>
        </w:tc>
        <w:tc>
          <w:tcPr>
            <w:tcW w:type="dxa" w:w="1213"/>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Next/>
              <w:spacing w:after="0" w:line="264"/>
              <w:jc w:val="center"/>
            </w:pPr>
            <w:r>
              <w:rPr>
                <w:b w:val="false"/>
                <w:bCs w:val="false"/>
                <w:sz w:val="20"/>
                <w:szCs w:val="20"/>
              </w:rPr>
              <w:t xml:space="preserve">6</w:t>
            </w:r>
          </w:p>
        </w:tc>
        <w:tc>
          <w:tcPr>
            <w:tcW w:type="dxa" w:w="25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Next/>
              <w:spacing w:after="0" w:line="264"/>
            </w:pPr>
            <w:r>
              <w:rPr>
                <w:b/>
                <w:bCs/>
                <w:sz w:val="20"/>
                <w:szCs w:val="20"/>
              </w:rPr>
              <w:t xml:space="preserve">Minimum child weight</w:t>
            </w:r>
          </w:p>
        </w:tc>
        <w:tc>
          <w:tcPr>
            <w:tcW w:type="dxa" w:w="2813"/>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Next/>
              <w:spacing w:after="0" w:line="264"/>
              <w:jc w:val="center"/>
            </w:pPr>
            <w:r>
              <w:rPr>
                <w:b w:val="false"/>
                <w:bCs w:val="false"/>
                <w:sz w:val="20"/>
                <w:szCs w:val="20"/>
              </w:rPr>
              <w:t xml:space="preserve">3</w:t>
            </w:r>
          </w:p>
        </w:tc>
      </w:tr>
      <w:tr>
        <w:trPr>
          <w:cantSplit/>
        </w:trPr>
        <w:tc>
          <w:tcPr>
            <w:tcW w:type="dxa" w:w="2500"/>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val="false"/>
              <w:spacing w:after="0" w:line="264"/>
            </w:pPr>
            <w:r>
              <w:rPr>
                <w:b/>
                <w:bCs/>
                <w:sz w:val="20"/>
                <w:szCs w:val="20"/>
              </w:rPr>
              <w:t xml:space="preserve">Row subsample</w:t>
            </w:r>
          </w:p>
        </w:tc>
        <w:tc>
          <w:tcPr>
            <w:tcW w:type="dxa" w:w="1213"/>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val="false"/>
              <w:spacing w:after="0" w:line="264"/>
              <w:jc w:val="center"/>
            </w:pPr>
            <w:r>
              <w:rPr>
                <w:b w:val="false"/>
                <w:bCs w:val="false"/>
                <w:sz w:val="20"/>
                <w:szCs w:val="20"/>
              </w:rPr>
              <w:t xml:space="preserve">0.8</w:t>
            </w:r>
          </w:p>
        </w:tc>
        <w:tc>
          <w:tcPr>
            <w:tcW w:type="dxa" w:w="2500"/>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val="false"/>
              <w:spacing w:after="0" w:line="264"/>
            </w:pPr>
            <w:r>
              <w:rPr>
                <w:b/>
                <w:bCs/>
                <w:sz w:val="20"/>
                <w:szCs w:val="20"/>
              </w:rPr>
              <w:t xml:space="preserve">Column sampling (per tree)</w:t>
            </w:r>
          </w:p>
        </w:tc>
        <w:tc>
          <w:tcPr>
            <w:tcW w:type="dxa" w:w="2813"/>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val="false"/>
              <w:spacing w:after="0" w:line="264"/>
              <w:jc w:val="center"/>
            </w:pPr>
            <w:r>
              <w:rPr>
                <w:b w:val="false"/>
                <w:bCs w:val="false"/>
                <w:sz w:val="20"/>
                <w:szCs w:val="20"/>
              </w:rPr>
              <w:t xml:space="preserve">0.8</w:t>
            </w:r>
          </w:p>
        </w:tc>
      </w:tr>
    </w:tbl>
    <w:p>
      <w:pPr>
        <w:spacing w:after="140" w:before="120" w:line="288"/>
      </w:pPr>
      <w:r>
        <w:t xml:space="preserve">The training objective is squared-error regression.</w:t>
      </w:r>
    </w:p>
    <w:p>
      <w:pPr>
        <w:pStyle w:val="Heading2"/>
      </w:pPr>
      <w:bookmarkStart w:name="_Toc0026" w:id="126"/>
      <w:r>
        <w:t xml:space="preserve">6.5 Model Evaluation</w:t>
      </w:r>
      <w:bookmarkEnd w:id="126"/>
    </w:p>
    <w:p>
      <w:pPr>
        <w:keepNext/>
        <w:spacing w:after="140" w:before="0" w:line="288"/>
      </w:pPr>
      <w:r>
        <w:t xml:space="preserve">Both tree-based models were evaluated on the held-out test period. The table also includes a naive reference that simply repeats the previous day's units sold, which any useful model should beat.</w:t>
      </w:r>
    </w:p>
    <w:p>
      <w:pPr>
        <w:pStyle w:val="Caption"/>
        <w:keepNext/>
        <w:spacing w:after="80" w:before="160"/>
        <w:jc w:val="left"/>
      </w:pPr>
      <w:r>
        <w:rPr>
          <w:b/>
          <w:bCs/>
        </w:rPr>
        <w:t xml:space="preserve">Table 6. </w:t>
      </w:r>
      <w:r>
        <w:t xml:space="preserve">Test-set performance (lower is better)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6"/>
        <w:gridCol w:w="1500"/>
        <w:gridCol w:w="1500"/>
        <w:gridCol w:w="1500"/>
        <w:gridCol w:w="1500"/>
      </w:tblGrid>
      <w:tr>
        <w:trPr>
          <w:cantSplit/>
          <w:tblHeader/>
        </w:trPr>
        <w:tc>
          <w:tcPr>
            <w:tcW w:type="dxa" w:w="3026"/>
            <w:tcBorders>
              <w:top w:val="none" w:color="FFFFFF" w:sz="0"/>
              <w:left w:val="none" w:color="FFFFFF" w:sz="0"/>
              <w:bottom w:val="single" w:color="1E293B" w:sz="4"/>
              <w:right w:val="none" w:color="FFFFFF" w:sz="0"/>
            </w:tcBorders>
            <w:shd w:fill="1E293B" w:color="auto" w:val="clear"/>
            <w:tcMar>
              <w:top w:type="dxa" w:w="80"/>
              <w:left w:type="dxa" w:w="120"/>
              <w:bottom w:type="dxa" w:w="80"/>
              <w:right w:type="dxa" w:w="120"/>
            </w:tcMar>
            <w:vAlign w:val="center"/>
          </w:tcPr>
          <w:p>
            <w:pPr>
              <w:keepNext/>
              <w:spacing w:after="0" w:line="264"/>
            </w:pPr>
            <w:r>
              <w:rPr>
                <w:b/>
                <w:bCs/>
                <w:color w:val="FFFFFF"/>
                <w:sz w:val="20"/>
                <w:szCs w:val="20"/>
              </w:rPr>
              <w:t xml:space="preserve">Model</w:t>
            </w:r>
          </w:p>
        </w:tc>
        <w:tc>
          <w:tcPr>
            <w:tcW w:type="dxa" w:w="1500"/>
            <w:tcBorders>
              <w:top w:val="none" w:color="FFFFFF" w:sz="0"/>
              <w:left w:val="none" w:color="FFFFFF" w:sz="0"/>
              <w:bottom w:val="single" w:color="1E293B" w:sz="4"/>
              <w:right w:val="none" w:color="FFFFFF" w:sz="0"/>
            </w:tcBorders>
            <w:shd w:fill="1E293B" w:color="auto" w:val="clear"/>
            <w:tcMar>
              <w:top w:type="dxa" w:w="80"/>
              <w:left w:type="dxa" w:w="120"/>
              <w:bottom w:type="dxa" w:w="80"/>
              <w:right w:type="dxa" w:w="120"/>
            </w:tcMar>
            <w:vAlign w:val="center"/>
          </w:tcPr>
          <w:p>
            <w:pPr>
              <w:keepNext/>
              <w:spacing w:after="0" w:line="264"/>
              <w:jc w:val="right"/>
            </w:pPr>
            <w:r>
              <w:rPr>
                <w:b/>
                <w:bCs/>
                <w:color w:val="FFFFFF"/>
                <w:sz w:val="20"/>
                <w:szCs w:val="20"/>
              </w:rPr>
              <w:t xml:space="preserve">MAE</w:t>
            </w:r>
          </w:p>
        </w:tc>
        <w:tc>
          <w:tcPr>
            <w:tcW w:type="dxa" w:w="1500"/>
            <w:tcBorders>
              <w:top w:val="none" w:color="FFFFFF" w:sz="0"/>
              <w:left w:val="none" w:color="FFFFFF" w:sz="0"/>
              <w:bottom w:val="single" w:color="1E293B" w:sz="4"/>
              <w:right w:val="none" w:color="FFFFFF" w:sz="0"/>
            </w:tcBorders>
            <w:shd w:fill="1E293B" w:color="auto" w:val="clear"/>
            <w:tcMar>
              <w:top w:type="dxa" w:w="80"/>
              <w:left w:type="dxa" w:w="120"/>
              <w:bottom w:type="dxa" w:w="80"/>
              <w:right w:type="dxa" w:w="120"/>
            </w:tcMar>
            <w:vAlign w:val="center"/>
          </w:tcPr>
          <w:p>
            <w:pPr>
              <w:keepNext/>
              <w:spacing w:after="0" w:line="264"/>
              <w:jc w:val="right"/>
            </w:pPr>
            <w:r>
              <w:rPr>
                <w:b/>
                <w:bCs/>
                <w:color w:val="FFFFFF"/>
                <w:sz w:val="20"/>
                <w:szCs w:val="20"/>
              </w:rPr>
              <w:t xml:space="preserve">RMSE</w:t>
            </w:r>
          </w:p>
        </w:tc>
        <w:tc>
          <w:tcPr>
            <w:tcW w:type="dxa" w:w="1500"/>
            <w:tcBorders>
              <w:top w:val="none" w:color="FFFFFF" w:sz="0"/>
              <w:left w:val="none" w:color="FFFFFF" w:sz="0"/>
              <w:bottom w:val="single" w:color="1E293B" w:sz="4"/>
              <w:right w:val="none" w:color="FFFFFF" w:sz="0"/>
            </w:tcBorders>
            <w:shd w:fill="1E293B" w:color="auto" w:val="clear"/>
            <w:tcMar>
              <w:top w:type="dxa" w:w="80"/>
              <w:left w:type="dxa" w:w="120"/>
              <w:bottom w:type="dxa" w:w="80"/>
              <w:right w:type="dxa" w:w="120"/>
            </w:tcMar>
            <w:vAlign w:val="center"/>
          </w:tcPr>
          <w:p>
            <w:pPr>
              <w:keepNext/>
              <w:spacing w:after="0" w:line="264"/>
              <w:jc w:val="right"/>
            </w:pPr>
            <w:r>
              <w:rPr>
                <w:b/>
                <w:bCs/>
                <w:color w:val="FFFFFF"/>
                <w:sz w:val="20"/>
                <w:szCs w:val="20"/>
              </w:rPr>
              <w:t xml:space="preserve">WAPE</w:t>
            </w:r>
          </w:p>
        </w:tc>
        <w:tc>
          <w:tcPr>
            <w:tcW w:type="dxa" w:w="1500"/>
            <w:tcBorders>
              <w:top w:val="none" w:color="FFFFFF" w:sz="0"/>
              <w:left w:val="none" w:color="FFFFFF" w:sz="0"/>
              <w:bottom w:val="single" w:color="1E293B" w:sz="4"/>
              <w:right w:val="none" w:color="FFFFFF" w:sz="0"/>
            </w:tcBorders>
            <w:shd w:fill="1E293B" w:color="auto" w:val="clear"/>
            <w:tcMar>
              <w:top w:type="dxa" w:w="80"/>
              <w:left w:type="dxa" w:w="120"/>
              <w:bottom w:type="dxa" w:w="80"/>
              <w:right w:type="dxa" w:w="120"/>
            </w:tcMar>
            <w:vAlign w:val="center"/>
          </w:tcPr>
          <w:p>
            <w:pPr>
              <w:keepNext/>
              <w:spacing w:after="0" w:line="264"/>
              <w:jc w:val="right"/>
            </w:pPr>
            <w:r>
              <w:rPr>
                <w:b/>
                <w:bCs/>
                <w:color w:val="FFFFFF"/>
                <w:sz w:val="20"/>
                <w:szCs w:val="20"/>
              </w:rPr>
              <w:t xml:space="preserve">SMAPE</w:t>
            </w:r>
          </w:p>
        </w:tc>
      </w:tr>
      <w:tr>
        <w:trPr>
          <w:cantSplit/>
        </w:trPr>
        <w:tc>
          <w:tcPr>
            <w:tcW w:type="dxa" w:w="3026"/>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pPr>
            <w:r>
              <w:rPr>
                <w:b/>
                <w:bCs/>
                <w:sz w:val="20"/>
                <w:szCs w:val="20"/>
              </w:rPr>
              <w:t xml:space="preserve">Naive forecast (previous day)*</w:t>
            </w:r>
          </w:p>
        </w:tc>
        <w:tc>
          <w:tcPr>
            <w:tcW w:type="dxa" w:w="1500"/>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jc w:val="right"/>
            </w:pPr>
            <w:r>
              <w:rPr>
                <w:b w:val="false"/>
                <w:bCs w:val="false"/>
                <w:sz w:val="20"/>
                <w:szCs w:val="20"/>
              </w:rPr>
              <w:t xml:space="preserve">119.66</w:t>
            </w:r>
          </w:p>
        </w:tc>
        <w:tc>
          <w:tcPr>
            <w:tcW w:type="dxa" w:w="1500"/>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jc w:val="right"/>
            </w:pPr>
            <w:r>
              <w:rPr>
                <w:b w:val="false"/>
                <w:bCs w:val="false"/>
                <w:sz w:val="20"/>
                <w:szCs w:val="20"/>
              </w:rPr>
              <w:t xml:space="preserve">153.30</w:t>
            </w:r>
          </w:p>
        </w:tc>
        <w:tc>
          <w:tcPr>
            <w:tcW w:type="dxa" w:w="1500"/>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jc w:val="right"/>
            </w:pPr>
            <w:r>
              <w:rPr>
                <w:b w:val="false"/>
                <w:bCs w:val="false"/>
                <w:sz w:val="20"/>
                <w:szCs w:val="20"/>
              </w:rPr>
              <w:t xml:space="preserve">87.94%</w:t>
            </w:r>
          </w:p>
        </w:tc>
        <w:tc>
          <w:tcPr>
            <w:tcW w:type="dxa" w:w="1500"/>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jc w:val="right"/>
            </w:pPr>
            <w:r>
              <w:rPr>
                <w:b w:val="false"/>
                <w:bCs w:val="false"/>
                <w:sz w:val="20"/>
                <w:szCs w:val="20"/>
              </w:rPr>
              <w:t xml:space="preserve">93.10%</w:t>
            </w:r>
          </w:p>
        </w:tc>
      </w:tr>
      <w:tr>
        <w:trPr>
          <w:cantSplit/>
        </w:trPr>
        <w:tc>
          <w:tcPr>
            <w:tcW w:type="dxa" w:w="3026"/>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Next/>
              <w:spacing w:after="0" w:line="264"/>
            </w:pPr>
            <w:r>
              <w:rPr>
                <w:b/>
                <w:bCs/>
                <w:sz w:val="20"/>
                <w:szCs w:val="20"/>
              </w:rPr>
              <w:t xml:space="preserve">Random Forest (baseline)</w:t>
            </w:r>
          </w:p>
        </w:tc>
        <w:tc>
          <w:tcPr>
            <w:tcW w:type="dxa" w:w="15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Next/>
              <w:spacing w:after="0" w:line="264"/>
              <w:jc w:val="right"/>
            </w:pPr>
            <w:r>
              <w:rPr>
                <w:b w:val="false"/>
                <w:bCs w:val="false"/>
                <w:sz w:val="20"/>
                <w:szCs w:val="20"/>
              </w:rPr>
              <w:t xml:space="preserve">89.44</w:t>
            </w:r>
          </w:p>
        </w:tc>
        <w:tc>
          <w:tcPr>
            <w:tcW w:type="dxa" w:w="15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Next/>
              <w:spacing w:after="0" w:line="264"/>
              <w:jc w:val="right"/>
            </w:pPr>
            <w:r>
              <w:rPr>
                <w:b w:val="false"/>
                <w:bCs w:val="false"/>
                <w:sz w:val="20"/>
                <w:szCs w:val="20"/>
              </w:rPr>
              <w:t xml:space="preserve">108.60</w:t>
            </w:r>
          </w:p>
        </w:tc>
        <w:tc>
          <w:tcPr>
            <w:tcW w:type="dxa" w:w="15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Next/>
              <w:spacing w:after="0" w:line="264"/>
              <w:jc w:val="right"/>
            </w:pPr>
            <w:r>
              <w:rPr>
                <w:b w:val="false"/>
                <w:bCs w:val="false"/>
                <w:sz w:val="20"/>
                <w:szCs w:val="20"/>
              </w:rPr>
              <w:t xml:space="preserve">65.73%</w:t>
            </w:r>
          </w:p>
        </w:tc>
        <w:tc>
          <w:tcPr>
            <w:tcW w:type="dxa" w:w="15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Next/>
              <w:spacing w:after="0" w:line="264"/>
              <w:jc w:val="right"/>
            </w:pPr>
            <w:r>
              <w:rPr>
                <w:b w:val="false"/>
                <w:bCs w:val="false"/>
                <w:sz w:val="20"/>
                <w:szCs w:val="20"/>
              </w:rPr>
              <w:t xml:space="preserve">72.24%</w:t>
            </w:r>
          </w:p>
        </w:tc>
      </w:tr>
      <w:tr>
        <w:trPr>
          <w:cantSplit/>
        </w:trPr>
        <w:tc>
          <w:tcPr>
            <w:tcW w:type="dxa" w:w="3026"/>
            <w:tcBorders>
              <w:top w:val="none" w:color="FFFFFF" w:sz="0"/>
              <w:left w:val="none" w:color="FFFFFF" w:sz="0"/>
              <w:bottom w:val="single" w:color="CBD5E1" w:sz="4"/>
              <w:right w:val="none" w:color="FFFFFF" w:sz="0"/>
            </w:tcBorders>
            <w:shd w:fill="DBEAFE" w:color="auto" w:val="clear"/>
            <w:tcMar>
              <w:top w:type="dxa" w:w="80"/>
              <w:left w:type="dxa" w:w="120"/>
              <w:bottom w:type="dxa" w:w="80"/>
              <w:right w:type="dxa" w:w="120"/>
            </w:tcMar>
            <w:vAlign w:val="center"/>
          </w:tcPr>
          <w:p>
            <w:pPr>
              <w:keepNext w:val="false"/>
              <w:spacing w:after="0" w:line="264"/>
            </w:pPr>
            <w:r>
              <w:rPr>
                <w:b/>
                <w:bCs/>
                <w:sz w:val="20"/>
                <w:szCs w:val="20"/>
              </w:rPr>
              <w:t xml:space="preserve">XGBoost (main model)</w:t>
            </w:r>
          </w:p>
        </w:tc>
        <w:tc>
          <w:tcPr>
            <w:tcW w:type="dxa" w:w="1500"/>
            <w:tcBorders>
              <w:top w:val="none" w:color="FFFFFF" w:sz="0"/>
              <w:left w:val="none" w:color="FFFFFF" w:sz="0"/>
              <w:bottom w:val="single" w:color="CBD5E1" w:sz="4"/>
              <w:right w:val="none" w:color="FFFFFF" w:sz="0"/>
            </w:tcBorders>
            <w:shd w:fill="DBEAFE" w:color="auto" w:val="clear"/>
            <w:tcMar>
              <w:top w:type="dxa" w:w="80"/>
              <w:left w:type="dxa" w:w="120"/>
              <w:bottom w:type="dxa" w:w="80"/>
              <w:right w:type="dxa" w:w="120"/>
            </w:tcMar>
            <w:vAlign w:val="center"/>
          </w:tcPr>
          <w:p>
            <w:pPr>
              <w:keepNext w:val="false"/>
              <w:spacing w:after="0" w:line="264"/>
              <w:jc w:val="right"/>
            </w:pPr>
            <w:r>
              <w:rPr>
                <w:b w:val="false"/>
                <w:bCs w:val="false"/>
                <w:sz w:val="20"/>
                <w:szCs w:val="20"/>
              </w:rPr>
              <w:t xml:space="preserve">89.21</w:t>
            </w:r>
          </w:p>
        </w:tc>
        <w:tc>
          <w:tcPr>
            <w:tcW w:type="dxa" w:w="1500"/>
            <w:tcBorders>
              <w:top w:val="none" w:color="FFFFFF" w:sz="0"/>
              <w:left w:val="none" w:color="FFFFFF" w:sz="0"/>
              <w:bottom w:val="single" w:color="CBD5E1" w:sz="4"/>
              <w:right w:val="none" w:color="FFFFFF" w:sz="0"/>
            </w:tcBorders>
            <w:shd w:fill="DBEAFE" w:color="auto" w:val="clear"/>
            <w:tcMar>
              <w:top w:type="dxa" w:w="80"/>
              <w:left w:type="dxa" w:w="120"/>
              <w:bottom w:type="dxa" w:w="80"/>
              <w:right w:type="dxa" w:w="120"/>
            </w:tcMar>
            <w:vAlign w:val="center"/>
          </w:tcPr>
          <w:p>
            <w:pPr>
              <w:keepNext w:val="false"/>
              <w:spacing w:after="0" w:line="264"/>
              <w:jc w:val="right"/>
            </w:pPr>
            <w:r>
              <w:rPr>
                <w:b w:val="false"/>
                <w:bCs w:val="false"/>
                <w:sz w:val="20"/>
                <w:szCs w:val="20"/>
              </w:rPr>
              <w:t xml:space="preserve">108.88</w:t>
            </w:r>
          </w:p>
        </w:tc>
        <w:tc>
          <w:tcPr>
            <w:tcW w:type="dxa" w:w="1500"/>
            <w:tcBorders>
              <w:top w:val="none" w:color="FFFFFF" w:sz="0"/>
              <w:left w:val="none" w:color="FFFFFF" w:sz="0"/>
              <w:bottom w:val="single" w:color="CBD5E1" w:sz="4"/>
              <w:right w:val="none" w:color="FFFFFF" w:sz="0"/>
            </w:tcBorders>
            <w:shd w:fill="DBEAFE" w:color="auto" w:val="clear"/>
            <w:tcMar>
              <w:top w:type="dxa" w:w="80"/>
              <w:left w:type="dxa" w:w="120"/>
              <w:bottom w:type="dxa" w:w="80"/>
              <w:right w:type="dxa" w:w="120"/>
            </w:tcMar>
            <w:vAlign w:val="center"/>
          </w:tcPr>
          <w:p>
            <w:pPr>
              <w:keepNext w:val="false"/>
              <w:spacing w:after="0" w:line="264"/>
              <w:jc w:val="right"/>
            </w:pPr>
            <w:r>
              <w:rPr>
                <w:b w:val="false"/>
                <w:bCs w:val="false"/>
                <w:sz w:val="20"/>
                <w:szCs w:val="20"/>
              </w:rPr>
              <w:t xml:space="preserve">65.56%</w:t>
            </w:r>
          </w:p>
        </w:tc>
        <w:tc>
          <w:tcPr>
            <w:tcW w:type="dxa" w:w="1500"/>
            <w:tcBorders>
              <w:top w:val="none" w:color="FFFFFF" w:sz="0"/>
              <w:left w:val="none" w:color="FFFFFF" w:sz="0"/>
              <w:bottom w:val="single" w:color="CBD5E1" w:sz="4"/>
              <w:right w:val="none" w:color="FFFFFF" w:sz="0"/>
            </w:tcBorders>
            <w:shd w:fill="DBEAFE" w:color="auto" w:val="clear"/>
            <w:tcMar>
              <w:top w:type="dxa" w:w="80"/>
              <w:left w:type="dxa" w:w="120"/>
              <w:bottom w:type="dxa" w:w="80"/>
              <w:right w:type="dxa" w:w="120"/>
            </w:tcMar>
            <w:vAlign w:val="center"/>
          </w:tcPr>
          <w:p>
            <w:pPr>
              <w:keepNext w:val="false"/>
              <w:spacing w:after="0" w:line="264"/>
              <w:jc w:val="right"/>
            </w:pPr>
            <w:r>
              <w:rPr>
                <w:b w:val="false"/>
                <w:bCs w:val="false"/>
                <w:sz w:val="20"/>
                <w:szCs w:val="20"/>
              </w:rPr>
              <w:t xml:space="preserve">72.19%</w:t>
            </w:r>
          </w:p>
        </w:tc>
      </w:tr>
    </w:tbl>
    <w:p>
      <w:pPr>
        <w:spacing w:after="160" w:before="60"/>
      </w:pPr>
      <w:r>
        <w:rPr>
          <w:i/>
          <w:iCs/>
          <w:color w:val="64748B"/>
          <w:sz w:val="18"/>
          <w:szCs w:val="18"/>
        </w:rPr>
        <w:t xml:space="preserve">* Naive reference computed on the same test period from the project notebook (Lag_1 as the prediction).</w:t>
      </w:r>
    </w:p>
    <w:p>
      <w:pPr>
        <w:keepNext/>
        <w:spacing w:after="60" w:before="120"/>
        <w:jc w:val="center"/>
      </w:pPr>
      <w:r>
        <w:drawing>
          <wp:inline distT="0" distB="0" distL="0" distR="0">
            <wp:extent cx="4095750" cy="2124075"/>
            <wp:effectExtent t="0" r="0" b="0" l="0"/>
            <wp:docPr id="1" name="MAE and RMSE by model on the test period" descr="MAE and RMSE by model on the test period" title="MAE and RMSE by model on the test peri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124075"/>
                    </a:xfrm>
                    <a:prstGeom prst="rect">
                      <a:avLst/>
                    </a:prstGeom>
                  </pic:spPr>
                </pic:pic>
              </a:graphicData>
            </a:graphic>
          </wp:inline>
        </w:drawing>
      </w:r>
    </w:p>
    <w:p>
      <w:pPr>
        <w:pStyle w:val="Caption"/>
      </w:pPr>
      <w:r>
        <w:rPr>
          <w:b/>
          <w:bCs/>
        </w:rPr>
        <w:t xml:space="preserve">Figure 2. </w:t>
      </w:r>
      <w:r>
        <w:t xml:space="preserve">MAE and RMSE by model on the test period</w:t>
      </w:r>
    </w:p>
    <w:p>
      <w:pPr>
        <w:spacing w:after="140" w:before="0" w:line="288"/>
      </w:pPr>
      <w:r>
        <w:t xml:space="preserve">Both machine-learning models reduce error by roughly 25% relative to the naive reference. XGBoost has the lowest MAE, WAPE, and SMAPE, while Random Forest has a marginally lower RMSE; the two models perform very similarly. XGBoost was retained as the main model and its saved pipeline drives the forecasting and dashboard workflow.</w:t>
      </w:r>
    </w:p>
    <w:p>
      <w:pPr>
        <w:keepNext/>
        <w:pBdr>
          <w:left w:val="single" w:color="2563EB" w:sz="24" w:space="8"/>
        </w:pBdr>
        <w:shd w:fill="EFF4FF" w:color="auto" w:val="clear"/>
        <w:spacing w:after="40" w:before="60"/>
        <w:ind w:left="200" w:right="160"/>
      </w:pPr>
      <w:r>
        <w:rPr>
          <w:b/>
          <w:bCs/>
          <w:color w:val="2563EB"/>
          <w:sz w:val="21"/>
          <w:szCs w:val="21"/>
        </w:rPr>
        <w:t xml:space="preserve">Choice of metrics</w:t>
      </w:r>
    </w:p>
    <w:p>
      <w:pPr>
        <w:pBdr>
          <w:left w:val="single" w:color="2563EB" w:sz="24" w:space="8"/>
        </w:pBdr>
        <w:shd w:fill="EFF4FF" w:color="auto" w:val="clear"/>
        <w:spacing w:after="160" w:line="276"/>
        <w:ind w:left="200" w:right="160"/>
      </w:pPr>
      <w:r>
        <w:rPr>
          <w:color w:val="1E293B"/>
          <w:sz w:val="20"/>
          <w:szCs w:val="20"/>
        </w:rPr>
        <w:t xml:space="preserve">MAPE was not treated as the primary metric because the dataset contains very small and near-zero actual demand values, which can make percentage error extremely unstable. WAPE and SMAPE are reported instead.</w:t>
      </w:r>
    </w:p>
    <w:p>
      <w:pPr>
        <w:spacing w:after="140" w:before="0" w:line="288"/>
      </w:pPr>
      <w:r>
        <w:t xml:space="preserve">Feature-engineering, leakage, chronological-split, and target-alignment audits were completed successfully.</w:t>
      </w:r>
    </w:p>
    <w:p>
      <w:pPr>
        <w:pStyle w:val="Heading1"/>
        <w:pageBreakBefore/>
      </w:pPr>
      <w:bookmarkStart w:name="_Toc0027" w:id="127"/>
      <w:r>
        <w:t xml:space="preserve">7. Demand Forecasting</w:t>
      </w:r>
      <w:bookmarkEnd w:id="127"/>
    </w:p>
    <w:p>
      <w:pPr>
        <w:spacing w:after="140" w:before="0" w:line="288"/>
      </w:pPr>
      <w:r>
        <w:t xml:space="preserve">The trained XGBoost pipeline was validated by loading the saved model and reproducing sample predictions. A recursive seven-day forecasting process was then implemented for every Store–Product combination.</w:t>
      </w:r>
    </w:p>
    <w:p>
      <w:pPr>
        <w:pStyle w:val="Heading2"/>
      </w:pPr>
      <w:bookmarkStart w:name="_Toc0028" w:id="128"/>
      <w:r>
        <w:t xml:space="preserve">7.1 Recursive Forecasting Process</w:t>
      </w:r>
      <w:bookmarkEnd w:id="128"/>
    </w:p>
    <w:p>
      <w:pPr>
        <w:keepNext/>
        <w:spacing w:after="60" w:before="0" w:line="288"/>
      </w:pPr>
      <w:r>
        <w:t xml:space="preserve">The model predicts one day ahead, so a multi-day forecast feeds each prediction back into the history used for the next day:</w:t>
      </w:r>
    </w:p>
    <w:p>
      <w:pPr>
        <w:pStyle w:val="ListParagraph"/>
        <w:numPr>
          <w:ilvl w:val="0"/>
          <w:numId w:val="4"/>
        </w:numPr>
        <w:spacing w:after="70" w:line="280"/>
      </w:pPr>
      <w:r>
        <w:t xml:space="preserve">Start from the most recent actual demand history of the Store–Product series.</w:t>
      </w:r>
    </w:p>
    <w:p>
      <w:pPr>
        <w:pStyle w:val="ListParagraph"/>
        <w:numPr>
          <w:ilvl w:val="0"/>
          <w:numId w:val="4"/>
        </w:numPr>
        <w:spacing w:after="70" w:line="280"/>
      </w:pPr>
      <w:r>
        <w:t xml:space="preserve">Build the calendar, lag, and rolling features for the next date.</w:t>
      </w:r>
    </w:p>
    <w:p>
      <w:pPr>
        <w:pStyle w:val="ListParagraph"/>
        <w:numPr>
          <w:ilvl w:val="0"/>
          <w:numId w:val="4"/>
        </w:numPr>
        <w:spacing w:after="70" w:line="280"/>
      </w:pPr>
      <w:r>
        <w:t xml:space="preserve">Predict that day's demand with the XGBoost pipeline.</w:t>
      </w:r>
    </w:p>
    <w:p>
      <w:pPr>
        <w:pStyle w:val="ListParagraph"/>
        <w:numPr>
          <w:ilvl w:val="0"/>
          <w:numId w:val="4"/>
        </w:numPr>
        <w:spacing w:after="70" w:line="280"/>
      </w:pPr>
      <w:r>
        <w:t xml:space="preserve">Append the prediction to the history and repeat for the following day, up to seven days.</w:t>
      </w:r>
    </w:p>
    <w:p>
      <w:pPr>
        <w:pStyle w:val="Heading2"/>
      </w:pPr>
      <w:bookmarkStart w:name="_Toc0029" w:id="129"/>
      <w:r>
        <w:t xml:space="preserve">7.2 Forecast Coverage and Validation</w:t>
      </w:r>
      <w:bookmarkEnd w:id="129"/>
    </w:p>
    <w:p>
      <w:pPr>
        <w:pStyle w:val="Caption"/>
        <w:keepNext/>
        <w:spacing w:after="80" w:before="160"/>
        <w:jc w:val="left"/>
      </w:pPr>
      <w:r>
        <w:rPr>
          <w:b/>
          <w:bCs/>
        </w:rPr>
        <w:t xml:space="preserve">Table 7. </w:t>
      </w:r>
      <w:r>
        <w:t xml:space="preserve">Forecast output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6326"/>
      </w:tblGrid>
      <w:tr>
        <w:trPr>
          <w:cantSplit/>
        </w:trPr>
        <w:tc>
          <w:tcPr>
            <w:tcW w:type="dxa" w:w="2700"/>
            <w:tcBorders>
              <w:top w:val="none" w:color="FFFFFF" w:sz="0"/>
              <w:left w:val="none" w:color="FFFFFF" w:sz="0"/>
              <w:bottom w:val="single" w:color="CBD5E1" w:sz="4"/>
              <w:right w:val="none" w:color="FFFFFF" w:sz="0"/>
            </w:tcBorders>
            <w:shd w:fill="EFF4FF" w:color="auto" w:val="clear"/>
            <w:tcMar>
              <w:top w:type="dxa" w:w="80"/>
              <w:left w:type="dxa" w:w="120"/>
              <w:bottom w:type="dxa" w:w="80"/>
              <w:right w:type="dxa" w:w="120"/>
            </w:tcMar>
            <w:vAlign w:val="center"/>
          </w:tcPr>
          <w:p>
            <w:pPr>
              <w:keepNext/>
              <w:spacing w:after="0" w:line="264"/>
            </w:pPr>
            <w:r>
              <w:rPr>
                <w:b/>
                <w:bCs/>
                <w:color w:val="1E293B"/>
                <w:sz w:val="20"/>
                <w:szCs w:val="20"/>
              </w:rPr>
              <w:t xml:space="preserve">Forecast period</w:t>
            </w:r>
          </w:p>
        </w:tc>
        <w:tc>
          <w:tcPr>
            <w:tcW w:type="dxa" w:w="6326"/>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pPr>
            <w:r>
              <w:rPr>
                <w:sz w:val="20"/>
                <w:szCs w:val="20"/>
              </w:rPr>
              <w:t xml:space="preserve">2024-01-02 to 2024-01-08</w:t>
            </w:r>
          </w:p>
        </w:tc>
      </w:tr>
      <w:tr>
        <w:trPr>
          <w:cantSplit/>
        </w:trPr>
        <w:tc>
          <w:tcPr>
            <w:tcW w:type="dxa" w:w="2700"/>
            <w:tcBorders>
              <w:top w:val="none" w:color="FFFFFF" w:sz="0"/>
              <w:left w:val="none" w:color="FFFFFF" w:sz="0"/>
              <w:bottom w:val="single" w:color="CBD5E1" w:sz="4"/>
              <w:right w:val="none" w:color="FFFFFF" w:sz="0"/>
            </w:tcBorders>
            <w:shd w:fill="EFF4FF" w:color="auto" w:val="clear"/>
            <w:tcMar>
              <w:top w:type="dxa" w:w="80"/>
              <w:left w:type="dxa" w:w="120"/>
              <w:bottom w:type="dxa" w:w="80"/>
              <w:right w:type="dxa" w:w="120"/>
            </w:tcMar>
            <w:vAlign w:val="center"/>
          </w:tcPr>
          <w:p>
            <w:pPr>
              <w:keepNext/>
              <w:spacing w:after="0" w:line="264"/>
            </w:pPr>
            <w:r>
              <w:rPr>
                <w:b/>
                <w:bCs/>
                <w:color w:val="1E293B"/>
                <w:sz w:val="20"/>
                <w:szCs w:val="20"/>
              </w:rPr>
              <w:t xml:space="preserve">Coverage</w:t>
            </w:r>
          </w:p>
        </w:tc>
        <w:tc>
          <w:tcPr>
            <w:tcW w:type="dxa" w:w="6326"/>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pPr>
            <w:r>
              <w:rPr>
                <w:sz w:val="20"/>
                <w:szCs w:val="20"/>
              </w:rPr>
              <w:t xml:space="preserve">100 Store–Product combinations × 7 days = 700 forecast records</w:t>
            </w:r>
          </w:p>
        </w:tc>
      </w:tr>
      <w:tr>
        <w:trPr>
          <w:cantSplit/>
        </w:trPr>
        <w:tc>
          <w:tcPr>
            <w:tcW w:type="dxa" w:w="2700"/>
            <w:tcBorders>
              <w:top w:val="none" w:color="FFFFFF" w:sz="0"/>
              <w:left w:val="none" w:color="FFFFFF" w:sz="0"/>
              <w:bottom w:val="single" w:color="CBD5E1" w:sz="4"/>
              <w:right w:val="none" w:color="FFFFFF" w:sz="0"/>
            </w:tcBorders>
            <w:shd w:fill="EFF4FF" w:color="auto" w:val="clear"/>
            <w:tcMar>
              <w:top w:type="dxa" w:w="80"/>
              <w:left w:type="dxa" w:w="120"/>
              <w:bottom w:type="dxa" w:w="80"/>
              <w:right w:type="dxa" w:w="120"/>
            </w:tcMar>
            <w:vAlign w:val="center"/>
          </w:tcPr>
          <w:p>
            <w:pPr>
              <w:keepNext/>
              <w:spacing w:after="0" w:line="264"/>
            </w:pPr>
            <w:r>
              <w:rPr>
                <w:b/>
                <w:bCs/>
                <w:color w:val="1E293B"/>
                <w:sz w:val="20"/>
                <w:szCs w:val="20"/>
              </w:rPr>
              <w:t xml:space="preserve">Feature updates</w:t>
            </w:r>
          </w:p>
        </w:tc>
        <w:tc>
          <w:tcPr>
            <w:tcW w:type="dxa" w:w="6326"/>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pPr>
            <w:r>
              <w:rPr>
                <w:sz w:val="20"/>
                <w:szCs w:val="20"/>
              </w:rPr>
              <w:t xml:space="preserve">Future lag and rolling features are updated recursively from previous actual and predicted demand values</w:t>
            </w:r>
          </w:p>
        </w:tc>
      </w:tr>
      <w:tr>
        <w:trPr>
          <w:cantSplit/>
        </w:trPr>
        <w:tc>
          <w:tcPr>
            <w:tcW w:type="dxa" w:w="2700"/>
            <w:tcBorders>
              <w:top w:val="none" w:color="FFFFFF" w:sz="0"/>
              <w:left w:val="none" w:color="FFFFFF" w:sz="0"/>
              <w:bottom w:val="single" w:color="CBD5E1" w:sz="4"/>
              <w:right w:val="none" w:color="FFFFFF" w:sz="0"/>
            </w:tcBorders>
            <w:shd w:fill="EFF4FF" w:color="auto" w:val="clear"/>
            <w:tcMar>
              <w:top w:type="dxa" w:w="80"/>
              <w:left w:type="dxa" w:w="120"/>
              <w:bottom w:type="dxa" w:w="80"/>
              <w:right w:type="dxa" w:w="120"/>
            </w:tcMar>
            <w:vAlign w:val="center"/>
          </w:tcPr>
          <w:p>
            <w:pPr>
              <w:keepNext w:val="false"/>
              <w:spacing w:after="0" w:line="264"/>
            </w:pPr>
            <w:r>
              <w:rPr>
                <w:b/>
                <w:bCs/>
                <w:color w:val="1E293B"/>
                <w:sz w:val="20"/>
                <w:szCs w:val="20"/>
              </w:rPr>
              <w:t xml:space="preserve">Validation</w:t>
            </w:r>
          </w:p>
        </w:tc>
        <w:tc>
          <w:tcPr>
            <w:tcW w:type="dxa" w:w="6326"/>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val="false"/>
              <w:spacing w:after="0" w:line="264"/>
            </w:pPr>
            <w:r>
              <w:rPr>
                <w:sz w:val="20"/>
                <w:szCs w:val="20"/>
              </w:rPr>
              <w:t xml:space="preserve">Predictions were checked for missing and negative values</w:t>
            </w:r>
          </w:p>
        </w:tc>
      </w:tr>
    </w:tbl>
    <w:p>
      <w:pPr>
        <w:spacing w:after="160"/>
      </w:pPr>
    </w:p>
    <w:p>
      <w:pPr>
        <w:keepNext/>
        <w:pBdr>
          <w:left w:val="single" w:color="64748B" w:sz="24" w:space="8"/>
        </w:pBdr>
        <w:shd w:fill="F1F5F9" w:color="auto" w:val="clear"/>
        <w:spacing w:after="40" w:before="60"/>
        <w:ind w:left="200" w:right="160"/>
      </w:pPr>
      <w:r>
        <w:rPr>
          <w:b/>
          <w:bCs/>
          <w:color w:val="64748B"/>
          <w:sz w:val="21"/>
          <w:szCs w:val="21"/>
        </w:rPr>
        <w:t xml:space="preserve">Recursive forecast accuracy</w:t>
      </w:r>
    </w:p>
    <w:p>
      <w:pPr>
        <w:pBdr>
          <w:left w:val="single" w:color="64748B" w:sz="24" w:space="8"/>
        </w:pBdr>
        <w:shd w:fill="F1F5F9" w:color="auto" w:val="clear"/>
        <w:spacing w:after="160" w:line="276"/>
        <w:ind w:left="200" w:right="160"/>
      </w:pPr>
      <w:r>
        <w:rPr>
          <w:color w:val="1E293B"/>
          <w:sz w:val="20"/>
          <w:szCs w:val="20"/>
        </w:rPr>
        <w:t xml:space="preserve">Each predicted day becomes an input to the next, so uncertainty accumulates with the forecast horizon. This is why the horizon is kept short (seven days).</w:t>
      </w:r>
    </w:p>
    <w:p>
      <w:pPr>
        <w:pStyle w:val="Heading1"/>
        <w:pageBreakBefore/>
      </w:pPr>
      <w:bookmarkStart w:name="_Toc0030" w:id="130"/>
      <w:r>
        <w:t xml:space="preserve">8. Inventory Intelligence and Simulation</w:t>
      </w:r>
      <w:bookmarkEnd w:id="130"/>
    </w:p>
    <w:p>
      <w:pPr>
        <w:pStyle w:val="Heading2"/>
      </w:pPr>
      <w:bookmarkStart w:name="_Toc0031" w:id="131"/>
      <w:r>
        <w:t xml:space="preserve">8.1 Inventory Intelligence Layer</w:t>
      </w:r>
      <w:bookmarkEnd w:id="131"/>
    </w:p>
    <w:p>
      <w:pPr>
        <w:keepNext/>
        <w:spacing w:after="60" w:before="0" w:line="288"/>
      </w:pPr>
      <w:r>
        <w:t xml:space="preserve">Predicted demand is combined with recent demand statistics and inventory information to produce operationally interpretable indicators:</w:t>
      </w:r>
    </w:p>
    <w:p>
      <w:pPr>
        <w:pStyle w:val="ListParagraph"/>
        <w:numPr>
          <w:ilvl w:val="0"/>
          <w:numId w:val="2"/>
        </w:numPr>
        <w:spacing w:after="70" w:line="280"/>
      </w:pPr>
      <w:r>
        <w:rPr>
          <w:b/>
          <w:bCs/>
        </w:rPr>
        <w:t xml:space="preserve">Demand trend</w:t>
      </w:r>
      <w:r>
        <w:t xml:space="preserve"> is classified as Increasing, Stable, or Decreasing by comparing the forecast with the recent 7-day average (a change of more than 10% in either direction).</w:t>
      </w:r>
    </w:p>
    <w:p>
      <w:pPr>
        <w:pStyle w:val="ListParagraph"/>
        <w:numPr>
          <w:ilvl w:val="0"/>
          <w:numId w:val="2"/>
        </w:numPr>
        <w:spacing w:after="70" w:line="280"/>
      </w:pPr>
      <w:r>
        <w:rPr>
          <w:b/>
          <w:bCs/>
        </w:rPr>
        <w:t xml:space="preserve">Demand variability</w:t>
      </w:r>
      <w:r>
        <w:t xml:space="preserve"> is represented by the rolling standard deviation of demand.</w:t>
      </w:r>
    </w:p>
    <w:p>
      <w:pPr>
        <w:pStyle w:val="ListParagraph"/>
        <w:numPr>
          <w:ilvl w:val="0"/>
          <w:numId w:val="2"/>
        </w:numPr>
        <w:spacing w:after="70" w:line="280"/>
      </w:pPr>
      <w:r>
        <w:rPr>
          <w:b/>
          <w:bCs/>
        </w:rPr>
        <w:t xml:space="preserve">Inventory coverage</w:t>
      </w:r>
      <w:r>
        <w:t xml:space="preserve"> is estimated from inventory relative to predicted demand.</w:t>
      </w:r>
    </w:p>
    <w:p>
      <w:pPr>
        <w:pStyle w:val="ListParagraph"/>
        <w:numPr>
          <w:ilvl w:val="0"/>
          <w:numId w:val="2"/>
        </w:numPr>
        <w:spacing w:after="70" w:line="280"/>
      </w:pPr>
      <w:r>
        <w:rPr>
          <w:b/>
          <w:bCs/>
        </w:rPr>
        <w:t xml:space="preserve">Stockout and reorder indicators</w:t>
      </w:r>
      <w:r>
        <w:t xml:space="preserve"> convert model output into decisions.</w:t>
      </w:r>
    </w:p>
    <w:p>
      <w:pPr>
        <w:pStyle w:val="Heading2"/>
      </w:pPr>
      <w:bookmarkStart w:name="_Toc0032" w:id="132"/>
      <w:r>
        <w:t xml:space="preserve">8.2 Safety Stock and Reorder Point</w:t>
      </w:r>
      <w:bookmarkEnd w:id="132"/>
    </w:p>
    <w:p>
      <w:pPr>
        <w:keepNext/>
        <w:pBdr>
          <w:left w:val="single" w:color="7C3AED" w:sz="24" w:space="8"/>
        </w:pBdr>
        <w:shd w:fill="F5F3FF" w:color="auto" w:val="clear"/>
        <w:spacing w:after="20" w:before="80"/>
        <w:ind w:left="200" w:right="160"/>
      </w:pPr>
      <w:r>
        <w:rPr>
          <w:b/>
          <w:bCs/>
          <w:color w:val="7C3AED"/>
          <w:sz w:val="20"/>
          <w:szCs w:val="20"/>
        </w:rPr>
        <w:t xml:space="preserve">Safety Stock</w:t>
      </w:r>
    </w:p>
    <w:p>
      <w:pPr>
        <w:pBdr>
          <w:left w:val="single" w:color="7C3AED" w:sz="24" w:space="8"/>
        </w:pBdr>
        <w:shd w:fill="F5F3FF" w:color="auto" w:val="clear"/>
        <w:spacing w:after="160"/>
        <w:ind w:left="200" w:right="160"/>
      </w:pPr>
      <w:r>
        <w:rPr>
          <w:rFonts w:ascii="Cambria Math" w:cs="Cambria Math" w:eastAsia="Cambria Math" w:hAnsi="Cambria Math"/>
          <w:color w:val="1E293B"/>
          <w:sz w:val="24"/>
          <w:szCs w:val="24"/>
        </w:rPr>
        <w:t xml:space="preserve">Safety Stock = Demand Variability × Service Factor</w:t>
      </w:r>
    </w:p>
    <w:p>
      <w:pPr>
        <w:keepNext/>
        <w:pBdr>
          <w:left w:val="single" w:color="7C3AED" w:sz="24" w:space="8"/>
        </w:pBdr>
        <w:shd w:fill="F5F3FF" w:color="auto" w:val="clear"/>
        <w:spacing w:after="20" w:before="80"/>
        <w:ind w:left="200" w:right="160"/>
      </w:pPr>
      <w:r>
        <w:rPr>
          <w:b/>
          <w:bCs/>
          <w:color w:val="7C3AED"/>
          <w:sz w:val="20"/>
          <w:szCs w:val="20"/>
        </w:rPr>
        <w:t xml:space="preserve">Reorder Point</w:t>
      </w:r>
    </w:p>
    <w:p>
      <w:pPr>
        <w:pBdr>
          <w:left w:val="single" w:color="7C3AED" w:sz="24" w:space="8"/>
        </w:pBdr>
        <w:shd w:fill="F5F3FF" w:color="auto" w:val="clear"/>
        <w:spacing w:after="160"/>
        <w:ind w:left="200" w:right="160"/>
      </w:pPr>
      <w:r>
        <w:rPr>
          <w:rFonts w:ascii="Cambria Math" w:cs="Cambria Math" w:eastAsia="Cambria Math" w:hAnsi="Cambria Math"/>
          <w:color w:val="1E293B"/>
          <w:sz w:val="24"/>
          <w:szCs w:val="24"/>
        </w:rPr>
        <w:t xml:space="preserve">Reorder Point = Predicted Demand × Lead Time + Safety Stock</w:t>
      </w:r>
    </w:p>
    <w:p>
      <w:pPr>
        <w:pStyle w:val="Caption"/>
        <w:keepNext/>
        <w:spacing w:after="80" w:before="160"/>
        <w:jc w:val="left"/>
      </w:pPr>
      <w:r>
        <w:rPr>
          <w:b/>
          <w:bCs/>
        </w:rPr>
        <w:t xml:space="preserve">Table 8. </w:t>
      </w:r>
      <w:r>
        <w:t xml:space="preserve">Parameters used in the implemented scenario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1800"/>
        <w:gridCol w:w="4026"/>
      </w:tblGrid>
      <w:tr>
        <w:trPr>
          <w:cantSplit/>
          <w:tblHeader/>
        </w:trPr>
        <w:tc>
          <w:tcPr>
            <w:tcW w:type="dxa" w:w="3200"/>
            <w:tcBorders>
              <w:top w:val="none" w:color="FFFFFF" w:sz="0"/>
              <w:left w:val="none" w:color="FFFFFF" w:sz="0"/>
              <w:bottom w:val="single" w:color="1E293B" w:sz="4"/>
              <w:right w:val="none" w:color="FFFFFF" w:sz="0"/>
            </w:tcBorders>
            <w:shd w:fill="1E293B" w:color="auto" w:val="clear"/>
            <w:tcMar>
              <w:top w:type="dxa" w:w="80"/>
              <w:left w:type="dxa" w:w="120"/>
              <w:bottom w:type="dxa" w:w="80"/>
              <w:right w:type="dxa" w:w="120"/>
            </w:tcMar>
            <w:vAlign w:val="center"/>
          </w:tcPr>
          <w:p>
            <w:pPr>
              <w:keepNext/>
              <w:spacing w:after="0" w:line="264"/>
            </w:pPr>
            <w:r>
              <w:rPr>
                <w:b/>
                <w:bCs/>
                <w:color w:val="FFFFFF"/>
                <w:sz w:val="20"/>
                <w:szCs w:val="20"/>
              </w:rPr>
              <w:t xml:space="preserve">Parameter</w:t>
            </w:r>
          </w:p>
        </w:tc>
        <w:tc>
          <w:tcPr>
            <w:tcW w:type="dxa" w:w="1800"/>
            <w:tcBorders>
              <w:top w:val="none" w:color="FFFFFF" w:sz="0"/>
              <w:left w:val="none" w:color="FFFFFF" w:sz="0"/>
              <w:bottom w:val="single" w:color="1E293B" w:sz="4"/>
              <w:right w:val="none" w:color="FFFFFF" w:sz="0"/>
            </w:tcBorders>
            <w:shd w:fill="1E293B" w:color="auto" w:val="clear"/>
            <w:tcMar>
              <w:top w:type="dxa" w:w="80"/>
              <w:left w:type="dxa" w:w="120"/>
              <w:bottom w:type="dxa" w:w="80"/>
              <w:right w:type="dxa" w:w="120"/>
            </w:tcMar>
            <w:vAlign w:val="center"/>
          </w:tcPr>
          <w:p>
            <w:pPr>
              <w:keepNext/>
              <w:spacing w:after="0" w:line="264"/>
              <w:jc w:val="right"/>
            </w:pPr>
            <w:r>
              <w:rPr>
                <w:b/>
                <w:bCs/>
                <w:color w:val="FFFFFF"/>
                <w:sz w:val="20"/>
                <w:szCs w:val="20"/>
              </w:rPr>
              <w:t xml:space="preserve">Value</w:t>
            </w:r>
          </w:p>
        </w:tc>
        <w:tc>
          <w:tcPr>
            <w:tcW w:type="dxa" w:w="4026"/>
            <w:tcBorders>
              <w:top w:val="none" w:color="FFFFFF" w:sz="0"/>
              <w:left w:val="none" w:color="FFFFFF" w:sz="0"/>
              <w:bottom w:val="single" w:color="1E293B" w:sz="4"/>
              <w:right w:val="none" w:color="FFFFFF" w:sz="0"/>
            </w:tcBorders>
            <w:shd w:fill="1E293B" w:color="auto" w:val="clear"/>
            <w:tcMar>
              <w:top w:type="dxa" w:w="80"/>
              <w:left w:type="dxa" w:w="120"/>
              <w:bottom w:type="dxa" w:w="80"/>
              <w:right w:type="dxa" w:w="120"/>
            </w:tcMar>
            <w:vAlign w:val="center"/>
          </w:tcPr>
          <w:p>
            <w:pPr>
              <w:keepNext/>
              <w:spacing w:after="0" w:line="264"/>
            </w:pPr>
            <w:r>
              <w:rPr>
                <w:b/>
                <w:bCs/>
                <w:color w:val="FFFFFF"/>
                <w:sz w:val="20"/>
                <w:szCs w:val="20"/>
              </w:rPr>
              <w:t xml:space="preserve">Note</w:t>
            </w:r>
          </w:p>
        </w:tc>
      </w:tr>
      <w:tr>
        <w:trPr>
          <w:cantSplit/>
        </w:trPr>
        <w:tc>
          <w:tcPr>
            <w:tcW w:type="dxa" w:w="3200"/>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pPr>
            <w:r>
              <w:rPr>
                <w:b/>
                <w:bCs/>
                <w:sz w:val="20"/>
                <w:szCs w:val="20"/>
              </w:rPr>
              <w:t xml:space="preserve">Service factor</w:t>
            </w:r>
          </w:p>
        </w:tc>
        <w:tc>
          <w:tcPr>
            <w:tcW w:type="dxa" w:w="1800"/>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jc w:val="right"/>
            </w:pPr>
            <w:r>
              <w:rPr>
                <w:b w:val="false"/>
                <w:bCs w:val="false"/>
                <w:sz w:val="20"/>
                <w:szCs w:val="20"/>
              </w:rPr>
              <w:t xml:space="preserve">1.65</w:t>
            </w:r>
          </w:p>
        </w:tc>
        <w:tc>
          <w:tcPr>
            <w:tcW w:type="dxa" w:w="4026"/>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pPr>
            <w:r>
              <w:rPr>
                <w:b w:val="false"/>
                <w:bCs w:val="false"/>
                <w:sz w:val="20"/>
                <w:szCs w:val="20"/>
              </w:rPr>
              <w:t xml:space="preserve">Multiplier applied to demand variability</w:t>
            </w:r>
          </w:p>
        </w:tc>
      </w:tr>
      <w:tr>
        <w:trPr>
          <w:cantSplit/>
        </w:trPr>
        <w:tc>
          <w:tcPr>
            <w:tcW w:type="dxa" w:w="32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Next w:val="false"/>
              <w:spacing w:after="0" w:line="264"/>
            </w:pPr>
            <w:r>
              <w:rPr>
                <w:b/>
                <w:bCs/>
                <w:sz w:val="20"/>
                <w:szCs w:val="20"/>
              </w:rPr>
              <w:t xml:space="preserve">Lead time</w:t>
            </w:r>
          </w:p>
        </w:tc>
        <w:tc>
          <w:tcPr>
            <w:tcW w:type="dxa" w:w="18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Next w:val="false"/>
              <w:spacing w:after="0" w:line="264"/>
              <w:jc w:val="right"/>
            </w:pPr>
            <w:r>
              <w:rPr>
                <w:b w:val="false"/>
                <w:bCs w:val="false"/>
                <w:sz w:val="20"/>
                <w:szCs w:val="20"/>
              </w:rPr>
              <w:t xml:space="preserve">3 days</w:t>
            </w:r>
          </w:p>
        </w:tc>
        <w:tc>
          <w:tcPr>
            <w:tcW w:type="dxa" w:w="4026"/>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Next w:val="false"/>
              <w:spacing w:after="0" w:line="264"/>
            </w:pPr>
            <w:r>
              <w:rPr>
                <w:b w:val="false"/>
                <w:bCs w:val="false"/>
                <w:sz w:val="20"/>
                <w:szCs w:val="20"/>
              </w:rPr>
              <w:t xml:space="preserve">Used in the dynamic simulation</w:t>
            </w:r>
          </w:p>
        </w:tc>
      </w:tr>
    </w:tbl>
    <w:p>
      <w:pPr>
        <w:spacing w:after="100"/>
      </w:pPr>
    </w:p>
    <w:p>
      <w:pPr>
        <w:spacing w:after="140" w:before="0" w:line="288"/>
      </w:pPr>
      <w:r>
        <w:t xml:space="preserve">These are project assumptions and can be changed for different business scenarios. The recommended order quantity is based on the gap between the reorder requirement and the projected inventory position.</w:t>
      </w:r>
    </w:p>
    <w:p>
      <w:pPr>
        <w:pStyle w:val="Heading2"/>
      </w:pPr>
      <w:bookmarkStart w:name="_Toc0033" w:id="133"/>
      <w:r>
        <w:t xml:space="preserve">8.3 Stockout Risk Detection</w:t>
      </w:r>
      <w:bookmarkEnd w:id="133"/>
    </w:p>
    <w:p>
      <w:pPr>
        <w:keepNext/>
        <w:spacing w:after="140" w:before="0" w:line="288"/>
      </w:pPr>
      <w:r>
        <w:t xml:space="preserve">Stockout risk is derived from projected inventory conditions relative to forecasted demand and reorder requirements. Risk levels are LOW, MEDIUM, and HIGH, and the overall status is escalated when the projected inventory position indicates a more serious stockout condition.</w:t>
      </w:r>
    </w:p>
    <w:p>
      <w:pPr>
        <w:pStyle w:val="Caption"/>
        <w:keepNext/>
        <w:spacing w:after="80" w:before="160"/>
        <w:jc w:val="left"/>
      </w:pPr>
      <w:r>
        <w:rPr>
          <w:b/>
          <w:bCs/>
        </w:rPr>
        <w:t xml:space="preserve">Table 9. </w:t>
      </w:r>
      <w:r>
        <w:t xml:space="preserve">Risk classification rules in the final simulation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7526"/>
      </w:tblGrid>
      <w:tr>
        <w:trPr>
          <w:cantSplit/>
          <w:tblHeader/>
        </w:trPr>
        <w:tc>
          <w:tcPr>
            <w:tcW w:type="dxa" w:w="1500"/>
            <w:tcBorders>
              <w:top w:val="none" w:color="FFFFFF" w:sz="0"/>
              <w:left w:val="none" w:color="FFFFFF" w:sz="0"/>
              <w:bottom w:val="single" w:color="1E293B" w:sz="4"/>
              <w:right w:val="none" w:color="FFFFFF" w:sz="0"/>
            </w:tcBorders>
            <w:shd w:fill="1E293B" w:color="auto" w:val="clear"/>
            <w:tcMar>
              <w:top w:type="dxa" w:w="80"/>
              <w:left w:type="dxa" w:w="120"/>
              <w:bottom w:type="dxa" w:w="80"/>
              <w:right w:type="dxa" w:w="120"/>
            </w:tcMar>
            <w:vAlign w:val="center"/>
          </w:tcPr>
          <w:p>
            <w:pPr>
              <w:keepNext/>
              <w:spacing w:after="0" w:line="264"/>
            </w:pPr>
            <w:r>
              <w:rPr>
                <w:b/>
                <w:bCs/>
                <w:color w:val="FFFFFF"/>
                <w:sz w:val="20"/>
                <w:szCs w:val="20"/>
              </w:rPr>
              <w:t xml:space="preserve">Risk level</w:t>
            </w:r>
          </w:p>
        </w:tc>
        <w:tc>
          <w:tcPr>
            <w:tcW w:type="dxa" w:w="7526"/>
            <w:tcBorders>
              <w:top w:val="none" w:color="FFFFFF" w:sz="0"/>
              <w:left w:val="none" w:color="FFFFFF" w:sz="0"/>
              <w:bottom w:val="single" w:color="1E293B" w:sz="4"/>
              <w:right w:val="none" w:color="FFFFFF" w:sz="0"/>
            </w:tcBorders>
            <w:shd w:fill="1E293B" w:color="auto" w:val="clear"/>
            <w:tcMar>
              <w:top w:type="dxa" w:w="80"/>
              <w:left w:type="dxa" w:w="120"/>
              <w:bottom w:type="dxa" w:w="80"/>
              <w:right w:type="dxa" w:w="120"/>
            </w:tcMar>
            <w:vAlign w:val="center"/>
          </w:tcPr>
          <w:p>
            <w:pPr>
              <w:keepNext/>
              <w:spacing w:after="0" w:line="264"/>
            </w:pPr>
            <w:r>
              <w:rPr>
                <w:b/>
                <w:bCs/>
                <w:color w:val="FFFFFF"/>
                <w:sz w:val="20"/>
                <w:szCs w:val="20"/>
              </w:rPr>
              <w:t xml:space="preserve">Condition</w:t>
            </w:r>
          </w:p>
        </w:tc>
      </w:tr>
      <w:tr>
        <w:trPr>
          <w:cantSplit/>
        </w:trPr>
        <w:tc>
          <w:tcPr>
            <w:tcW w:type="dxa" w:w="1500"/>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pPr>
            <w:r>
              <w:rPr>
                <w:b/>
                <w:bCs/>
                <w:sz w:val="20"/>
                <w:szCs w:val="20"/>
              </w:rPr>
              <w:t xml:space="preserve">HIGH</w:t>
            </w:r>
          </w:p>
        </w:tc>
        <w:tc>
          <w:tcPr>
            <w:tcW w:type="dxa" w:w="7526"/>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pPr>
            <w:r>
              <w:rPr>
                <w:b w:val="false"/>
                <w:bCs w:val="false"/>
                <w:sz w:val="20"/>
                <w:szCs w:val="20"/>
              </w:rPr>
              <w:t xml:space="preserve">Projected inventory after the day's demand is zero or below (overall status: STOCKOUT)</w:t>
            </w:r>
          </w:p>
        </w:tc>
      </w:tr>
      <w:tr>
        <w:trPr>
          <w:cantSplit/>
        </w:trPr>
        <w:tc>
          <w:tcPr>
            <w:tcW w:type="dxa" w:w="15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Next/>
              <w:spacing w:after="0" w:line="264"/>
            </w:pPr>
            <w:r>
              <w:rPr>
                <w:b/>
                <w:bCs/>
                <w:sz w:val="20"/>
                <w:szCs w:val="20"/>
              </w:rPr>
              <w:t xml:space="preserve">MEDIUM</w:t>
            </w:r>
          </w:p>
        </w:tc>
        <w:tc>
          <w:tcPr>
            <w:tcW w:type="dxa" w:w="7526"/>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Next/>
              <w:spacing w:after="0" w:line="264"/>
            </w:pPr>
            <w:r>
              <w:rPr>
                <w:b w:val="false"/>
                <w:bCs w:val="false"/>
                <w:sz w:val="20"/>
                <w:szCs w:val="20"/>
              </w:rPr>
              <w:t xml:space="preserve">Inventory before demand is below the reorder point, or coverage is less than one day</w:t>
            </w:r>
          </w:p>
        </w:tc>
      </w:tr>
      <w:tr>
        <w:trPr>
          <w:cantSplit/>
        </w:trPr>
        <w:tc>
          <w:tcPr>
            <w:tcW w:type="dxa" w:w="1500"/>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val="false"/>
              <w:spacing w:after="0" w:line="264"/>
            </w:pPr>
            <w:r>
              <w:rPr>
                <w:b/>
                <w:bCs/>
                <w:sz w:val="20"/>
                <w:szCs w:val="20"/>
              </w:rPr>
              <w:t xml:space="preserve">LOW</w:t>
            </w:r>
          </w:p>
        </w:tc>
        <w:tc>
          <w:tcPr>
            <w:tcW w:type="dxa" w:w="7526"/>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val="false"/>
              <w:spacing w:after="0" w:line="264"/>
            </w:pPr>
            <w:r>
              <w:rPr>
                <w:b w:val="false"/>
                <w:bCs w:val="false"/>
                <w:sz w:val="20"/>
                <w:szCs w:val="20"/>
              </w:rPr>
              <w:t xml:space="preserve">Neither condition applies</w:t>
            </w:r>
          </w:p>
        </w:tc>
      </w:tr>
    </w:tbl>
    <w:p>
      <w:pPr>
        <w:keepNext/>
        <w:spacing w:after="140" w:before="160" w:line="288"/>
      </w:pPr>
      <w:r>
        <w:t xml:space="preserve">In the final seven-day simulation, 283 records were LOW, 264 were MEDIUM, and 153 were HIGH. The labels are rule-based outputs built on top of model forecasts and inventory assumptions.</w:t>
      </w:r>
    </w:p>
    <w:p>
      <w:pPr>
        <w:keepNext/>
        <w:spacing w:after="60" w:before="120"/>
        <w:jc w:val="center"/>
      </w:pPr>
      <w:r>
        <w:drawing>
          <wp:inline distT="0" distB="0" distL="0" distR="0">
            <wp:extent cx="4381500" cy="1714500"/>
            <wp:effectExtent t="0" r="0" b="0" l="0"/>
            <wp:docPr id="1" name="Stockout risk distribution across the 700 simulation records" descr="Stockout risk distribution across the 700 simulation records" title="Stockout risk distribution across the 700 simulation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1714500"/>
                    </a:xfrm>
                    <a:prstGeom prst="rect">
                      <a:avLst/>
                    </a:prstGeom>
                  </pic:spPr>
                </pic:pic>
              </a:graphicData>
            </a:graphic>
          </wp:inline>
        </w:drawing>
      </w:r>
    </w:p>
    <w:p>
      <w:pPr>
        <w:pStyle w:val="Caption"/>
      </w:pPr>
      <w:r>
        <w:rPr>
          <w:b/>
          <w:bCs/>
        </w:rPr>
        <w:t xml:space="preserve">Figure 3. </w:t>
      </w:r>
      <w:r>
        <w:t xml:space="preserve">Stockout risk distribution across the 700 simulation records</w:t>
      </w:r>
    </w:p>
    <w:p>
      <w:pPr>
        <w:pStyle w:val="Heading2"/>
      </w:pPr>
      <w:bookmarkStart w:name="_Toc0034" w:id="134"/>
      <w:r>
        <w:t xml:space="preserve">8.4 Dynamic Inventory Simulation</w:t>
      </w:r>
      <w:bookmarkEnd w:id="134"/>
    </w:p>
    <w:p>
      <w:pPr>
        <w:pStyle w:val="ListParagraph"/>
        <w:numPr>
          <w:ilvl w:val="0"/>
          <w:numId w:val="2"/>
        </w:numPr>
        <w:spacing w:after="70" w:line="280"/>
      </w:pPr>
      <w:r>
        <w:t xml:space="preserve">The simulation starts from the latest available inventory position.</w:t>
      </w:r>
    </w:p>
    <w:p>
      <w:pPr>
        <w:pStyle w:val="ListParagraph"/>
        <w:numPr>
          <w:ilvl w:val="0"/>
          <w:numId w:val="2"/>
        </w:numPr>
        <w:spacing w:after="70" w:line="280"/>
      </w:pPr>
      <w:r>
        <w:t xml:space="preserve">Forecasted demand is consumed from opening inventory each day.</w:t>
      </w:r>
    </w:p>
    <w:p>
      <w:pPr>
        <w:pStyle w:val="ListParagraph"/>
        <w:numPr>
          <w:ilvl w:val="0"/>
          <w:numId w:val="2"/>
        </w:numPr>
        <w:spacing w:after="70" w:line="280"/>
      </w:pPr>
      <w:r>
        <w:t xml:space="preserve">Reorder quantities are generated when projected inventory falls below the reorder point.</w:t>
      </w:r>
    </w:p>
    <w:p>
      <w:pPr>
        <w:pStyle w:val="ListParagraph"/>
        <w:numPr>
          <w:ilvl w:val="0"/>
          <w:numId w:val="2"/>
        </w:numPr>
        <w:spacing w:after="70" w:line="280"/>
      </w:pPr>
      <w:r>
        <w:t xml:space="preserve">Orders arrive after the defined three-day lead time.</w:t>
      </w:r>
    </w:p>
    <w:p>
      <w:pPr>
        <w:pStyle w:val="ListParagraph"/>
        <w:numPr>
          <w:ilvl w:val="0"/>
          <w:numId w:val="2"/>
        </w:numPr>
        <w:spacing w:after="70" w:line="280"/>
      </w:pPr>
      <w:r>
        <w:t xml:space="preserve">The simulation covers 700 records across 100 Store–Product combinations and seven forecast days.</w:t>
      </w:r>
    </w:p>
    <w:p>
      <w:pPr>
        <w:keepNext/>
        <w:pBdr>
          <w:left w:val="single" w:color="64748B" w:sz="24" w:space="8"/>
        </w:pBdr>
        <w:shd w:fill="F1F5F9" w:color="auto" w:val="clear"/>
        <w:spacing w:after="40" w:before="60"/>
        <w:ind w:left="200" w:right="160"/>
      </w:pPr>
      <w:r>
        <w:rPr>
          <w:b/>
          <w:bCs/>
          <w:color w:val="64748B"/>
          <w:sz w:val="21"/>
          <w:szCs w:val="21"/>
        </w:rPr>
        <w:t xml:space="preserve">Modelling assumption</w:t>
      </w:r>
    </w:p>
    <w:p>
      <w:pPr>
        <w:pBdr>
          <w:left w:val="single" w:color="64748B" w:sz="24" w:space="8"/>
        </w:pBdr>
        <w:shd w:fill="F1F5F9" w:color="auto" w:val="clear"/>
        <w:spacing w:after="160" w:line="276"/>
        <w:ind w:left="200" w:right="160"/>
      </w:pPr>
      <w:r>
        <w:rPr>
          <w:color w:val="1E293B"/>
          <w:sz w:val="20"/>
          <w:szCs w:val="20"/>
        </w:rPr>
        <w:t xml:space="preserve">The current implementation can represent negative inventory as unmet demand or backorder. This is a modelling assumption rather than a claim of physical stock.</w:t>
      </w:r>
    </w:p>
    <w:p>
      <w:pPr>
        <w:pStyle w:val="Heading1"/>
        <w:pageBreakBefore/>
      </w:pPr>
      <w:bookmarkStart w:name="_Toc0035" w:id="135"/>
      <w:r>
        <w:t xml:space="preserve">9. System Architecture and Modules</w:t>
      </w:r>
      <w:bookmarkEnd w:id="135"/>
    </w:p>
    <w:p>
      <w:pPr>
        <w:pStyle w:val="Heading2"/>
      </w:pPr>
      <w:bookmarkStart w:name="_Toc0036" w:id="136"/>
      <w:r>
        <w:t xml:space="preserve">9.1 Architecture</w:t>
      </w:r>
      <w:bookmarkEnd w:id="136"/>
    </w:p>
    <w:p>
      <w:pPr>
        <w:spacing w:after="140" w:before="0" w:line="288"/>
      </w:pPr>
      <w:r>
        <w:t xml:space="preserve">The architecture separates data preparation, forecasting, inventory logic, simulation, and visualization. The trained model is persisted and reused for future forecasting, and CSV outputs provide a simple interface between the forecasting/simulation workflow and the dashboard.</w:t>
      </w:r>
    </w:p>
    <w:p>
      <w:pPr>
        <w:keepNext/>
        <w:spacing w:after="60" w:before="120"/>
        <w:jc w:val="center"/>
      </w:pPr>
      <w:r>
        <w:drawing>
          <wp:inline distT="0" distB="0" distL="0" distR="0">
            <wp:extent cx="5715000" cy="2257425"/>
            <wp:effectExtent t="0" r="0" b="0" l="0"/>
            <wp:docPr id="1" name="FORESIGHT system architecture" descr="FORESIGHT system architecture" title="FORESIGHT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257425"/>
                    </a:xfrm>
                    <a:prstGeom prst="rect">
                      <a:avLst/>
                    </a:prstGeom>
                  </pic:spPr>
                </pic:pic>
              </a:graphicData>
            </a:graphic>
          </wp:inline>
        </w:drawing>
      </w:r>
    </w:p>
    <w:p>
      <w:pPr>
        <w:pStyle w:val="Caption"/>
      </w:pPr>
      <w:r>
        <w:rPr>
          <w:b/>
          <w:bCs/>
        </w:rPr>
        <w:t xml:space="preserve">Figure 4. </w:t>
      </w:r>
      <w:r>
        <w:t xml:space="preserve">FORESIGHT system architecture</w:t>
      </w:r>
    </w:p>
    <w:p>
      <w:pPr>
        <w:pStyle w:val="Heading2"/>
      </w:pPr>
      <w:bookmarkStart w:name="_Toc0037" w:id="137"/>
      <w:r>
        <w:t xml:space="preserve">9.2 Module Description</w:t>
      </w:r>
      <w:bookmarkEnd w:id="137"/>
    </w:p>
    <w:p>
      <w:pPr>
        <w:pStyle w:val="Caption"/>
        <w:keepNext/>
        <w:spacing w:after="80" w:before="160"/>
        <w:jc w:val="left"/>
      </w:pPr>
      <w:r>
        <w:rPr>
          <w:b/>
          <w:bCs/>
        </w:rPr>
        <w:t xml:space="preserve">Table 10. </w:t>
      </w:r>
      <w:r>
        <w:t xml:space="preserve">System modules and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3000"/>
        <w:gridCol w:w="5426"/>
      </w:tblGrid>
      <w:tr>
        <w:trPr>
          <w:cantSplit/>
          <w:tblHeader/>
        </w:trPr>
        <w:tc>
          <w:tcPr>
            <w:tcW w:type="dxa" w:w="600"/>
            <w:tcBorders>
              <w:top w:val="none" w:color="FFFFFF" w:sz="0"/>
              <w:left w:val="none" w:color="FFFFFF" w:sz="0"/>
              <w:bottom w:val="single" w:color="1E293B" w:sz="4"/>
              <w:right w:val="none" w:color="FFFFFF" w:sz="0"/>
            </w:tcBorders>
            <w:shd w:fill="1E293B" w:color="auto" w:val="clear"/>
            <w:tcMar>
              <w:top w:type="dxa" w:w="80"/>
              <w:left w:type="dxa" w:w="120"/>
              <w:bottom w:type="dxa" w:w="80"/>
              <w:right w:type="dxa" w:w="120"/>
            </w:tcMar>
            <w:vAlign w:val="center"/>
          </w:tcPr>
          <w:p>
            <w:pPr>
              <w:keepNext/>
              <w:spacing w:after="0" w:line="264"/>
              <w:jc w:val="center"/>
            </w:pPr>
            <w:r>
              <w:rPr>
                <w:b/>
                <w:bCs/>
                <w:color w:val="FFFFFF"/>
                <w:sz w:val="20"/>
                <w:szCs w:val="20"/>
              </w:rPr>
              <w:t xml:space="preserve">No.</w:t>
            </w:r>
          </w:p>
        </w:tc>
        <w:tc>
          <w:tcPr>
            <w:tcW w:type="dxa" w:w="3000"/>
            <w:tcBorders>
              <w:top w:val="none" w:color="FFFFFF" w:sz="0"/>
              <w:left w:val="none" w:color="FFFFFF" w:sz="0"/>
              <w:bottom w:val="single" w:color="1E293B" w:sz="4"/>
              <w:right w:val="none" w:color="FFFFFF" w:sz="0"/>
            </w:tcBorders>
            <w:shd w:fill="1E293B" w:color="auto" w:val="clear"/>
            <w:tcMar>
              <w:top w:type="dxa" w:w="80"/>
              <w:left w:type="dxa" w:w="120"/>
              <w:bottom w:type="dxa" w:w="80"/>
              <w:right w:type="dxa" w:w="120"/>
            </w:tcMar>
            <w:vAlign w:val="center"/>
          </w:tcPr>
          <w:p>
            <w:pPr>
              <w:keepNext/>
              <w:spacing w:after="0" w:line="264"/>
            </w:pPr>
            <w:r>
              <w:rPr>
                <w:b/>
                <w:bCs/>
                <w:color w:val="FFFFFF"/>
                <w:sz w:val="20"/>
                <w:szCs w:val="20"/>
              </w:rPr>
              <w:t xml:space="preserve">Module</w:t>
            </w:r>
          </w:p>
        </w:tc>
        <w:tc>
          <w:tcPr>
            <w:tcW w:type="dxa" w:w="5426"/>
            <w:tcBorders>
              <w:top w:val="none" w:color="FFFFFF" w:sz="0"/>
              <w:left w:val="none" w:color="FFFFFF" w:sz="0"/>
              <w:bottom w:val="single" w:color="1E293B" w:sz="4"/>
              <w:right w:val="none" w:color="FFFFFF" w:sz="0"/>
            </w:tcBorders>
            <w:shd w:fill="1E293B" w:color="auto" w:val="clear"/>
            <w:tcMar>
              <w:top w:type="dxa" w:w="80"/>
              <w:left w:type="dxa" w:w="120"/>
              <w:bottom w:type="dxa" w:w="80"/>
              <w:right w:type="dxa" w:w="120"/>
            </w:tcMar>
            <w:vAlign w:val="center"/>
          </w:tcPr>
          <w:p>
            <w:pPr>
              <w:keepNext/>
              <w:spacing w:after="0" w:line="264"/>
            </w:pPr>
            <w:r>
              <w:rPr>
                <w:b/>
                <w:bCs/>
                <w:color w:val="FFFFFF"/>
                <w:sz w:val="20"/>
                <w:szCs w:val="20"/>
              </w:rPr>
              <w:t xml:space="preserve">Responsibility</w:t>
            </w:r>
          </w:p>
        </w:tc>
      </w:tr>
      <w:tr>
        <w:trPr>
          <w:cantSplit/>
        </w:trPr>
        <w:tc>
          <w:tcPr>
            <w:tcW w:type="dxa" w:w="600"/>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jc w:val="center"/>
            </w:pPr>
            <w:r>
              <w:rPr>
                <w:b w:val="false"/>
                <w:bCs w:val="false"/>
                <w:sz w:val="20"/>
                <w:szCs w:val="20"/>
              </w:rPr>
              <w:t xml:space="preserve">1</w:t>
            </w:r>
          </w:p>
        </w:tc>
        <w:tc>
          <w:tcPr>
            <w:tcW w:type="dxa" w:w="3000"/>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pPr>
            <w:r>
              <w:rPr>
                <w:b w:val="false"/>
                <w:bCs w:val="false"/>
                <w:sz w:val="20"/>
                <w:szCs w:val="20"/>
              </w:rPr>
              <w:t xml:space="preserve">Data Management</w:t>
            </w:r>
          </w:p>
        </w:tc>
        <w:tc>
          <w:tcPr>
            <w:tcW w:type="dxa" w:w="5426"/>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pPr>
            <w:r>
              <w:rPr>
                <w:b w:val="false"/>
                <w:bCs w:val="false"/>
                <w:sz w:val="20"/>
                <w:szCs w:val="20"/>
              </w:rPr>
              <w:t xml:space="preserve">Loads and validates historical retail data</w:t>
            </w:r>
          </w:p>
        </w:tc>
      </w:tr>
      <w:tr>
        <w:trPr>
          <w:cantSplit/>
        </w:trPr>
        <w:tc>
          <w:tcPr>
            <w:tcW w:type="dxa" w:w="6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Next/>
              <w:spacing w:after="0" w:line="264"/>
              <w:jc w:val="center"/>
            </w:pPr>
            <w:r>
              <w:rPr>
                <w:b w:val="false"/>
                <w:bCs w:val="false"/>
                <w:sz w:val="20"/>
                <w:szCs w:val="20"/>
              </w:rPr>
              <w:t xml:space="preserve">2</w:t>
            </w:r>
          </w:p>
        </w:tc>
        <w:tc>
          <w:tcPr>
            <w:tcW w:type="dxa" w:w="30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Next/>
              <w:spacing w:after="0" w:line="264"/>
            </w:pPr>
            <w:r>
              <w:rPr>
                <w:b w:val="false"/>
                <w:bCs w:val="false"/>
                <w:sz w:val="20"/>
                <w:szCs w:val="20"/>
              </w:rPr>
              <w:t xml:space="preserve">Preprocessing &amp; Feature Engineering</w:t>
            </w:r>
          </w:p>
        </w:tc>
        <w:tc>
          <w:tcPr>
            <w:tcW w:type="dxa" w:w="5426"/>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Next/>
              <w:spacing w:after="0" w:line="264"/>
            </w:pPr>
            <w:r>
              <w:rPr>
                <w:b w:val="false"/>
                <w:bCs w:val="false"/>
                <w:sz w:val="20"/>
                <w:szCs w:val="20"/>
              </w:rPr>
              <w:t xml:space="preserve">Creates time-series and business features</w:t>
            </w:r>
          </w:p>
        </w:tc>
      </w:tr>
      <w:tr>
        <w:trPr>
          <w:cantSplit/>
        </w:trPr>
        <w:tc>
          <w:tcPr>
            <w:tcW w:type="dxa" w:w="600"/>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jc w:val="center"/>
            </w:pPr>
            <w:r>
              <w:rPr>
                <w:b w:val="false"/>
                <w:bCs w:val="false"/>
                <w:sz w:val="20"/>
                <w:szCs w:val="20"/>
              </w:rPr>
              <w:t xml:space="preserve">3</w:t>
            </w:r>
          </w:p>
        </w:tc>
        <w:tc>
          <w:tcPr>
            <w:tcW w:type="dxa" w:w="3000"/>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pPr>
            <w:r>
              <w:rPr>
                <w:b w:val="false"/>
                <w:bCs w:val="false"/>
                <w:sz w:val="20"/>
                <w:szCs w:val="20"/>
              </w:rPr>
              <w:t xml:space="preserve">Forecasting</w:t>
            </w:r>
          </w:p>
        </w:tc>
        <w:tc>
          <w:tcPr>
            <w:tcW w:type="dxa" w:w="5426"/>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pPr>
            <w:r>
              <w:rPr>
                <w:b w:val="false"/>
                <w:bCs w:val="false"/>
                <w:sz w:val="20"/>
                <w:szCs w:val="20"/>
              </w:rPr>
              <w:t xml:space="preserve">Trains/loads models and produces demand predictions</w:t>
            </w:r>
          </w:p>
        </w:tc>
      </w:tr>
      <w:tr>
        <w:trPr>
          <w:cantSplit/>
        </w:trPr>
        <w:tc>
          <w:tcPr>
            <w:tcW w:type="dxa" w:w="6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Next/>
              <w:spacing w:after="0" w:line="264"/>
              <w:jc w:val="center"/>
            </w:pPr>
            <w:r>
              <w:rPr>
                <w:b w:val="false"/>
                <w:bCs w:val="false"/>
                <w:sz w:val="20"/>
                <w:szCs w:val="20"/>
              </w:rPr>
              <w:t xml:space="preserve">4</w:t>
            </w:r>
          </w:p>
        </w:tc>
        <w:tc>
          <w:tcPr>
            <w:tcW w:type="dxa" w:w="30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Next/>
              <w:spacing w:after="0" w:line="264"/>
            </w:pPr>
            <w:r>
              <w:rPr>
                <w:b w:val="false"/>
                <w:bCs w:val="false"/>
                <w:sz w:val="20"/>
                <w:szCs w:val="20"/>
              </w:rPr>
              <w:t xml:space="preserve">Inventory Intelligence</w:t>
            </w:r>
          </w:p>
        </w:tc>
        <w:tc>
          <w:tcPr>
            <w:tcW w:type="dxa" w:w="5426"/>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Next/>
              <w:spacing w:after="0" w:line="264"/>
            </w:pPr>
            <w:r>
              <w:rPr>
                <w:b w:val="false"/>
                <w:bCs w:val="false"/>
                <w:sz w:val="20"/>
                <w:szCs w:val="20"/>
              </w:rPr>
              <w:t xml:space="preserve">Calculates safety stock, reorder point, coverage, and risk</w:t>
            </w:r>
          </w:p>
        </w:tc>
      </w:tr>
      <w:tr>
        <w:trPr>
          <w:cantSplit/>
        </w:trPr>
        <w:tc>
          <w:tcPr>
            <w:tcW w:type="dxa" w:w="600"/>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jc w:val="center"/>
            </w:pPr>
            <w:r>
              <w:rPr>
                <w:b w:val="false"/>
                <w:bCs w:val="false"/>
                <w:sz w:val="20"/>
                <w:szCs w:val="20"/>
              </w:rPr>
              <w:t xml:space="preserve">5</w:t>
            </w:r>
          </w:p>
        </w:tc>
        <w:tc>
          <w:tcPr>
            <w:tcW w:type="dxa" w:w="3000"/>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pPr>
            <w:r>
              <w:rPr>
                <w:b w:val="false"/>
                <w:bCs w:val="false"/>
                <w:sz w:val="20"/>
                <w:szCs w:val="20"/>
              </w:rPr>
              <w:t xml:space="preserve">Simulation</w:t>
            </w:r>
          </w:p>
        </w:tc>
        <w:tc>
          <w:tcPr>
            <w:tcW w:type="dxa" w:w="5426"/>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pPr>
            <w:r>
              <w:rPr>
                <w:b w:val="false"/>
                <w:bCs w:val="false"/>
                <w:sz w:val="20"/>
                <w:szCs w:val="20"/>
              </w:rPr>
              <w:t xml:space="preserve">Models projected inventory and order arrivals</w:t>
            </w:r>
          </w:p>
        </w:tc>
      </w:tr>
      <w:tr>
        <w:trPr>
          <w:cantSplit/>
        </w:trPr>
        <w:tc>
          <w:tcPr>
            <w:tcW w:type="dxa" w:w="6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Next w:val="false"/>
              <w:spacing w:after="0" w:line="264"/>
              <w:jc w:val="center"/>
            </w:pPr>
            <w:r>
              <w:rPr>
                <w:b w:val="false"/>
                <w:bCs w:val="false"/>
                <w:sz w:val="20"/>
                <w:szCs w:val="20"/>
              </w:rPr>
              <w:t xml:space="preserve">6</w:t>
            </w:r>
          </w:p>
        </w:tc>
        <w:tc>
          <w:tcPr>
            <w:tcW w:type="dxa" w:w="30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Next w:val="false"/>
              <w:spacing w:after="0" w:line="264"/>
            </w:pPr>
            <w:r>
              <w:rPr>
                <w:b w:val="false"/>
                <w:bCs w:val="false"/>
                <w:sz w:val="20"/>
                <w:szCs w:val="20"/>
              </w:rPr>
              <w:t xml:space="preserve">Dashboard</w:t>
            </w:r>
          </w:p>
        </w:tc>
        <w:tc>
          <w:tcPr>
            <w:tcW w:type="dxa" w:w="5426"/>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Next w:val="false"/>
              <w:spacing w:after="0" w:line="264"/>
            </w:pPr>
            <w:r>
              <w:rPr>
                <w:b w:val="false"/>
                <w:bCs w:val="false"/>
                <w:sz w:val="20"/>
                <w:szCs w:val="20"/>
              </w:rPr>
              <w:t xml:space="preserve">Presents KPIs, charts, filters, recommendations, and downloads</w:t>
            </w:r>
          </w:p>
        </w:tc>
      </w:tr>
    </w:tbl>
    <w:p>
      <w:pPr>
        <w:pStyle w:val="Heading1"/>
        <w:pageBreakBefore/>
      </w:pPr>
      <w:bookmarkStart w:name="_Toc0038" w:id="138"/>
      <w:r>
        <w:t xml:space="preserve">10. Interactive Dashboard</w:t>
      </w:r>
      <w:bookmarkEnd w:id="138"/>
    </w:p>
    <w:p>
      <w:pPr>
        <w:keepNext/>
        <w:spacing w:after="60" w:before="0" w:line="288"/>
      </w:pPr>
      <w:r>
        <w:t xml:space="preserve">The Streamlit dashboard turns the forecast and simulation outputs into filterable, visual decision-support information. It provides:</w:t>
      </w:r>
    </w:p>
    <w:p>
      <w:pPr>
        <w:pStyle w:val="ListParagraph"/>
        <w:numPr>
          <w:ilvl w:val="0"/>
          <w:numId w:val="2"/>
        </w:numPr>
        <w:spacing w:after="70" w:line="280"/>
      </w:pPr>
      <w:r>
        <w:t xml:space="preserve">Professional KPI cards summarizing the forecast and inventory position.</w:t>
      </w:r>
    </w:p>
    <w:p>
      <w:pPr>
        <w:pStyle w:val="ListParagraph"/>
        <w:numPr>
          <w:ilvl w:val="0"/>
          <w:numId w:val="2"/>
        </w:numPr>
        <w:spacing w:after="70" w:line="280"/>
      </w:pPr>
      <w:r>
        <w:t xml:space="preserve">Date, store, product, category, and region filters.</w:t>
      </w:r>
    </w:p>
    <w:p>
      <w:pPr>
        <w:pStyle w:val="ListParagraph"/>
        <w:numPr>
          <w:ilvl w:val="0"/>
          <w:numId w:val="2"/>
        </w:numPr>
        <w:spacing w:after="70" w:line="280"/>
      </w:pPr>
      <w:r>
        <w:t xml:space="preserve">Demand and risk charts.</w:t>
      </w:r>
    </w:p>
    <w:p>
      <w:pPr>
        <w:pStyle w:val="ListParagraph"/>
        <w:numPr>
          <w:ilvl w:val="0"/>
          <w:numId w:val="2"/>
        </w:numPr>
        <w:spacing w:after="70" w:line="280"/>
      </w:pPr>
      <w:r>
        <w:t xml:space="preserve">Inventory coverage analysis.</w:t>
      </w:r>
    </w:p>
    <w:p>
      <w:pPr>
        <w:pStyle w:val="ListParagraph"/>
        <w:numPr>
          <w:ilvl w:val="0"/>
          <w:numId w:val="2"/>
        </w:numPr>
        <w:spacing w:after="70" w:line="280"/>
      </w:pPr>
      <w:r>
        <w:t xml:space="preserve">AI recommendations and CSV download.</w:t>
      </w:r>
    </w:p>
    <w:p>
      <w:pPr>
        <w:pStyle w:val="Heading2"/>
      </w:pPr>
      <w:bookmarkStart w:name="_Toc0039" w:id="139"/>
      <w:r>
        <w:t xml:space="preserve">10.1 Main Dashboard</w:t>
      </w:r>
      <w:bookmarkEnd w:id="139"/>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Height w:val="1600" w:hRule="atLeast"/>
        </w:trPr>
        <w:tc>
          <w:tcPr>
            <w:tcW w:type="dxa" w:w="9026"/>
            <w:tcBorders>
              <w:top w:val="dashed" w:color="94A3B8" w:sz="6"/>
              <w:left w:val="dashed" w:color="94A3B8" w:sz="6"/>
              <w:bottom w:val="dashed" w:color="94A3B8" w:sz="6"/>
              <w:right w:val="dashed" w:color="94A3B8" w:sz="6"/>
            </w:tcBorders>
            <w:shd w:fill="F8FAFC" w:color="auto" w:val="clear"/>
            <w:tcMar>
              <w:top w:type="dxa" w:w="200"/>
              <w:left w:type="dxa" w:w="300"/>
              <w:bottom w:type="dxa" w:w="200"/>
              <w:right w:type="dxa" w:w="300"/>
            </w:tcMar>
            <w:vAlign w:val="center"/>
          </w:tcPr>
          <w:p>
            <w:pPr>
              <w:spacing w:after="60"/>
              <w:jc w:val="center"/>
            </w:pPr>
            <w:r>
              <w:rPr>
                <w:b/>
                <w:bCs/>
                <w:color w:val="64748B"/>
                <w:sz w:val="22"/>
                <w:szCs w:val="22"/>
              </w:rPr>
              <w:t xml:space="preserve">Screenshot placeholder</w:t>
            </w:r>
          </w:p>
          <w:p>
            <w:pPr>
              <w:spacing w:after="0"/>
              <w:jc w:val="center"/>
            </w:pPr>
            <w:r>
              <w:rPr>
                <w:color w:val="64748B"/>
                <w:sz w:val="20"/>
                <w:szCs w:val="20"/>
              </w:rPr>
              <w:t xml:space="preserve">Insert the main Streamlit dashboard screenshot here.</w:t>
            </w:r>
          </w:p>
        </w:tc>
      </w:tr>
    </w:tbl>
    <w:p>
      <w:pPr>
        <w:pStyle w:val="Caption"/>
      </w:pPr>
      <w:r>
        <w:rPr>
          <w:b/>
          <w:bCs/>
        </w:rPr>
        <w:t xml:space="preserve">Figure 5. </w:t>
      </w:r>
      <w:r>
        <w:t xml:space="preserve">Main Streamlit dashboard</w:t>
      </w:r>
    </w:p>
    <w:p>
      <w:pPr>
        <w:pStyle w:val="Heading2"/>
      </w:pPr>
      <w:bookmarkStart w:name="_Toc0040" w:id="140"/>
      <w:r>
        <w:t xml:space="preserve">10.2 Demand and Risk Analysis</w:t>
      </w:r>
      <w:bookmarkEnd w:id="140"/>
    </w:p>
    <w:p>
      <w:pPr>
        <w:keepNext/>
        <w:spacing w:after="140" w:before="0" w:line="288"/>
      </w:pPr>
      <w:r>
        <w:t xml:space="preserve">This view shows actual versus predicted demand, the forecast difference, the stockout risk distribution, and the overall risk distribution.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Height w:val="1600" w:hRule="atLeast"/>
        </w:trPr>
        <w:tc>
          <w:tcPr>
            <w:tcW w:type="dxa" w:w="9026"/>
            <w:tcBorders>
              <w:top w:val="dashed" w:color="94A3B8" w:sz="6"/>
              <w:left w:val="dashed" w:color="94A3B8" w:sz="6"/>
              <w:bottom w:val="dashed" w:color="94A3B8" w:sz="6"/>
              <w:right w:val="dashed" w:color="94A3B8" w:sz="6"/>
            </w:tcBorders>
            <w:shd w:fill="F8FAFC" w:color="auto" w:val="clear"/>
            <w:tcMar>
              <w:top w:type="dxa" w:w="200"/>
              <w:left w:type="dxa" w:w="300"/>
              <w:bottom w:type="dxa" w:w="200"/>
              <w:right w:type="dxa" w:w="300"/>
            </w:tcMar>
            <w:vAlign w:val="center"/>
          </w:tcPr>
          <w:p>
            <w:pPr>
              <w:spacing w:after="60"/>
              <w:jc w:val="center"/>
            </w:pPr>
            <w:r>
              <w:rPr>
                <w:b/>
                <w:bCs/>
                <w:color w:val="64748B"/>
                <w:sz w:val="22"/>
                <w:szCs w:val="22"/>
              </w:rPr>
              <w:t xml:space="preserve">Screenshot placeholder</w:t>
            </w:r>
          </w:p>
          <w:p>
            <w:pPr>
              <w:spacing w:after="0"/>
              <w:jc w:val="center"/>
            </w:pPr>
            <w:r>
              <w:rPr>
                <w:color w:val="64748B"/>
                <w:sz w:val="20"/>
                <w:szCs w:val="20"/>
              </w:rPr>
              <w:t xml:space="preserve">Insert a screenshot of the demand chart and risk distribution here.</w:t>
            </w:r>
          </w:p>
        </w:tc>
      </w:tr>
    </w:tbl>
    <w:p>
      <w:pPr>
        <w:pStyle w:val="Caption"/>
      </w:pPr>
      <w:r>
        <w:rPr>
          <w:b/>
          <w:bCs/>
        </w:rPr>
        <w:t xml:space="preserve">Figure 6. </w:t>
      </w:r>
      <w:r>
        <w:t xml:space="preserve">Demand chart and risk distribution</w:t>
      </w:r>
    </w:p>
    <w:p>
      <w:pPr>
        <w:pStyle w:val="Heading2"/>
      </w:pPr>
      <w:bookmarkStart w:name="_Toc0041" w:id="141"/>
      <w:r>
        <w:t xml:space="preserve">10.3 Inventory and Recommendations</w:t>
      </w:r>
      <w:bookmarkEnd w:id="141"/>
    </w:p>
    <w:p>
      <w:pPr>
        <w:keepNext/>
        <w:spacing w:after="140" w:before="0" w:line="288"/>
      </w:pPr>
      <w:r>
        <w:t xml:space="preserve">This view presents inventory coverage, store-level inventory versus demand, the priority reorder table, and product intelligence.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Height w:val="1600" w:hRule="atLeast"/>
        </w:trPr>
        <w:tc>
          <w:tcPr>
            <w:tcW w:type="dxa" w:w="9026"/>
            <w:tcBorders>
              <w:top w:val="dashed" w:color="94A3B8" w:sz="6"/>
              <w:left w:val="dashed" w:color="94A3B8" w:sz="6"/>
              <w:bottom w:val="dashed" w:color="94A3B8" w:sz="6"/>
              <w:right w:val="dashed" w:color="94A3B8" w:sz="6"/>
            </w:tcBorders>
            <w:shd w:fill="F8FAFC" w:color="auto" w:val="clear"/>
            <w:tcMar>
              <w:top w:type="dxa" w:w="200"/>
              <w:left w:type="dxa" w:w="300"/>
              <w:bottom w:type="dxa" w:w="200"/>
              <w:right w:type="dxa" w:w="300"/>
            </w:tcMar>
            <w:vAlign w:val="center"/>
          </w:tcPr>
          <w:p>
            <w:pPr>
              <w:spacing w:after="60"/>
              <w:jc w:val="center"/>
            </w:pPr>
            <w:r>
              <w:rPr>
                <w:b/>
                <w:bCs/>
                <w:color w:val="64748B"/>
                <w:sz w:val="22"/>
                <w:szCs w:val="22"/>
              </w:rPr>
              <w:t xml:space="preserve">Screenshot placeholder</w:t>
            </w:r>
          </w:p>
          <w:p>
            <w:pPr>
              <w:spacing w:after="0"/>
              <w:jc w:val="center"/>
            </w:pPr>
            <w:r>
              <w:rPr>
                <w:color w:val="64748B"/>
                <w:sz w:val="20"/>
                <w:szCs w:val="20"/>
              </w:rPr>
              <w:t xml:space="preserve">Insert a screenshot of inventory coverage and reorder recommendations here.</w:t>
            </w:r>
          </w:p>
        </w:tc>
      </w:tr>
    </w:tbl>
    <w:p>
      <w:pPr>
        <w:pStyle w:val="Caption"/>
      </w:pPr>
      <w:r>
        <w:rPr>
          <w:b/>
          <w:bCs/>
        </w:rPr>
        <w:t xml:space="preserve">Figure 7. </w:t>
      </w:r>
      <w:r>
        <w:t xml:space="preserve">Inventory coverage and reorder recommendations</w:t>
      </w:r>
    </w:p>
    <w:p>
      <w:pPr>
        <w:pStyle w:val="Heading1"/>
        <w:pageBreakBefore/>
      </w:pPr>
      <w:bookmarkStart w:name="_Toc0042" w:id="142"/>
      <w:r>
        <w:t xml:space="preserve">11. Results and Analysis</w:t>
      </w:r>
      <w:bookmarkEnd w:id="142"/>
    </w:p>
    <w:p>
      <w:pPr>
        <w:keepNext/>
        <w:spacing w:after="140" w:before="0" w:line="288"/>
      </w:pPr>
      <w:r>
        <w:t xml:space="preserve">The final forecasting workflow covers 100 Store–Product combinations over seven future days. The dashboard converts the outputs below into visual and filterable decision-support information.</w:t>
      </w:r>
    </w:p>
    <w:p>
      <w:pPr>
        <w:pStyle w:val="Caption"/>
        <w:keepNext/>
        <w:spacing w:after="80" w:before="160"/>
        <w:jc w:val="left"/>
      </w:pPr>
      <w:r>
        <w:rPr>
          <w:b/>
          <w:bCs/>
        </w:rPr>
        <w:t xml:space="preserve">Table 11. </w:t>
      </w:r>
      <w:r>
        <w:t xml:space="preserve">Key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0"/>
        <w:gridCol w:w="3826"/>
      </w:tblGrid>
      <w:tr>
        <w:trPr>
          <w:cantSplit/>
          <w:tblHeader/>
        </w:trPr>
        <w:tc>
          <w:tcPr>
            <w:tcW w:type="dxa" w:w="5200"/>
            <w:tcBorders>
              <w:top w:val="none" w:color="FFFFFF" w:sz="0"/>
              <w:left w:val="none" w:color="FFFFFF" w:sz="0"/>
              <w:bottom w:val="single" w:color="1E293B" w:sz="4"/>
              <w:right w:val="none" w:color="FFFFFF" w:sz="0"/>
            </w:tcBorders>
            <w:shd w:fill="1E293B" w:color="auto" w:val="clear"/>
            <w:tcMar>
              <w:top w:type="dxa" w:w="80"/>
              <w:left w:type="dxa" w:w="120"/>
              <w:bottom w:type="dxa" w:w="80"/>
              <w:right w:type="dxa" w:w="120"/>
            </w:tcMar>
            <w:vAlign w:val="center"/>
          </w:tcPr>
          <w:p>
            <w:pPr>
              <w:keepNext/>
              <w:spacing w:after="0" w:line="264"/>
            </w:pPr>
            <w:r>
              <w:rPr>
                <w:b/>
                <w:bCs/>
                <w:color w:val="FFFFFF"/>
                <w:sz w:val="20"/>
                <w:szCs w:val="20"/>
              </w:rPr>
              <w:t xml:space="preserve">Measure</w:t>
            </w:r>
          </w:p>
        </w:tc>
        <w:tc>
          <w:tcPr>
            <w:tcW w:type="dxa" w:w="3826"/>
            <w:tcBorders>
              <w:top w:val="none" w:color="FFFFFF" w:sz="0"/>
              <w:left w:val="none" w:color="FFFFFF" w:sz="0"/>
              <w:bottom w:val="single" w:color="1E293B" w:sz="4"/>
              <w:right w:val="none" w:color="FFFFFF" w:sz="0"/>
            </w:tcBorders>
            <w:shd w:fill="1E293B" w:color="auto" w:val="clear"/>
            <w:tcMar>
              <w:top w:type="dxa" w:w="80"/>
              <w:left w:type="dxa" w:w="120"/>
              <w:bottom w:type="dxa" w:w="80"/>
              <w:right w:type="dxa" w:w="120"/>
            </w:tcMar>
            <w:vAlign w:val="center"/>
          </w:tcPr>
          <w:p>
            <w:pPr>
              <w:keepNext/>
              <w:spacing w:after="0" w:line="264"/>
              <w:jc w:val="right"/>
            </w:pPr>
            <w:r>
              <w:rPr>
                <w:b/>
                <w:bCs/>
                <w:color w:val="FFFFFF"/>
                <w:sz w:val="20"/>
                <w:szCs w:val="20"/>
              </w:rPr>
              <w:t xml:space="preserve">Value</w:t>
            </w:r>
          </w:p>
        </w:tc>
      </w:tr>
      <w:tr>
        <w:trPr>
          <w:cantSplit/>
        </w:trPr>
        <w:tc>
          <w:tcPr>
            <w:tcW w:type="dxa" w:w="5200"/>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pPr>
            <w:r>
              <w:rPr>
                <w:b/>
                <w:bCs/>
                <w:sz w:val="20"/>
                <w:szCs w:val="20"/>
              </w:rPr>
              <w:t xml:space="preserve">Original dataset records</w:t>
            </w:r>
          </w:p>
        </w:tc>
        <w:tc>
          <w:tcPr>
            <w:tcW w:type="dxa" w:w="3826"/>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jc w:val="right"/>
            </w:pPr>
            <w:r>
              <w:rPr>
                <w:b w:val="false"/>
                <w:bCs w:val="false"/>
                <w:sz w:val="20"/>
                <w:szCs w:val="20"/>
              </w:rPr>
              <w:t xml:space="preserve">73,100</w:t>
            </w:r>
          </w:p>
        </w:tc>
      </w:tr>
      <w:tr>
        <w:trPr>
          <w:cantSplit/>
        </w:trPr>
        <w:tc>
          <w:tcPr>
            <w:tcW w:type="dxa" w:w="52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Next/>
              <w:spacing w:after="0" w:line="264"/>
            </w:pPr>
            <w:r>
              <w:rPr>
                <w:b/>
                <w:bCs/>
                <w:sz w:val="20"/>
                <w:szCs w:val="20"/>
              </w:rPr>
              <w:t xml:space="preserve">Engineered ML dataset records</w:t>
            </w:r>
          </w:p>
        </w:tc>
        <w:tc>
          <w:tcPr>
            <w:tcW w:type="dxa" w:w="3826"/>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Next/>
              <w:spacing w:after="0" w:line="264"/>
              <w:jc w:val="right"/>
            </w:pPr>
            <w:r>
              <w:rPr>
                <w:b w:val="false"/>
                <w:bCs w:val="false"/>
                <w:sz w:val="20"/>
                <w:szCs w:val="20"/>
              </w:rPr>
              <w:t xml:space="preserve">70,300</w:t>
            </w:r>
          </w:p>
        </w:tc>
      </w:tr>
      <w:tr>
        <w:trPr>
          <w:cantSplit/>
        </w:trPr>
        <w:tc>
          <w:tcPr>
            <w:tcW w:type="dxa" w:w="5200"/>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pPr>
            <w:r>
              <w:rPr>
                <w:b/>
                <w:bCs/>
                <w:sz w:val="20"/>
                <w:szCs w:val="20"/>
              </w:rPr>
              <w:t xml:space="preserve">Forecast records (100 SKUs × 7 days)</w:t>
            </w:r>
          </w:p>
        </w:tc>
        <w:tc>
          <w:tcPr>
            <w:tcW w:type="dxa" w:w="3826"/>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jc w:val="right"/>
            </w:pPr>
            <w:r>
              <w:rPr>
                <w:b w:val="false"/>
                <w:bCs w:val="false"/>
                <w:sz w:val="20"/>
                <w:szCs w:val="20"/>
              </w:rPr>
              <w:t xml:space="preserve">700</w:t>
            </w:r>
          </w:p>
        </w:tc>
      </w:tr>
      <w:tr>
        <w:trPr>
          <w:cantSplit/>
        </w:trPr>
        <w:tc>
          <w:tcPr>
            <w:tcW w:type="dxa" w:w="52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Next/>
              <w:spacing w:after="0" w:line="264"/>
            </w:pPr>
            <w:r>
              <w:rPr>
                <w:b/>
                <w:bCs/>
                <w:sz w:val="20"/>
                <w:szCs w:val="20"/>
              </w:rPr>
              <w:t xml:space="preserve">Total predicted demand</w:t>
            </w:r>
          </w:p>
        </w:tc>
        <w:tc>
          <w:tcPr>
            <w:tcW w:type="dxa" w:w="3826"/>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Next/>
              <w:spacing w:after="0" w:line="264"/>
              <w:jc w:val="right"/>
            </w:pPr>
            <w:r>
              <w:rPr>
                <w:b w:val="false"/>
                <w:bCs w:val="false"/>
                <w:sz w:val="20"/>
                <w:szCs w:val="20"/>
              </w:rPr>
              <w:t xml:space="preserve">97,836.15 units</w:t>
            </w:r>
          </w:p>
        </w:tc>
      </w:tr>
      <w:tr>
        <w:trPr>
          <w:cantSplit/>
        </w:trPr>
        <w:tc>
          <w:tcPr>
            <w:tcW w:type="dxa" w:w="5200"/>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pPr>
            <w:r>
              <w:rPr>
                <w:b/>
                <w:bCs/>
                <w:sz w:val="20"/>
                <w:szCs w:val="20"/>
              </w:rPr>
              <w:t xml:space="preserve">Average predicted daily demand</w:t>
            </w:r>
          </w:p>
        </w:tc>
        <w:tc>
          <w:tcPr>
            <w:tcW w:type="dxa" w:w="3826"/>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jc w:val="right"/>
            </w:pPr>
            <w:r>
              <w:rPr>
                <w:b w:val="false"/>
                <w:bCs w:val="false"/>
                <w:sz w:val="20"/>
                <w:szCs w:val="20"/>
              </w:rPr>
              <w:t xml:space="preserve">139.77 units</w:t>
            </w:r>
          </w:p>
        </w:tc>
      </w:tr>
      <w:tr>
        <w:trPr>
          <w:cantSplit/>
        </w:trPr>
        <w:tc>
          <w:tcPr>
            <w:tcW w:type="dxa" w:w="52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Next/>
              <w:spacing w:after="0" w:line="264"/>
            </w:pPr>
            <w:r>
              <w:rPr>
                <w:b/>
                <w:bCs/>
                <w:sz w:val="20"/>
                <w:szCs w:val="20"/>
              </w:rPr>
              <w:t xml:space="preserve">Total recommended order quantity</w:t>
            </w:r>
          </w:p>
        </w:tc>
        <w:tc>
          <w:tcPr>
            <w:tcW w:type="dxa" w:w="3826"/>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Next/>
              <w:spacing w:after="0" w:line="264"/>
              <w:jc w:val="right"/>
            </w:pPr>
            <w:r>
              <w:rPr>
                <w:b w:val="false"/>
                <w:bCs w:val="false"/>
                <w:sz w:val="20"/>
                <w:szCs w:val="20"/>
              </w:rPr>
              <w:t xml:space="preserve">226,557 units</w:t>
            </w:r>
          </w:p>
        </w:tc>
      </w:tr>
      <w:tr>
        <w:trPr>
          <w:cantSplit/>
        </w:trPr>
        <w:tc>
          <w:tcPr>
            <w:tcW w:type="dxa" w:w="5200"/>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pPr>
            <w:r>
              <w:rPr>
                <w:b/>
                <w:bCs/>
                <w:sz w:val="20"/>
                <w:szCs w:val="20"/>
              </w:rPr>
              <w:t xml:space="preserve">Total projected stockout quantity</w:t>
            </w:r>
          </w:p>
        </w:tc>
        <w:tc>
          <w:tcPr>
            <w:tcW w:type="dxa" w:w="3826"/>
            <w:tcBorders>
              <w:top w:val="none" w:color="FFFFFF" w:sz="0"/>
              <w:left w:val="none" w:color="FFFFFF" w:sz="0"/>
              <w:bottom w:val="single" w:color="CBD5E1" w:sz="4"/>
              <w:right w:val="none" w:color="FFFFFF" w:sz="0"/>
            </w:tcBorders>
            <w:tcMar>
              <w:top w:type="dxa" w:w="80"/>
              <w:left w:type="dxa" w:w="120"/>
              <w:bottom w:type="dxa" w:w="80"/>
              <w:right w:type="dxa" w:w="120"/>
            </w:tcMar>
            <w:vAlign w:val="center"/>
          </w:tcPr>
          <w:p>
            <w:pPr>
              <w:keepNext/>
              <w:spacing w:after="0" w:line="264"/>
              <w:jc w:val="right"/>
            </w:pPr>
            <w:r>
              <w:rPr>
                <w:b w:val="false"/>
                <w:bCs w:val="false"/>
                <w:sz w:val="20"/>
                <w:szCs w:val="20"/>
              </w:rPr>
              <w:t xml:space="preserve">23,431.6 units</w:t>
            </w:r>
          </w:p>
        </w:tc>
      </w:tr>
      <w:tr>
        <w:trPr>
          <w:cantSplit/>
        </w:trPr>
        <w:tc>
          <w:tcPr>
            <w:tcW w:type="dxa" w:w="52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Next w:val="false"/>
              <w:spacing w:after="0" w:line="264"/>
            </w:pPr>
            <w:r>
              <w:rPr>
                <w:b/>
                <w:bCs/>
                <w:sz w:val="20"/>
                <w:szCs w:val="20"/>
              </w:rPr>
              <w:t xml:space="preserve">Average days of cover</w:t>
            </w:r>
          </w:p>
        </w:tc>
        <w:tc>
          <w:tcPr>
            <w:tcW w:type="dxa" w:w="3826"/>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center"/>
          </w:tcPr>
          <w:p>
            <w:pPr>
              <w:keepNext w:val="false"/>
              <w:spacing w:after="0" w:line="264"/>
              <w:jc w:val="right"/>
            </w:pPr>
            <w:r>
              <w:rPr>
                <w:b w:val="false"/>
                <w:bCs w:val="false"/>
                <w:sz w:val="20"/>
                <w:szCs w:val="20"/>
              </w:rPr>
              <w:t xml:space="preserve">3.74 days</w:t>
            </w:r>
          </w:p>
        </w:tc>
      </w:tr>
    </w:tbl>
    <w:p>
      <w:pPr>
        <w:pStyle w:val="Heading2"/>
      </w:pPr>
      <w:bookmarkStart w:name="_Toc0043" w:id="143"/>
      <w:r>
        <w:t xml:space="preserve">11.1 Observations</w:t>
      </w:r>
      <w:bookmarkEnd w:id="143"/>
    </w:p>
    <w:p>
      <w:pPr>
        <w:pStyle w:val="ListParagraph"/>
        <w:numPr>
          <w:ilvl w:val="0"/>
          <w:numId w:val="2"/>
        </w:numPr>
        <w:spacing w:after="70" w:line="280"/>
      </w:pPr>
      <w:r>
        <w:t xml:space="preserve">About 22% of simulation records (153 of 700) are classified HIGH risk and about 38% MEDIUM, while roughly 40% are LOW.</w:t>
      </w:r>
    </w:p>
    <w:p>
      <w:pPr>
        <w:pStyle w:val="ListParagraph"/>
        <w:numPr>
          <w:ilvl w:val="0"/>
          <w:numId w:val="2"/>
        </w:numPr>
        <w:spacing w:after="70" w:line="280"/>
      </w:pPr>
      <w:r>
        <w:t xml:space="preserve">The recommended order quantity (226,557 units) is more than twice the predicted demand (97,836 units). This is consistent with the limitation noted in Section 12.2: under the simple reorder rule, further orders can be triggered before earlier orders arrive.</w:t>
      </w:r>
    </w:p>
    <w:p>
      <w:pPr>
        <w:pStyle w:val="ListParagraph"/>
        <w:numPr>
          <w:ilvl w:val="0"/>
          <w:numId w:val="2"/>
        </w:numPr>
        <w:spacing w:after="70" w:line="280"/>
      </w:pPr>
      <w:r>
        <w:t xml:space="preserve">The projected stockout quantity represents unmet demand under the simulation assumptions, not physical stock.</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Height w:val="1600" w:hRule="atLeast"/>
        </w:trPr>
        <w:tc>
          <w:tcPr>
            <w:tcW w:type="dxa" w:w="9026"/>
            <w:tcBorders>
              <w:top w:val="dashed" w:color="94A3B8" w:sz="6"/>
              <w:left w:val="dashed" w:color="94A3B8" w:sz="6"/>
              <w:bottom w:val="dashed" w:color="94A3B8" w:sz="6"/>
              <w:right w:val="dashed" w:color="94A3B8" w:sz="6"/>
            </w:tcBorders>
            <w:shd w:fill="F8FAFC" w:color="auto" w:val="clear"/>
            <w:tcMar>
              <w:top w:type="dxa" w:w="200"/>
              <w:left w:type="dxa" w:w="300"/>
              <w:bottom w:type="dxa" w:w="200"/>
              <w:right w:type="dxa" w:w="300"/>
            </w:tcMar>
            <w:vAlign w:val="center"/>
          </w:tcPr>
          <w:p>
            <w:pPr>
              <w:spacing w:after="60"/>
              <w:jc w:val="center"/>
            </w:pPr>
            <w:r>
              <w:rPr>
                <w:b/>
                <w:bCs/>
                <w:color w:val="64748B"/>
                <w:sz w:val="22"/>
                <w:szCs w:val="22"/>
              </w:rPr>
              <w:t xml:space="preserve">Screenshot placeholder</w:t>
            </w:r>
          </w:p>
          <w:p>
            <w:pPr>
              <w:spacing w:after="0"/>
              <w:jc w:val="center"/>
            </w:pPr>
            <w:r>
              <w:rPr>
                <w:color w:val="64748B"/>
                <w:sz w:val="20"/>
                <w:szCs w:val="20"/>
              </w:rPr>
              <w:t xml:space="preserve">Insert a screenshot of the final forecast CSV, notebook output, or simulation results here.</w:t>
            </w:r>
          </w:p>
        </w:tc>
      </w:tr>
    </w:tbl>
    <w:p>
      <w:pPr>
        <w:pStyle w:val="Caption"/>
      </w:pPr>
      <w:r>
        <w:rPr>
          <w:b/>
          <w:bCs/>
        </w:rPr>
        <w:t xml:space="preserve">Figure 8. </w:t>
      </w:r>
      <w:r>
        <w:t xml:space="preserve">Final forecast / simulation output</w:t>
      </w:r>
    </w:p>
    <w:p>
      <w:pPr>
        <w:pStyle w:val="Heading1"/>
        <w:pageBreakBefore/>
      </w:pPr>
      <w:bookmarkStart w:name="_Toc0044" w:id="144"/>
      <w:r>
        <w:t xml:space="preserve">12. Advantages, Limitations, and Future Scope</w:t>
      </w:r>
      <w:bookmarkEnd w:id="144"/>
    </w:p>
    <w:p>
      <w:pPr>
        <w:pStyle w:val="Heading2"/>
      </w:pPr>
      <w:bookmarkStart w:name="_Toc0045" w:id="145"/>
      <w:r>
        <w:t xml:space="preserve">12.1 Advantages</w:t>
      </w:r>
      <w:bookmarkEnd w:id="145"/>
    </w:p>
    <w:p>
      <w:pPr>
        <w:pStyle w:val="ListParagraph"/>
        <w:numPr>
          <w:ilvl w:val="0"/>
          <w:numId w:val="2"/>
        </w:numPr>
        <w:spacing w:after="70" w:line="280"/>
      </w:pPr>
      <w:r>
        <w:t xml:space="preserve">End-to-end workflow from raw data to inventory intelligence.</w:t>
      </w:r>
    </w:p>
    <w:p>
      <w:pPr>
        <w:pStyle w:val="ListParagraph"/>
        <w:numPr>
          <w:ilvl w:val="0"/>
          <w:numId w:val="2"/>
        </w:numPr>
        <w:spacing w:after="70" w:line="280"/>
      </w:pPr>
      <w:r>
        <w:t xml:space="preserve">Uses machine learning rather than only fixed historical averages.</w:t>
      </w:r>
    </w:p>
    <w:p>
      <w:pPr>
        <w:pStyle w:val="ListParagraph"/>
        <w:numPr>
          <w:ilvl w:val="0"/>
          <w:numId w:val="2"/>
        </w:numPr>
        <w:spacing w:after="70" w:line="280"/>
      </w:pPr>
      <w:r>
        <w:t xml:space="preserve">Supports recursive multi-SKU forecasting.</w:t>
      </w:r>
    </w:p>
    <w:p>
      <w:pPr>
        <w:pStyle w:val="ListParagraph"/>
        <w:numPr>
          <w:ilvl w:val="0"/>
          <w:numId w:val="2"/>
        </w:numPr>
        <w:spacing w:after="70" w:line="280"/>
      </w:pPr>
      <w:r>
        <w:t xml:space="preserve">Provides interpretable inventory indicators.</w:t>
      </w:r>
    </w:p>
    <w:p>
      <w:pPr>
        <w:pStyle w:val="ListParagraph"/>
        <w:numPr>
          <w:ilvl w:val="0"/>
          <w:numId w:val="2"/>
        </w:numPr>
        <w:spacing w:after="70" w:line="280"/>
      </w:pPr>
      <w:r>
        <w:t xml:space="preserve">Interactive dashboard improves accessibility of analytical results.</w:t>
      </w:r>
    </w:p>
    <w:p>
      <w:pPr>
        <w:pStyle w:val="ListParagraph"/>
        <w:numPr>
          <w:ilvl w:val="0"/>
          <w:numId w:val="2"/>
        </w:numPr>
        <w:spacing w:after="70" w:line="280"/>
      </w:pPr>
      <w:r>
        <w:t xml:space="preserve">Reusable saved model avoids retraining for every dashboard session.</w:t>
      </w:r>
    </w:p>
    <w:p>
      <w:pPr>
        <w:pStyle w:val="ListParagraph"/>
        <w:numPr>
          <w:ilvl w:val="0"/>
          <w:numId w:val="2"/>
        </w:numPr>
        <w:spacing w:after="70" w:line="280"/>
      </w:pPr>
      <w:r>
        <w:t xml:space="preserve">Modular design allows future improvements to forecasting and inventory logic.</w:t>
      </w:r>
    </w:p>
    <w:p>
      <w:pPr>
        <w:pStyle w:val="Heading2"/>
      </w:pPr>
      <w:bookmarkStart w:name="_Toc0046" w:id="146"/>
      <w:r>
        <w:t xml:space="preserve">12.2 Limitations</w:t>
      </w:r>
      <w:bookmarkEnd w:id="146"/>
    </w:p>
    <w:p>
      <w:pPr>
        <w:pStyle w:val="ListParagraph"/>
        <w:numPr>
          <w:ilvl w:val="0"/>
          <w:numId w:val="2"/>
        </w:numPr>
        <w:spacing w:after="70" w:line="280"/>
      </w:pPr>
      <w:r>
        <w:t xml:space="preserve">The dataset is structured and synthetic-looking and may not represent every real-world retail condition.</w:t>
      </w:r>
    </w:p>
    <w:p>
      <w:pPr>
        <w:pStyle w:val="ListParagraph"/>
        <w:numPr>
          <w:ilvl w:val="0"/>
          <w:numId w:val="2"/>
        </w:numPr>
        <w:spacing w:after="70" w:line="280"/>
      </w:pPr>
      <w:r>
        <w:t xml:space="preserve">The current model does not include live external demand signals.</w:t>
      </w:r>
    </w:p>
    <w:p>
      <w:pPr>
        <w:pStyle w:val="ListParagraph"/>
        <w:numPr>
          <w:ilvl w:val="0"/>
          <w:numId w:val="2"/>
        </w:numPr>
        <w:spacing w:after="70" w:line="280"/>
      </w:pPr>
      <w:r>
        <w:t xml:space="preserve">Future inventory values depend on assumptions such as lead time and service factor.</w:t>
      </w:r>
    </w:p>
    <w:p>
      <w:pPr>
        <w:pStyle w:val="ListParagraph"/>
        <w:numPr>
          <w:ilvl w:val="0"/>
          <w:numId w:val="2"/>
        </w:numPr>
        <w:spacing w:after="70" w:line="280"/>
      </w:pPr>
      <w:r>
        <w:t xml:space="preserve">The simulation may represent unmet demand as negative inventory rather than modelling backorders separately.</w:t>
      </w:r>
    </w:p>
    <w:p>
      <w:pPr>
        <w:pStyle w:val="ListParagraph"/>
        <w:numPr>
          <w:ilvl w:val="0"/>
          <w:numId w:val="2"/>
        </w:numPr>
        <w:spacing w:after="70" w:line="280"/>
      </w:pPr>
      <w:r>
        <w:t xml:space="preserve">Multiple replenishment orders can be triggered before earlier orders arrive under the simple reorder rule.</w:t>
      </w:r>
    </w:p>
    <w:p>
      <w:pPr>
        <w:pStyle w:val="ListParagraph"/>
        <w:numPr>
          <w:ilvl w:val="0"/>
          <w:numId w:val="2"/>
        </w:numPr>
        <w:spacing w:after="70" w:line="280"/>
      </w:pPr>
      <w:r>
        <w:t xml:space="preserve">The dashboard is a decision-support prototype and does not execute real procurement transactions.</w:t>
      </w:r>
    </w:p>
    <w:p>
      <w:pPr>
        <w:pStyle w:val="Heading2"/>
      </w:pPr>
      <w:bookmarkStart w:name="_Toc0047" w:id="147"/>
      <w:r>
        <w:t xml:space="preserve">12.3 Future Scope</w:t>
      </w:r>
      <w:bookmarkEnd w:id="147"/>
    </w:p>
    <w:p>
      <w:pPr>
        <w:pStyle w:val="ListParagraph"/>
        <w:numPr>
          <w:ilvl w:val="0"/>
          <w:numId w:val="2"/>
        </w:numPr>
        <w:spacing w:after="70" w:line="280"/>
      </w:pPr>
      <w:r>
        <w:t xml:space="preserve">Integrate real ERP, POS, warehouse, and procurement data.</w:t>
      </w:r>
    </w:p>
    <w:p>
      <w:pPr>
        <w:pStyle w:val="ListParagraph"/>
        <w:numPr>
          <w:ilvl w:val="0"/>
          <w:numId w:val="2"/>
        </w:numPr>
        <w:spacing w:after="70" w:line="280"/>
      </w:pPr>
      <w:r>
        <w:t xml:space="preserve">Add live external signals such as weather, events, competitor pricing, and market trends.</w:t>
      </w:r>
    </w:p>
    <w:p>
      <w:pPr>
        <w:pStyle w:val="ListParagraph"/>
        <w:numPr>
          <w:ilvl w:val="0"/>
          <w:numId w:val="2"/>
        </w:numPr>
        <w:spacing w:after="70" w:line="280"/>
      </w:pPr>
      <w:r>
        <w:t xml:space="preserve">Evaluate advanced time-series and deep-learning models such as LSTM, Temporal Fusion Transformer, or other forecasting approaches.</w:t>
      </w:r>
    </w:p>
    <w:p>
      <w:pPr>
        <w:pStyle w:val="ListParagraph"/>
        <w:numPr>
          <w:ilvl w:val="0"/>
          <w:numId w:val="2"/>
        </w:numPr>
        <w:spacing w:after="70" w:line="280"/>
      </w:pPr>
      <w:r>
        <w:t xml:space="preserve">Add probabilistic forecasting and prediction intervals.</w:t>
      </w:r>
    </w:p>
    <w:p>
      <w:pPr>
        <w:pStyle w:val="ListParagraph"/>
        <w:numPr>
          <w:ilvl w:val="0"/>
          <w:numId w:val="2"/>
        </w:numPr>
        <w:spacing w:after="70" w:line="280"/>
      </w:pPr>
      <w:r>
        <w:t xml:space="preserve">Improve replenishment logic using order pipelines, minimum order quantities, supplier constraints, and service-level optimization.</w:t>
      </w:r>
    </w:p>
    <w:p>
      <w:pPr>
        <w:pStyle w:val="ListParagraph"/>
        <w:numPr>
          <w:ilvl w:val="0"/>
          <w:numId w:val="2"/>
        </w:numPr>
        <w:spacing w:after="70" w:line="280"/>
      </w:pPr>
      <w:r>
        <w:t xml:space="preserve">Separate physical inventory, unmet demand, and backorders explicitly.</w:t>
      </w:r>
    </w:p>
    <w:p>
      <w:pPr>
        <w:pStyle w:val="ListParagraph"/>
        <w:numPr>
          <w:ilvl w:val="0"/>
          <w:numId w:val="2"/>
        </w:numPr>
        <w:spacing w:after="70" w:line="280"/>
      </w:pPr>
      <w:r>
        <w:t xml:space="preserve">Add role-based dashboard access and cloud deployment.</w:t>
      </w:r>
    </w:p>
    <w:p>
      <w:pPr>
        <w:pStyle w:val="ListParagraph"/>
        <w:numPr>
          <w:ilvl w:val="0"/>
          <w:numId w:val="2"/>
        </w:numPr>
        <w:spacing w:after="70" w:line="280"/>
      </w:pPr>
      <w:r>
        <w:t xml:space="preserve">Introduce automated alerts for high-risk SKUs.</w:t>
      </w:r>
    </w:p>
    <w:p>
      <w:pPr>
        <w:pStyle w:val="Heading1"/>
        <w:pageBreakBefore/>
      </w:pPr>
      <w:bookmarkStart w:name="_Toc0048" w:id="148"/>
      <w:r>
        <w:t xml:space="preserve">13. Conclusion</w:t>
      </w:r>
      <w:bookmarkEnd w:id="148"/>
    </w:p>
    <w:p>
      <w:pPr>
        <w:spacing w:after="140" w:before="0" w:line="288"/>
      </w:pPr>
      <w:r>
        <w:t xml:space="preserve">FORESIGHT demonstrates how machine learning can be integrated with inventory-management logic to support retail decision-making. The project implements data preparation, feature engineering, model evaluation, XGBoost demand forecasting, inventory intelligence, dynamic simulation, and interactive visualization.</w:t>
      </w:r>
    </w:p>
    <w:p>
      <w:pPr>
        <w:spacing w:after="140" w:before="0" w:line="288"/>
      </w:pPr>
      <w:r>
        <w:t xml:space="preserve">The seven-day forecasting workflow provides SKU-level demand estimates for 100 Store–Product combinations. The inventory layer translates those forecasts into safety stock, reorder points, stockout risk, and recommended order quantities, and the Streamlit dashboard provides a practical interface for exploring them.</w:t>
      </w:r>
    </w:p>
    <w:p>
      <w:pPr>
        <w:spacing w:after="140" w:before="0" w:line="288"/>
      </w:pPr>
      <w:r>
        <w:t xml:space="preserve">The system provides a strong foundation for future integration with real operational systems and more advanced forecasting and replenishment methods.</w:t>
      </w:r>
    </w:p>
    <w:p>
      <w:pPr>
        <w:pStyle w:val="Heading1"/>
        <w:spacing w:after="200" w:before="480"/>
      </w:pPr>
      <w:bookmarkStart w:name="_Toc9999" w:id="149"/>
      <w:r>
        <w:t xml:space="preserve">References</w:t>
      </w:r>
      <w:bookmarkEnd w:id="149"/>
    </w:p>
    <w:p>
      <w:pPr>
        <w:tabs>
          <w:tab w:val="left" w:pos="500"/>
        </w:tabs>
        <w:spacing w:after="100" w:line="276"/>
        <w:ind w:left="500" w:hanging="500"/>
      </w:pPr>
      <w:r>
        <w:rPr>
          <w:b/>
          <w:bCs/>
          <w:color w:val="2563EB"/>
        </w:rPr>
        <w:t xml:space="preserve">[1]	</w:t>
      </w:r>
      <w:r>
        <w:t xml:space="preserve">Chen, T. &amp; Guestrin, C. (2016). XGBoost: A Scalable Tree Boosting System. Proceedings of the 22nd ACM SIGKDD International Conference on Knowledge Discovery and Data Mining.</w:t>
      </w:r>
    </w:p>
    <w:p>
      <w:pPr>
        <w:tabs>
          <w:tab w:val="left" w:pos="500"/>
        </w:tabs>
        <w:spacing w:after="100" w:line="276"/>
        <w:ind w:left="500" w:hanging="500"/>
      </w:pPr>
      <w:r>
        <w:rPr>
          <w:b/>
          <w:bCs/>
          <w:color w:val="2563EB"/>
        </w:rPr>
        <w:t xml:space="preserve">[2]	</w:t>
      </w:r>
      <w:r>
        <w:t xml:space="preserve">Pedregosa, F. et al. (2011). Scikit-learn: Machine Learning in Python. Journal of Machine Learning Research, 12, 2825–2830.</w:t>
      </w:r>
    </w:p>
    <w:p>
      <w:pPr>
        <w:tabs>
          <w:tab w:val="left" w:pos="500"/>
        </w:tabs>
        <w:spacing w:after="100" w:line="276"/>
        <w:ind w:left="500" w:hanging="500"/>
      </w:pPr>
      <w:r>
        <w:rPr>
          <w:b/>
          <w:bCs/>
          <w:color w:val="2563EB"/>
        </w:rPr>
        <w:t xml:space="preserve">[3]	</w:t>
      </w:r>
      <w:r>
        <w:t xml:space="preserve">McKinney, W. (2010). Data Structures for Statistical Computing in Python. Proceedings of the 9th Python in Science Conference.</w:t>
      </w:r>
    </w:p>
    <w:p>
      <w:pPr>
        <w:tabs>
          <w:tab w:val="left" w:pos="500"/>
        </w:tabs>
        <w:spacing w:after="100" w:line="276"/>
        <w:ind w:left="500" w:hanging="500"/>
      </w:pPr>
      <w:r>
        <w:rPr>
          <w:b/>
          <w:bCs/>
          <w:color w:val="2563EB"/>
        </w:rPr>
        <w:t xml:space="preserve">[4]	</w:t>
      </w:r>
      <w:r>
        <w:t xml:space="preserve">Harris, C. R. et al. (2020). Array programming with NumPy. Nature, 585, 357–362.</w:t>
      </w:r>
    </w:p>
    <w:p>
      <w:pPr>
        <w:tabs>
          <w:tab w:val="left" w:pos="500"/>
        </w:tabs>
        <w:spacing w:after="100" w:line="276"/>
        <w:ind w:left="500" w:hanging="500"/>
      </w:pPr>
      <w:r>
        <w:rPr>
          <w:b/>
          <w:bCs/>
          <w:color w:val="2563EB"/>
        </w:rPr>
        <w:t xml:space="preserve">[5]	</w:t>
      </w:r>
      <w:r>
        <w:t xml:space="preserve">Streamlit Documentation. Streamlit — A faster way to build and share data apps.</w:t>
      </w:r>
    </w:p>
    <w:p>
      <w:pPr>
        <w:tabs>
          <w:tab w:val="left" w:pos="500"/>
        </w:tabs>
        <w:spacing w:after="100" w:line="276"/>
        <w:ind w:left="500" w:hanging="500"/>
      </w:pPr>
      <w:r>
        <w:rPr>
          <w:b/>
          <w:bCs/>
          <w:color w:val="2563EB"/>
        </w:rPr>
        <w:t xml:space="preserve">[6]	</w:t>
      </w:r>
      <w:r>
        <w:t xml:space="preserve">XGBoost Documentation. XGBoost Python API and User Documentation.</w:t>
      </w:r>
    </w:p>
    <w:p>
      <w:pPr>
        <w:tabs>
          <w:tab w:val="left" w:pos="500"/>
        </w:tabs>
        <w:spacing w:after="100" w:line="276"/>
        <w:ind w:left="500" w:hanging="500"/>
      </w:pPr>
      <w:r>
        <w:rPr>
          <w:b/>
          <w:bCs/>
          <w:color w:val="2563EB"/>
        </w:rPr>
        <w:t xml:space="preserve">[7]	</w:t>
      </w:r>
      <w:r>
        <w:t xml:space="preserve">Pandas Documentation. Pandas User Guide and API Reference.</w:t>
      </w:r>
    </w:p>
    <w:sectPr>
      <w:headerReference w:type="default" r:id="rId7"/>
      <w:footerReference w:type="default" r:id="rId8"/>
      <w:pgSz w:w="11906" w:h="16838" w:orient="portrait"/>
      <w:pgMar w:top="1400" w:right="1440" w:bottom="1300" w:left="1440" w:header="600" w:footer="56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Page </w:t>
    </w:r>
    <w:r>
      <w:rPr>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6"/>
      </w:pBdr>
      <w:tabs>
        <w:tab w:val="right" w:pos="9026"/>
      </w:tabs>
    </w:pPr>
    <w:r>
      <w:rPr>
        <w:b/>
        <w:bCs/>
        <w:color w:val="2563EB"/>
        <w:sz w:val="18"/>
        <w:szCs w:val="18"/>
      </w:rPr>
      <w:t xml:space="preserve">FORESIGHT</w:t>
    </w:r>
    <w:r>
      <w:rPr>
        <w:color w:val="64748B"/>
        <w:sz w:val="18"/>
        <w:szCs w:val="18"/>
      </w:rPr>
      <w:t xml:space="preserve">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rPr>
        <w:color w:val="2563EB"/>
      </w:rPr>
    </w:lvl>
  </w:abstractNum>
  <w:abstractNum w:abstractNumId="3" w15:restartNumberingAfterBreak="0">
    <w:multiLevelType w:val="hybridMultilevel"/>
    <w:lvl w:ilvl="0" w15:tentative="1">
      <w:start w:val="1"/>
      <w:numFmt w:val="decimal"/>
      <w:lvlText w:val="%1."/>
      <w:lvlJc w:val="left"/>
      <w:pPr>
        <w:ind w:left="500" w:hanging="360"/>
      </w:pPr>
      <w:rPr>
        <w:b/>
        <w:bCs/>
        <w:color w:val="2563EB"/>
      </w:rPr>
    </w:lvl>
  </w:abstractNum>
  <w:abstractNum w:abstractNumId="4" w15:restartNumberingAfterBreak="0">
    <w:multiLevelType w:val="hybridMultilevel"/>
    <w:lvl w:ilvl="0" w15:tentative="1">
      <w:start w:val="1"/>
      <w:numFmt w:val="decimal"/>
      <w:lvlText w:val="%1."/>
      <w:lvlJc w:val="left"/>
      <w:pPr>
        <w:ind w:left="500" w:hanging="360"/>
      </w:pPr>
      <w:rPr>
        <w:b/>
        <w:bCs/>
        <w:color w:val="2563E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563EB" w:sz="12" w:space="6"/>
      </w:pBdr>
      <w:spacing w:after="240" w:before="0"/>
      <w:outlineLvl w:val="0"/>
    </w:pPr>
    <w:rPr>
      <w:rFonts w:ascii="Calibri" w:cs="Calibri" w:eastAsia="Calibri" w:hAnsi="Calibri"/>
      <w:b/>
      <w:bCs/>
      <w:color w:val="1E293B"/>
      <w:sz w:val="40"/>
      <w:szCs w:val="40"/>
    </w:rPr>
  </w:style>
  <w:style w:type="paragraph" w:styleId="Heading2">
    <w:name w:val="Heading 2"/>
    <w:basedOn w:val="Normal"/>
    <w:next w:val="Normal"/>
    <w:qFormat/>
    <w:pPr>
      <w:keepNext/>
      <w:spacing w:after="120" w:before="320"/>
      <w:outlineLvl w:val="1"/>
    </w:pPr>
    <w:rPr>
      <w:rFonts w:ascii="Calibri" w:cs="Calibri" w:eastAsia="Calibri" w:hAnsi="Calibri"/>
      <w:b/>
      <w:bCs/>
      <w:color w:val="2563EB"/>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1E293B"/>
      <w:sz w:val="23"/>
      <w:szCs w:val="23"/>
    </w:rPr>
  </w:style>
  <w:style w:type="paragraph" w:styleId="Caption">
    <w:name w:val="Caption"/>
    <w:basedOn w:val="Normal"/>
    <w:next w:val="Normal"/>
    <w:qFormat/>
    <w:pPr>
      <w:spacing w:after="200" w:before="40"/>
      <w:jc w:val="center"/>
    </w:pPr>
    <w:rPr>
      <w:color w:val="64748B"/>
      <w:sz w:val="18"/>
      <w:szCs w:val="18"/>
    </w:rPr>
  </w:style>
  <w:style w:type="paragraph" w:styleId="TOCTitle">
    <w:name w:val="TOC Title"/>
    <w:basedOn w:val="Normal"/>
    <w:next w:val="Normal"/>
    <w:pPr>
      <w:pBdr>
        <w:bottom w:val="single" w:color="2563EB" w:sz="12" w:space="6"/>
      </w:pBdr>
      <w:spacing w:after="320"/>
    </w:pPr>
    <w:rPr>
      <w:b/>
      <w:bCs/>
      <w:color w:val="1E293B"/>
      <w:sz w:val="40"/>
      <w:szCs w:val="40"/>
    </w:rPr>
  </w:style>
  <w:style w:type="paragraph" w:styleId="TOC1">
    <w:name w:val="toc 1"/>
    <w:basedOn w:val="Normal"/>
    <w:next w:val="Normal"/>
    <w:pPr>
      <w:keepNext/>
      <w:tabs>
        <w:tab w:val="right" w:pos="9026" w:leader="dot"/>
      </w:tabs>
      <w:spacing w:after="70" w:before="220"/>
    </w:pPr>
    <w:rPr>
      <w:b/>
      <w:bCs/>
      <w:color w:val="1E293B"/>
      <w:sz w:val="22"/>
      <w:szCs w:val="22"/>
    </w:rPr>
  </w:style>
  <w:style w:type="paragraph" w:styleId="TOC2">
    <w:name w:val="toc 2"/>
    <w:basedOn w:val="Normal"/>
    <w:next w:val="Normal"/>
    <w:pPr>
      <w:tabs>
        <w:tab w:val="right" w:pos="9026" w:leader="dot"/>
      </w:tabs>
      <w:spacing w:after="60" w:before="0"/>
      <w:ind w:left="360"/>
    </w:pPr>
    <w:rPr>
      <w:color w:val="33415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cef868b017018750a8001fdf01dab92ec0dca9b.png"/><Relationship Id="rId10" Type="http://schemas.openxmlformats.org/officeDocument/2006/relationships/image" Target="media/760fc502e17e81a763c71cd5cc727bd80b4ebf04.png"/><Relationship Id="rId11" Type="http://schemas.openxmlformats.org/officeDocument/2006/relationships/image" Target="media/dc135e48c1a9fbbc80849bcfd72e7083fbfa2d63.png"/><Relationship Id="rId12" Type="http://schemas.openxmlformats.org/officeDocument/2006/relationships/image" Target="media/c8c27945319abb81ec9a852fb281ef758498fbf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FORESIGHT: AI-Powered Demand &amp; Inventory Intelligence Platform</dc:title>
  <dc:creator>FORESIGHT Project</dc:creator>
  <dc:description>Project documentation</dc:description>
  <cp:lastModifiedBy>Un-named</cp:lastModifiedBy>
  <cp:revision>1</cp:revision>
  <dcterms:created xsi:type="dcterms:W3CDTF">2026-09-19T16:56:08.608Z</dcterms:created>
  <dcterms:modified xsi:type="dcterms:W3CDTF">2026-09-19T16:56:08.608Z</dcterms:modified>
</cp:coreProperties>
</file>

<file path=docProps/custom.xml><?xml version="1.0" encoding="utf-8"?>
<Properties xmlns="http://schemas.openxmlformats.org/officeDocument/2006/custom-properties" xmlns:vt="http://schemas.openxmlformats.org/officeDocument/2006/docPropsVTypes"/>
</file>