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rPr>
          <w:b/>
          <w:bCs/>
          <w:color w:val="1B4332"/>
          <w:sz w:val="40"/>
          <w:szCs w:val="40"/>
        </w:rPr>
        <w:t xml:space="preserve">New Member Onboarding</w:t>
      </w:r>
    </w:p>
    <w:p>
      <w:pPr>
        <w:pStyle w:val="DocSubtitle"/>
      </w:pPr>
      <w:r>
        <w:rPr>
          <w:i/>
          <w:iCs/>
          <w:color w:val="2D6A4F"/>
          <w:sz w:val="26"/>
          <w:szCs w:val="26"/>
        </w:rPr>
        <w:t xml:space="preserve">Mockup Screen Reference</w:t>
      </w:r>
    </w:p>
    <w:p>
      <w:pPr>
        <w:pStyle w:val="SectionHead"/>
      </w:pPr>
      <w:r>
        <w:rPr>
          <w:color w:val="4A4A4A"/>
          <w:sz w:val="24"/>
          <w:szCs w:val="24"/>
        </w:rPr>
        <w:t xml:space="preserve">Step 4: Interests &amp; Group Discovery  •  Step 5: Serving &amp; Volunteer Preferences</w:t>
      </w:r>
    </w:p>
    <w:p>
      <w:pPr>
        <w:pStyle w:val="BodyText"/>
        <w:jc w:val="both"/>
      </w:pPr>
      <w:r>
        <w:rPr>
          <w:sz w:val="22"/>
          <w:szCs w:val="22"/>
        </w:rPr>
        <w:t xml:space="preserve">This document provides a detailed written description of the ROCA New Member Onboarding mockup screens for Steps 4 and 5 of the 7-step onboarding wizard. It covers Step 4: Interests &amp; Group Discovery (where new members choose faith-life topic preferences and are matched with community groups) and Step 5: Serving &amp; Volunteer Preferences (where members indicate their availability, spiritual gifts, and ministry interests for volunteer matching). This document serves as a reference companion to the visual mockup image, documenting the purpose, layout, and interaction design of each panel for the benefit of engineers, QA, and stakeholders.</w:t>
      </w:r>
    </w:p>
    <w:p>
      <w:pPr>
        <w:pStyle w:val="Heading1"/>
      </w:pPr>
      <w:r>
        <w:rPr>
          <w:b/>
          <w:bCs/>
          <w:color w:val="1B4332"/>
          <w:sz w:val="28"/>
          <w:szCs w:val="28"/>
        </w:rPr>
        <w:t xml:space="preserve">1.  Onboarding Screens Mockup — Batch 3</w:t>
      </w:r>
    </w:p>
    <w:p>
      <w:pPr>
        <w:pStyle w:val="BodyText"/>
        <w:jc w:val="both"/>
      </w:pPr>
      <w:r>
        <w:rPr>
          <w:sz w:val="22"/>
          <w:szCs w:val="22"/>
        </w:rPr>
        <w:t xml:space="preserve">The mockup below renders the two personalization screens of the ROCA onboarding wizard side by side, as they appear on a desktop web browser. The left panel covers Step 4 (Interests &amp; Group Discovery) and the right panel covers Step 5 (Serving &amp; Volunteer Preferences). Both screens share the consistent ROCA global header, liturgical season banner, and the 7-step progress indicator.</w:t>
      </w:r>
    </w:p>
    <w:p>
      <w:pPr>
        <w:spacing w:after="120" w:before="200"/>
        <w:jc w:val="center"/>
      </w:pPr>
      <w:r>
        <w:drawing>
          <wp:inline distT="0" distB="0" distL="0" distR="0">
            <wp:extent cx="5905500" cy="3324225"/>
            <wp:effectExtent t="0" r="0" b="0" l="0"/>
            <wp:docPr id="1" name="batch3-mockup" descr="Step 4 Interests and Group Discovery left panel, Step 5 Serving and Volunteer Preferences right panel" title="ROCA Onboarding Batch 3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pStyle w:val="Caption"/>
      </w:pPr>
      <w:r>
        <w:rPr>
          <w:i/>
          <w:iCs/>
          <w:color w:val="555555"/>
          <w:sz w:val="20"/>
          <w:szCs w:val="20"/>
        </w:rPr>
        <w:t xml:space="preserve">Figure 1 — ROCA New Member Onboarding: Step 4 (Interests &amp; Group Discovery, left) and Step 5 (Serving &amp; Volunteer Preferences, right)</w:t>
      </w:r>
    </w:p>
    <w:p>
      <w:pPr>
        <w:pStyle w:val="Heading1"/>
      </w:pPr>
      <w:r>
        <w:rPr>
          <w:b/>
          <w:bCs/>
          <w:color w:val="1B4332"/>
          <w:sz w:val="28"/>
          <w:szCs w:val="28"/>
        </w:rPr>
        <w:t xml:space="preserve">2.  Left Panel — Step 4: Interests &amp; Group Discovery</w:t>
      </w:r>
    </w:p>
    <w:p>
      <w:pPr>
        <w:pStyle w:val="BodyText"/>
        <w:jc w:val="both"/>
      </w:pPr>
      <w:r>
        <w:rPr>
          <w:sz w:val="22"/>
          <w:szCs w:val="22"/>
        </w:rPr>
        <w:t xml:space="preserve">Step 4 is the first personalization screen of the ROCA onboarding wizard. After a member's account is approved and their profile is set up (Steps 1-3), this step invites them to shape their community experience by choosing the faith-life topics that matter most to them and discovering the small groups or ministry teams that align with those interests. The interaction is deliberately low-friction: members tap interest chips, preview matching groups, and opt in with a single button press — no forms, no required fields.</w:t>
      </w:r>
    </w:p>
    <w:p>
      <w:pPr>
        <w:pStyle w:val="Heading2"/>
      </w:pPr>
      <w:r>
        <w:rPr>
          <w:b/>
          <w:bCs/>
          <w:color w:val="2D6A4F"/>
          <w:sz w:val="24"/>
          <w:szCs w:val="24"/>
        </w:rPr>
        <w:t xml:space="preserve">2.1  Purpose &amp; Goals</w:t>
      </w:r>
    </w:p>
    <w:p>
      <w:pPr>
        <w:pStyle w:val="ListParagraph"/>
        <w:numPr>
          <w:ilvl w:val="0"/>
          <w:numId w:val="2"/>
        </w:numPr>
      </w:pPr>
      <w:r>
        <w:rPr>
          <w:b/>
          <w:bCs/>
          <w:sz w:val="22"/>
          <w:szCs w:val="22"/>
        </w:rPr>
        <w:t xml:space="preserve">Primary action: </w:t>
      </w:r>
      <w:r>
        <w:rPr>
          <w:sz w:val="22"/>
          <w:szCs w:val="22"/>
        </w:rPr>
        <w:t xml:space="preserve">Select topic interests (faith categories) and preview matched community groups.</w:t>
      </w:r>
    </w:p>
    <w:p>
      <w:pPr>
        <w:pStyle w:val="ListParagraph"/>
        <w:numPr>
          <w:ilvl w:val="0"/>
          <w:numId w:val="2"/>
        </w:numPr>
      </w:pPr>
      <w:r>
        <w:rPr>
          <w:b/>
          <w:bCs/>
          <w:sz w:val="22"/>
          <w:szCs w:val="22"/>
        </w:rPr>
        <w:t xml:space="preserve">Personalization engine: </w:t>
      </w:r>
      <w:r>
        <w:rPr>
          <w:sz w:val="22"/>
          <w:szCs w:val="22"/>
        </w:rPr>
        <w:t xml:space="preserve">Interest selections seed the member's recommendation graph, influencing event suggestions, group discovery, and sermon series highlights throughout the platform.</w:t>
      </w:r>
    </w:p>
    <w:p>
      <w:pPr>
        <w:pStyle w:val="ListParagraph"/>
        <w:numPr>
          <w:ilvl w:val="0"/>
          <w:numId w:val="2"/>
        </w:numPr>
      </w:pPr>
      <w:r>
        <w:rPr>
          <w:b/>
          <w:bCs/>
          <w:sz w:val="22"/>
          <w:szCs w:val="22"/>
        </w:rPr>
        <w:t xml:space="preserve">Community connection: </w:t>
      </w:r>
      <w:r>
        <w:rPr>
          <w:sz w:val="22"/>
          <w:szCs w:val="22"/>
        </w:rPr>
        <w:t xml:space="preserve">Group preview cards are rendered inline so members can immediately see real people and ministries that match their interests — reducing the first-week drop-off rate.</w:t>
      </w:r>
    </w:p>
    <w:p>
      <w:pPr>
        <w:pStyle w:val="ListParagraph"/>
        <w:numPr>
          <w:ilvl w:val="0"/>
          <w:numId w:val="2"/>
        </w:numPr>
      </w:pPr>
      <w:r>
        <w:rPr>
          <w:b/>
          <w:bCs/>
          <w:sz w:val="22"/>
          <w:szCs w:val="22"/>
        </w:rPr>
        <w:t xml:space="preserve">Skip-friendly: </w:t>
      </w:r>
      <w:r>
        <w:rPr>
          <w:sz w:val="22"/>
          <w:szCs w:val="22"/>
        </w:rPr>
        <w:t xml:space="preserve">A prominent "Skip for now" option lets members proceed without selecting interests. In this case, default group recommendations are shown based on the member's campus and age demographic.</w:t>
      </w:r>
    </w:p>
    <w:p>
      <w:pPr>
        <w:pStyle w:val="Heading2"/>
      </w:pPr>
      <w:r>
        <w:rPr>
          <w:b/>
          <w:bCs/>
          <w:color w:val="2D6A4F"/>
          <w:sz w:val="24"/>
          <w:szCs w:val="24"/>
        </w:rPr>
        <w:t xml:space="preserve">2.2  Screen Layout</w:t>
      </w:r>
    </w:p>
    <w:p>
      <w:pPr>
        <w:pStyle w:val="BodyText"/>
        <w:jc w:val="both"/>
      </w:pPr>
      <w:r>
        <w:rPr>
          <w:sz w:val="22"/>
          <w:szCs w:val="22"/>
        </w:rPr>
        <w:t xml:space="preserve">Step 4 shares the same 680px max-width wizard card, global header, liturgical season banner, and 7-step progress indicator as earlier steps. The progress indicator now shows Steps 1, 2, and 3 as completed (green checkmark pills) and Step 4 as the active highlighted pill. Steps 5, 6, and 7 remain as grey outlined pills. The card content scrolls vertically if the interest chips and group cards exceed the viewport height; the navigation buttons are pinned to the bottom of the card on desktop and to the bottom of the viewport on mobile.</w:t>
      </w:r>
    </w:p>
    <w:p>
      <w:pPr>
        <w:pStyle w:val="Heading2"/>
      </w:pPr>
      <w:r>
        <w:rPr>
          <w:b/>
          <w:bCs/>
          <w:color w:val="2D6A4F"/>
          <w:sz w:val="24"/>
          <w:szCs w:val="24"/>
        </w:rPr>
        <w:t xml:space="preserve">2.3  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4"/>
              <w:left w:val="single" w:color="CCCCCC" w:sz="4"/>
              <w:bottom w:val="single" w:color="CCCCCC" w:sz="4"/>
              <w:right w:val="single" w:color="CCCCCC" w:sz="4"/>
            </w:tcBorders>
            <w:shd w:fill="D4EDDA" w:val="clear"/>
            <w:vAlign w:val="center"/>
          </w:tcPr>
          <w:p>
            <w:pPr>
              <w:jc w:val="left"/>
            </w:pPr>
            <w:r>
              <w:rPr>
                <w:b/>
                <w:bCs/>
                <w:color w:val="1B4332"/>
                <w:sz w:val="22"/>
                <w:szCs w:val="22"/>
              </w:rPr>
              <w:t xml:space="preserve">Zone</w:t>
            </w:r>
          </w:p>
        </w:tc>
        <w:tc>
          <w:tcPr>
            <w:tcW w:type="dxa" w:w="7200"/>
            <w:tcBorders>
              <w:top w:val="single" w:color="CCCCCC" w:sz="4"/>
              <w:left w:val="single" w:color="CCCCCC" w:sz="4"/>
              <w:bottom w:val="single" w:color="CCCCCC" w:sz="4"/>
              <w:right w:val="single" w:color="CCCCCC" w:sz="4"/>
            </w:tcBorders>
            <w:shd w:fill="D4EDDA" w:val="clear"/>
            <w:vAlign w:val="center"/>
          </w:tcPr>
          <w:p>
            <w:pPr>
              <w:jc w:val="left"/>
            </w:pPr>
            <w:r>
              <w:rPr>
                <w:b/>
                <w:bCs/>
                <w:color w:val="1B4332"/>
                <w:sz w:val="22"/>
                <w:szCs w:val="22"/>
              </w:rPr>
              <w:t xml:space="preserve">Content Description</w:t>
            </w:r>
          </w:p>
        </w:tc>
      </w:tr>
      <w:tr>
        <w:tc>
          <w:tcPr>
            <w:tcW w:type="dxa" w:w="2160"/>
            <w:tcBorders>
              <w:top w:val="single" w:color="CCCCCC" w:sz="4"/>
              <w:left w:val="single" w:color="CCCCCC" w:sz="4"/>
              <w:bottom w:val="single" w:color="CCCCCC" w:sz="4"/>
              <w:right w:val="single" w:color="CCCCCC" w:sz="4"/>
            </w:tcBorders>
            <w:shd w:fill="F8FFF9" w:val="clear"/>
            <w:vAlign w:val="top"/>
          </w:tcPr>
          <w:p>
            <w:r>
              <w:rPr>
                <w:b/>
                <w:bCs/>
                <w:color w:val="333333"/>
                <w:sz w:val="22"/>
                <w:szCs w:val="22"/>
              </w:rPr>
              <w:t xml:space="preserve">Progress Bar</w:t>
            </w:r>
          </w:p>
        </w:tc>
        <w:tc>
          <w:tcPr>
            <w:tcW w:type="dxa" w:w="72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Steps 1, 2, and 3 show green filled pills with a checkmark (✓). Step 4 is the active pill in dark green. Steps 5–7 remain as grey unfilled pills.</w:t>
            </w:r>
          </w:p>
        </w:tc>
      </w:tr>
      <w:tr>
        <w:tc>
          <w:tcPr>
            <w:tcW w:type="dxa" w:w="2160"/>
            <w:tcBorders>
              <w:top w:val="single" w:color="CCCCCC" w:sz="4"/>
              <w:left w:val="single" w:color="CCCCCC" w:sz="4"/>
              <w:bottom w:val="single" w:color="CCCCCC" w:sz="4"/>
              <w:right w:val="single" w:color="CCCCCC" w:sz="4"/>
            </w:tcBorders>
            <w:shd w:fill="FFFFFF" w:val="clear"/>
            <w:vAlign w:val="top"/>
          </w:tcPr>
          <w:p>
            <w:r>
              <w:rPr>
                <w:b/>
                <w:bCs/>
                <w:color w:val="333333"/>
                <w:sz w:val="22"/>
                <w:szCs w:val="22"/>
              </w:rPr>
              <w:t xml:space="preserve">Headline Block</w:t>
            </w:r>
          </w:p>
        </w:tc>
        <w:tc>
          <w:tcPr>
            <w:tcW w:type="dxa" w:w="720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"What are you passionate about?" — H1 heading in dark green (#1B4332). Subtitle: "Choose topics that interest you — we'll suggest groups and events that match." Both lines are centered.</w:t>
            </w:r>
          </w:p>
        </w:tc>
      </w:tr>
      <w:tr>
        <w:tc>
          <w:tcPr>
            <w:tcW w:type="dxa" w:w="2160"/>
            <w:tcBorders>
              <w:top w:val="single" w:color="CCCCCC" w:sz="4"/>
              <w:left w:val="single" w:color="CCCCCC" w:sz="4"/>
              <w:bottom w:val="single" w:color="CCCCCC" w:sz="4"/>
              <w:right w:val="single" w:color="CCCCCC" w:sz="4"/>
            </w:tcBorders>
            <w:shd w:fill="F8FFF9" w:val="clear"/>
            <w:vAlign w:val="top"/>
          </w:tcPr>
          <w:p>
            <w:r>
              <w:rPr>
                <w:b/>
                <w:bCs/>
                <w:color w:val="333333"/>
                <w:sz w:val="22"/>
                <w:szCs w:val="22"/>
              </w:rPr>
              <w:t xml:space="preserve">Interest Chip Grid</w:t>
            </w:r>
          </w:p>
        </w:tc>
        <w:tc>
          <w:tcPr>
            <w:tcW w:type="dxa" w:w="72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A responsive grid of pill-shaped topic chips. Each chip shows a small emoji or icon and a label (e.g., 📚 Bible Study, 🎵 Worship, 🤝 Outreach, 👨‍👩‍👧 Family Life, 💪 Men's Ministry, 💗 Women's Ministry, 👶 Youth, 🌍 Missions, 🙏 Prayer, 🌱 New Believers). Unselected chips: white background, grey border. Selected chips: filled forest green background, white text, green checkmark badge. Multiple chips may be selected simultaneously.</w:t>
            </w:r>
          </w:p>
        </w:tc>
      </w:tr>
      <w:tr>
        <w:tc>
          <w:tcPr>
            <w:tcW w:type="dxa" w:w="2160"/>
            <w:tcBorders>
              <w:top w:val="single" w:color="CCCCCC" w:sz="4"/>
              <w:left w:val="single" w:color="CCCCCC" w:sz="4"/>
              <w:bottom w:val="single" w:color="CCCCCC" w:sz="4"/>
              <w:right w:val="single" w:color="CCCCCC" w:sz="4"/>
            </w:tcBorders>
            <w:shd w:fill="FFFFFF" w:val="clear"/>
            <w:vAlign w:val="top"/>
          </w:tcPr>
          <w:p>
            <w:r>
              <w:rPr>
                <w:b/>
                <w:bCs/>
                <w:color w:val="333333"/>
                <w:sz w:val="22"/>
                <w:szCs w:val="22"/>
              </w:rPr>
              <w:t xml:space="preserve">Match Counter</w:t>
            </w:r>
          </w:p>
        </w:tc>
        <w:tc>
          <w:tcPr>
            <w:tcW w:type="dxa" w:w="720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A dynamic text line below the chip grid: "X groups match your interests" — updates in real-time as chips are toggled. Renders in muted green (#52B788) to indicate it is live/reactive.</w:t>
            </w:r>
          </w:p>
        </w:tc>
      </w:tr>
      <w:tr>
        <w:tc>
          <w:tcPr>
            <w:tcW w:type="dxa" w:w="2160"/>
            <w:tcBorders>
              <w:top w:val="single" w:color="CCCCCC" w:sz="4"/>
              <w:left w:val="single" w:color="CCCCCC" w:sz="4"/>
              <w:bottom w:val="single" w:color="CCCCCC" w:sz="4"/>
              <w:right w:val="single" w:color="CCCCCC" w:sz="4"/>
            </w:tcBorders>
            <w:shd w:fill="F8FFF9" w:val="clear"/>
            <w:vAlign w:val="top"/>
          </w:tcPr>
          <w:p>
            <w:r>
              <w:rPr>
                <w:b/>
                <w:bCs/>
                <w:color w:val="333333"/>
                <w:sz w:val="22"/>
                <w:szCs w:val="22"/>
              </w:rPr>
              <w:t xml:space="preserve">Group Preview Cards</w:t>
            </w:r>
          </w:p>
        </w:tc>
        <w:tc>
          <w:tcPr>
            <w:tcW w:type="dxa" w:w="72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A horizontal scroll row of group preview cards (up to 3 visible at once on desktop; 1.5 on mobile to signal horizontal scroll). Each card shows: group cover photo or colored avatar, group name, category tag, member count, and a [➕ Join Group] or [➕ Request to Join] button depending on the group's open_membership flag.</w:t>
            </w:r>
          </w:p>
        </w:tc>
      </w:tr>
      <w:tr>
        <w:tc>
          <w:tcPr>
            <w:tcW w:type="dxa" w:w="2160"/>
            <w:tcBorders>
              <w:top w:val="single" w:color="CCCCCC" w:sz="4"/>
              <w:left w:val="single" w:color="CCCCCC" w:sz="4"/>
              <w:bottom w:val="single" w:color="CCCCCC" w:sz="4"/>
              <w:right w:val="single" w:color="CCCCCC" w:sz="4"/>
            </w:tcBorders>
            <w:shd w:fill="FFFFFF" w:val="clear"/>
            <w:vAlign w:val="top"/>
          </w:tcPr>
          <w:p>
            <w:r>
              <w:rPr>
                <w:b/>
                <w:bCs/>
                <w:color w:val="333333"/>
                <w:sz w:val="22"/>
                <w:szCs w:val="22"/>
              </w:rPr>
              <w:t xml:space="preserve">Back / CTA Row</w:t>
            </w:r>
          </w:p>
        </w:tc>
        <w:tc>
          <w:tcPr>
            <w:tcW w:type="dxa" w:w="720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[&lt;- Back] text link (navigates to Step 3) on the left. [Continue -&gt;] primary button on the right. A [Skip for now] text link is placed between them, visually de-emphasized but accessible.</w:t>
            </w:r>
          </w:p>
        </w:tc>
      </w:tr>
    </w:tbl>
    <w:p>
      <w:pPr>
        <w:pStyle w:val="BodyText"/>
      </w:pPr>
      <w:r>
        <w:t xml:space="preserve"/>
      </w:r>
    </w:p>
    <w:p>
      <w:pPr>
        <w:pStyle w:val="Heading2"/>
      </w:pPr>
      <w:r>
        <w:rPr>
          <w:b/>
          <w:bCs/>
          <w:color w:val="2D6A4F"/>
          <w:sz w:val="24"/>
          <w:szCs w:val="24"/>
        </w:rPr>
        <w:t xml:space="preserve">2.4  Interest Selection &amp; Matching Logic</w:t>
      </w:r>
    </w:p>
    <w:p>
      <w:pPr>
        <w:pStyle w:val="ListParagraph"/>
        <w:numPr>
          <w:ilvl w:val="0"/>
          <w:numId w:val="3"/>
        </w:numPr>
      </w:pPr>
      <w:r>
        <w:rPr>
          <w:sz w:val="22"/>
          <w:szCs w:val="22"/>
        </w:rPr>
        <w:t xml:space="preserve">Interest chips are fetched from </w:t>
      </w:r>
      <w:r>
        <w:rPr>
          <w:rFonts w:ascii="Courier New" w:cs="Courier New" w:eastAsia="Courier New" w:hAnsi="Courier New"/>
          <w:b/>
          <w:bCs/>
          <w:sz w:val="22"/>
          <w:szCs w:val="22"/>
        </w:rPr>
        <w:t xml:space="preserve">GET /interests?org_id={id}</w:t>
      </w:r>
      <w:r>
        <w:rPr>
          <w:sz w:val="22"/>
          <w:szCs w:val="22"/>
        </w:rPr>
        <w:t xml:space="preserve"> and are scoped to the member's organization. Org admins can customize available interest categories in the admin dashboard.</w:t>
      </w:r>
    </w:p>
    <w:p>
      <w:pPr>
        <w:pStyle w:val="ListParagraph"/>
        <w:numPr>
          <w:ilvl w:val="0"/>
          <w:numId w:val="3"/>
        </w:numPr>
      </w:pPr>
      <w:r>
        <w:rPr>
          <w:sz w:val="22"/>
          <w:szCs w:val="22"/>
        </w:rPr>
        <w:t xml:space="preserve">When chips are toggled, the client fires </w:t>
      </w:r>
      <w:r>
        <w:rPr>
          <w:rFonts w:ascii="Courier New" w:cs="Courier New" w:eastAsia="Courier New" w:hAnsi="Courier New"/>
          <w:b/>
          <w:bCs/>
          <w:sz w:val="22"/>
          <w:szCs w:val="22"/>
        </w:rPr>
        <w:t xml:space="preserve">GET /groups?interests[]={id}&amp;org_id={id}&amp;limit=6</w:t>
      </w:r>
      <w:r>
        <w:rPr>
          <w:sz w:val="22"/>
          <w:szCs w:val="22"/>
        </w:rPr>
        <w:t xml:space="preserve"> with a 200ms debounce to update the group preview cards in real time.</w:t>
      </w:r>
    </w:p>
    <w:p>
      <w:pPr>
        <w:pStyle w:val="ListParagraph"/>
        <w:numPr>
          <w:ilvl w:val="0"/>
          <w:numId w:val="3"/>
        </w:numPr>
      </w:pPr>
      <w:r>
        <w:rPr>
          <w:sz w:val="22"/>
          <w:szCs w:val="22"/>
        </w:rPr>
        <w:t xml:space="preserve">A member may select between 1 and 10 interest chips. Selecting 0 and clicking "Continue" is equivalent to "Skip for now" — the API is not called for interest assignment, and default recommendations apply.</w:t>
      </w:r>
    </w:p>
    <w:p>
      <w:pPr>
        <w:pStyle w:val="ListParagraph"/>
        <w:numPr>
          <w:ilvl w:val="0"/>
          <w:numId w:val="3"/>
        </w:numPr>
      </w:pPr>
      <w:r>
        <w:rPr>
          <w:sz w:val="22"/>
          <w:szCs w:val="22"/>
        </w:rPr>
        <w:t xml:space="preserve">Interest selections are persisted immediately to the Zustand store on every toggle and submitted to </w:t>
      </w:r>
      <w:r>
        <w:rPr>
          <w:rFonts w:ascii="Courier New" w:cs="Courier New" w:eastAsia="Courier New" w:hAnsi="Courier New"/>
          <w:b/>
          <w:bCs/>
          <w:sz w:val="22"/>
          <w:szCs w:val="22"/>
        </w:rPr>
        <w:t xml:space="preserve">PUT /members/me/interests</w:t>
      </w:r>
      <w:r>
        <w:rPr>
          <w:sz w:val="22"/>
          <w:szCs w:val="22"/>
        </w:rPr>
        <w:t xml:space="preserve"> only when the member clicks "Continue."</w:t>
      </w:r>
    </w:p>
    <w:p>
      <w:pPr>
        <w:pStyle w:val="ListParagraph"/>
        <w:numPr>
          <w:ilvl w:val="0"/>
          <w:numId w:val="3"/>
        </w:numPr>
      </w:pPr>
      <w:r>
        <w:rPr>
          <w:sz w:val="22"/>
          <w:szCs w:val="22"/>
        </w:rPr>
        <w:t xml:space="preserve">Group join requests initiated from the preview cards are fire-and-forget: the join action is queued and does not block wizard navigation. The member will see the request status in their Groups view after onboarding completes.</w:t>
      </w:r>
    </w:p>
    <w:p>
      <w:pPr>
        <w:pStyle w:val="Heading2"/>
      </w:pPr>
      <w:r>
        <w:rPr>
          <w:b/>
          <w:bCs/>
          <w:color w:val="2D6A4F"/>
          <w:sz w:val="24"/>
          <w:szCs w:val="24"/>
        </w:rPr>
        <w:t xml:space="preserve">2.5  Interactions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CCCCCC" w:sz="4"/>
              <w:left w:val="single" w:color="CCCCCC" w:sz="4"/>
              <w:bottom w:val="single" w:color="CCCCCC" w:sz="4"/>
              <w:right w:val="single" w:color="CCCCCC" w:sz="4"/>
            </w:tcBorders>
            <w:shd w:fill="D4EDDA" w:val="clear"/>
            <w:vAlign w:val="center"/>
          </w:tcPr>
          <w:p>
            <w:pPr>
              <w:jc w:val="center"/>
            </w:pPr>
            <w:r>
              <w:rPr>
                <w:b/>
                <w:bCs/>
                <w:color w:val="1B4332"/>
                <w:sz w:val="22"/>
                <w:szCs w:val="22"/>
              </w:rPr>
              <w:t xml:space="preserve">Trigger</w:t>
            </w:r>
          </w:p>
        </w:tc>
        <w:tc>
          <w:tcPr>
            <w:tcW w:type="dxa" w:w="3240"/>
            <w:tcBorders>
              <w:top w:val="single" w:color="CCCCCC" w:sz="4"/>
              <w:left w:val="single" w:color="CCCCCC" w:sz="4"/>
              <w:bottom w:val="single" w:color="CCCCCC" w:sz="4"/>
              <w:right w:val="single" w:color="CCCCCC" w:sz="4"/>
            </w:tcBorders>
            <w:shd w:fill="D4EDDA" w:val="clear"/>
            <w:vAlign w:val="center"/>
          </w:tcPr>
          <w:p>
            <w:pPr>
              <w:jc w:val="center"/>
            </w:pPr>
            <w:r>
              <w:rPr>
                <w:b/>
                <w:bCs/>
                <w:color w:val="1B4332"/>
                <w:sz w:val="22"/>
                <w:szCs w:val="22"/>
              </w:rPr>
              <w:t xml:space="preserve">System Action</w:t>
            </w:r>
          </w:p>
        </w:tc>
        <w:tc>
          <w:tcPr>
            <w:tcW w:type="dxa" w:w="3600"/>
            <w:tcBorders>
              <w:top w:val="single" w:color="CCCCCC" w:sz="4"/>
              <w:left w:val="single" w:color="CCCCCC" w:sz="4"/>
              <w:bottom w:val="single" w:color="CCCCCC" w:sz="4"/>
              <w:right w:val="single" w:color="CCCCCC" w:sz="4"/>
            </w:tcBorders>
            <w:shd w:fill="D4EDDA" w:val="clear"/>
            <w:vAlign w:val="center"/>
          </w:tcPr>
          <w:p>
            <w:pPr>
              <w:jc w:val="center"/>
            </w:pPr>
            <w:r>
              <w:rPr>
                <w:b/>
                <w:bCs/>
                <w:color w:val="1B4332"/>
                <w:sz w:val="22"/>
                <w:szCs w:val="22"/>
              </w:rPr>
              <w:t xml:space="preserve">User Feedback</w:t>
            </w:r>
          </w:p>
        </w:tc>
      </w:tr>
      <w:tr>
        <w:tc>
          <w:tcPr>
            <w:tcW w:type="dxa" w:w="252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Tap interest chip (unselected)</w:t>
            </w:r>
          </w:p>
        </w:tc>
        <w:tc>
          <w:tcPr>
            <w:tcW w:type="dxa" w:w="324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Chip state -&gt; selected; re-fires group search query with updated interest list</w:t>
            </w:r>
          </w:p>
        </w:tc>
        <w:tc>
          <w:tcPr>
            <w:tcW w:type="dxa" w:w="36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Chip fills green; match counter and group cards animate to updated results</w:t>
            </w:r>
          </w:p>
        </w:tc>
      </w:tr>
      <w:tr>
        <w:tc>
          <w:tcPr>
            <w:tcW w:type="dxa" w:w="252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Tap interest chip (selected)</w:t>
            </w:r>
          </w:p>
        </w:tc>
        <w:tc>
          <w:tcPr>
            <w:tcW w:type="dxa" w:w="324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Chip state -&gt; deselected; re-fires group search with reduced interest list</w:t>
            </w:r>
          </w:p>
        </w:tc>
        <w:tc>
          <w:tcPr>
            <w:tcW w:type="dxa" w:w="360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Chip returns to white/grey; results update to reflect remaining selections</w:t>
            </w:r>
          </w:p>
        </w:tc>
      </w:tr>
      <w:tr>
        <w:tc>
          <w:tcPr>
            <w:tcW w:type="dxa" w:w="252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 Join Group] on preview card</w:t>
            </w:r>
          </w:p>
        </w:tc>
        <w:tc>
          <w:tcPr>
            <w:tcW w:type="dxa" w:w="324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POST /groups/{id}/join queued; group card shows "Requested" badge</w:t>
            </w:r>
          </w:p>
        </w:tc>
        <w:tc>
          <w:tcPr>
            <w:tcW w:type="dxa" w:w="36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Button changes to "Requested ✓" (disabled); no modal interruption</w:t>
            </w:r>
          </w:p>
        </w:tc>
      </w:tr>
      <w:tr>
        <w:tc>
          <w:tcPr>
            <w:tcW w:type="dxa" w:w="252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[Continue -&gt;]</w:t>
            </w:r>
          </w:p>
        </w:tc>
        <w:tc>
          <w:tcPr>
            <w:tcW w:type="dxa" w:w="324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PUT /members/me/interests called; onboarding_step = 5</w:t>
            </w:r>
          </w:p>
        </w:tc>
        <w:tc>
          <w:tcPr>
            <w:tcW w:type="dxa" w:w="360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Loading spinner on CTA; slide animation to Step 5 on success</w:t>
            </w:r>
          </w:p>
        </w:tc>
      </w:tr>
      <w:tr>
        <w:tc>
          <w:tcPr>
            <w:tcW w:type="dxa" w:w="252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[Skip for now]</w:t>
            </w:r>
          </w:p>
        </w:tc>
        <w:tc>
          <w:tcPr>
            <w:tcW w:type="dxa" w:w="324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No interest API call; onboarding_step = 5; onboarding_status = ONBOARDING_INCOMPLETE</w:t>
            </w:r>
          </w:p>
        </w:tc>
        <w:tc>
          <w:tcPr>
            <w:tcW w:type="dxa" w:w="36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Immediate slide to Step 5; dashboard shows "Complete your interests" nudge for 14 days</w:t>
            </w:r>
          </w:p>
        </w:tc>
      </w:tr>
      <w:tr>
        <w:tc>
          <w:tcPr>
            <w:tcW w:type="dxa" w:w="252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[&lt;- Back]</w:t>
            </w:r>
          </w:p>
        </w:tc>
        <w:tc>
          <w:tcPr>
            <w:tcW w:type="dxa" w:w="324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onboarding_step = 3; local store preserved</w:t>
            </w:r>
          </w:p>
        </w:tc>
        <w:tc>
          <w:tcPr>
            <w:tcW w:type="dxa" w:w="360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Reverse slide animation; Step 3 content restored from Zustand store</w:t>
            </w:r>
          </w:p>
        </w:tc>
      </w:tr>
    </w:tbl>
    <w:p>
      <w:pPr>
        <w:pStyle w:val="BodyText"/>
      </w:pPr>
      <w:r>
        <w:t xml:space="preserve"/>
      </w:r>
    </w:p>
    <w:p>
      <w:pPr>
        <w:pStyle w:val="Heading2"/>
      </w:pPr>
      <w:r>
        <w:rPr>
          <w:b/>
          <w:bCs/>
          <w:color w:val="2D6A4F"/>
          <w:sz w:val="24"/>
          <w:szCs w:val="24"/>
        </w:rPr>
        <w:t xml:space="preserve">2.6  Design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4"/>
              <w:left w:val="single" w:color="CCCCCC" w:sz="4"/>
              <w:bottom w:val="single" w:color="CCCCCC" w:sz="4"/>
              <w:right w:val="single" w:color="CCCCCC" w:sz="4"/>
            </w:tcBorders>
            <w:shd w:fill="EAF5EE" w:val="clear"/>
            <w:vAlign w:val="top"/>
          </w:tcPr>
          <w:p>
            <w:pPr>
              <w:jc w:val="center"/>
            </w:pPr>
            <w:r>
              <w:rPr>
                <w:b/>
                <w:bCs/>
                <w:color w:val="2D6A4F"/>
                <w:sz w:val="28"/>
                <w:szCs w:val="28"/>
              </w:rPr>
              <w:t xml:space="preserve">💡</w:t>
            </w:r>
          </w:p>
        </w:tc>
        <w:tc>
          <w:tcPr>
            <w:tcW w:type="dxa" w:w="8860"/>
            <w:tcBorders>
              <w:top w:val="single" w:color="CCCCCC" w:sz="4"/>
              <w:left w:val="single" w:color="CCCCCC" w:sz="4"/>
              <w:bottom w:val="single" w:color="CCCCCC" w:sz="4"/>
              <w:right w:val="single" w:color="CCCCCC" w:sz="4"/>
            </w:tcBorders>
            <w:shd w:fill="EAF5EE" w:val="clear"/>
            <w:vAlign w:val="top"/>
          </w:tcPr>
          <w:p>
            <w:r>
              <w:rPr>
                <w:b/>
                <w:bCs/>
                <w:color w:val="1B4332"/>
                <w:sz w:val="22"/>
                <w:szCs w:val="22"/>
              </w:rPr>
              <w:t xml:space="preserve">Chip-First Discovery Philosophy</w:t>
            </w:r>
          </w:p>
          <w:p>
            <w:pPr>
              <w:spacing w:after="60" w:before="60"/>
            </w:pPr>
            <w:r>
              <w:rPr>
                <w:color w:val="333333"/>
                <w:sz w:val="22"/>
                <w:szCs w:val="22"/>
              </w:rPr>
              <w:t xml:space="preserve">Interest chips are displayed before group cards because research shows that topic-level affinity (e.g., "I care about Outreach") is easier for a new member to identify than a specific group name they have never heard of.</w:t>
            </w:r>
          </w:p>
          <w:p>
            <w:pPr>
              <w:spacing w:after="60" w:before="60"/>
            </w:pPr>
            <w:r>
              <w:rPr>
                <w:color w:val="333333"/>
                <w:sz w:val="22"/>
                <w:szCs w:val="22"/>
              </w:rPr>
              <w:t xml:space="preserve">The chip interaction creates an immediate visual reward (cards appear and animate in) that reinforces engagement and signals that the platform is responsive to member input.</w:t>
            </w:r>
          </w:p>
          <w:p>
            <w:pPr>
              <w:spacing w:after="60" w:before="60"/>
            </w:pPr>
            <w:r>
              <w:rPr>
                <w:color w:val="333333"/>
                <w:sz w:val="22"/>
                <w:szCs w:val="22"/>
              </w:rPr>
              <w:t xml:space="preserve">Group cards shown during onboarding are ranked by: (1) direct interest overlap count, (2) campus proximity, (3) current member count (ascending — smaller groups are prioritized to help new members find an accessible community).</w:t>
            </w:r>
          </w:p>
        </w:tc>
      </w:tr>
    </w:tbl>
    <w:p>
      <w:pPr>
        <w:pStyle w:val="BodyText"/>
      </w:pPr>
      <w:r>
        <w:t xml:space="preserve"/>
      </w:r>
    </w:p>
    <w:p>
      <w:pPr>
        <w:pStyle w:val="Heading1"/>
      </w:pPr>
      <w:r>
        <w:rPr>
          <w:b/>
          <w:bCs/>
          <w:color w:val="1B4332"/>
          <w:sz w:val="28"/>
          <w:szCs w:val="28"/>
        </w:rPr>
        <w:t xml:space="preserve">3.  Right Panel — Step 5: Serving &amp; Volunteer Preferences</w:t>
      </w:r>
    </w:p>
    <w:p>
      <w:pPr>
        <w:pStyle w:val="BodyText"/>
        <w:jc w:val="both"/>
      </w:pPr>
      <w:r>
        <w:rPr>
          <w:sz w:val="22"/>
          <w:szCs w:val="22"/>
        </w:rPr>
        <w:t xml:space="preserve">Step 5 bridges the member's faith interests (Step 4) with active service participation. Many church platforms lose engaged members by not surfacing volunteer opportunities early — ROCA surfaces this at onboarding specifically to capture the high-motivation window when a new member is most likely to say yes. The screen collects three types of data: weekly availability, self-identified spiritual gifts, and preferred ministry areas. No selection is required; the step is designed to be approachable for both highly committed members and casual attendees.</w:t>
      </w:r>
    </w:p>
    <w:p>
      <w:pPr>
        <w:pStyle w:val="Heading2"/>
      </w:pPr>
      <w:r>
        <w:rPr>
          <w:b/>
          <w:bCs/>
          <w:color w:val="2D6A4F"/>
          <w:sz w:val="24"/>
          <w:szCs w:val="24"/>
        </w:rPr>
        <w:t xml:space="preserve">3.1  Purpose &amp; Goals</w:t>
      </w:r>
    </w:p>
    <w:p>
      <w:pPr>
        <w:pStyle w:val="ListParagraph"/>
        <w:numPr>
          <w:ilvl w:val="0"/>
          <w:numId w:val="4"/>
        </w:numPr>
      </w:pPr>
      <w:r>
        <w:rPr>
          <w:b/>
          <w:bCs/>
          <w:sz w:val="22"/>
          <w:szCs w:val="22"/>
        </w:rPr>
        <w:t xml:space="preserve">Primary action: </w:t>
      </w:r>
      <w:r>
        <w:rPr>
          <w:sz w:val="22"/>
          <w:szCs w:val="22"/>
        </w:rPr>
        <w:t xml:space="preserve">Capture availability windows, spiritual gift self-assessments, and ministry area preferences for the volunteer matching engine.</w:t>
      </w:r>
    </w:p>
    <w:p>
      <w:pPr>
        <w:pStyle w:val="ListParagraph"/>
        <w:numPr>
          <w:ilvl w:val="0"/>
          <w:numId w:val="4"/>
        </w:numPr>
      </w:pPr>
      <w:r>
        <w:rPr>
          <w:b/>
          <w:bCs/>
          <w:sz w:val="22"/>
          <w:szCs w:val="22"/>
        </w:rPr>
        <w:t xml:space="preserve">Volunteer pipeline seeding: </w:t>
      </w:r>
      <w:r>
        <w:rPr>
          <w:sz w:val="22"/>
          <w:szCs w:val="22"/>
        </w:rPr>
        <w:t xml:space="preserve">Selections feed directly into the volunteer roster that ministry team leaders can filter and contact from the admin dashboard.</w:t>
      </w:r>
    </w:p>
    <w:p>
      <w:pPr>
        <w:pStyle w:val="ListParagraph"/>
        <w:numPr>
          <w:ilvl w:val="0"/>
          <w:numId w:val="4"/>
        </w:numPr>
      </w:pPr>
      <w:r>
        <w:rPr>
          <w:b/>
          <w:bCs/>
          <w:sz w:val="22"/>
          <w:szCs w:val="22"/>
        </w:rPr>
        <w:t xml:space="preserve">Tone calibration: </w:t>
      </w:r>
      <w:r>
        <w:rPr>
          <w:sz w:val="22"/>
          <w:szCs w:val="22"/>
        </w:rPr>
        <w:t xml:space="preserve">The headline ("How would you like to serve?") is framed as an invitation, not a commitment. All fields are optional, and the "Not yet — just exploring" option is explicitly provided.</w:t>
      </w:r>
    </w:p>
    <w:p>
      <w:pPr>
        <w:pStyle w:val="ListParagraph"/>
        <w:numPr>
          <w:ilvl w:val="0"/>
          <w:numId w:val="4"/>
        </w:numPr>
      </w:pPr>
      <w:r>
        <w:rPr>
          <w:b/>
          <w:bCs/>
          <w:sz w:val="22"/>
          <w:szCs w:val="22"/>
        </w:rPr>
        <w:t xml:space="preserve">Preference persistence: </w:t>
      </w:r>
      <w:r>
        <w:rPr>
          <w:sz w:val="22"/>
          <w:szCs w:val="22"/>
        </w:rPr>
        <w:t xml:space="preserve">Volunteer preferences set here become the defaults for the member's Serve dashboard and can be updated at any time from Settings &gt; Volunteer Profile.</w:t>
      </w:r>
    </w:p>
    <w:p>
      <w:pPr>
        <w:pStyle w:val="Heading2"/>
      </w:pPr>
      <w:r>
        <w:rPr>
          <w:b/>
          <w:bCs/>
          <w:color w:val="2D6A4F"/>
          <w:sz w:val="24"/>
          <w:szCs w:val="24"/>
        </w:rPr>
        <w:t xml:space="preserve">3.2  Screen Layout</w:t>
      </w:r>
    </w:p>
    <w:p>
      <w:pPr>
        <w:pStyle w:val="BodyText"/>
        <w:jc w:val="both"/>
      </w:pPr>
      <w:r>
        <w:rPr>
          <w:sz w:val="22"/>
          <w:szCs w:val="22"/>
        </w:rPr>
        <w:t xml:space="preserve">Step 5 shares the wizard card layout from Steps 1 through 4. The progress indicator shows Steps 1 through 4 as completed checkmarks, with Step 5 highlighted as the active pill. Steps 6 and 7 remain as grey outlined pills. The card content is divided into three distinct collapsible sections (Availability, Spiritual Gifts, Ministry Areas) separated by subtle divider lines. On desktop, all three sections are expanded by default. On mobile, sections 2 and 3 are collapsed by default with a tap-to-expand chevron to preserve viewport space.</w:t>
      </w:r>
    </w:p>
    <w:p>
      <w:pPr>
        <w:pStyle w:val="Heading2"/>
      </w:pPr>
      <w:r>
        <w:rPr>
          <w:b/>
          <w:bCs/>
          <w:color w:val="2D6A4F"/>
          <w:sz w:val="24"/>
          <w:szCs w:val="24"/>
        </w:rPr>
        <w:t xml:space="preserve">3.3  Layout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4"/>
              <w:left w:val="single" w:color="CCCCCC" w:sz="4"/>
              <w:bottom w:val="single" w:color="CCCCCC" w:sz="4"/>
              <w:right w:val="single" w:color="CCCCCC" w:sz="4"/>
            </w:tcBorders>
            <w:shd w:fill="D4EDDA" w:val="clear"/>
            <w:vAlign w:val="center"/>
          </w:tcPr>
          <w:p>
            <w:pPr>
              <w:jc w:val="left"/>
            </w:pPr>
            <w:r>
              <w:rPr>
                <w:b/>
                <w:bCs/>
                <w:color w:val="1B4332"/>
                <w:sz w:val="22"/>
                <w:szCs w:val="22"/>
              </w:rPr>
              <w:t xml:space="preserve">Zone</w:t>
            </w:r>
          </w:p>
        </w:tc>
        <w:tc>
          <w:tcPr>
            <w:tcW w:type="dxa" w:w="7200"/>
            <w:tcBorders>
              <w:top w:val="single" w:color="CCCCCC" w:sz="4"/>
              <w:left w:val="single" w:color="CCCCCC" w:sz="4"/>
              <w:bottom w:val="single" w:color="CCCCCC" w:sz="4"/>
              <w:right w:val="single" w:color="CCCCCC" w:sz="4"/>
            </w:tcBorders>
            <w:shd w:fill="D4EDDA" w:val="clear"/>
            <w:vAlign w:val="center"/>
          </w:tcPr>
          <w:p>
            <w:pPr>
              <w:jc w:val="left"/>
            </w:pPr>
            <w:r>
              <w:rPr>
                <w:b/>
                <w:bCs/>
                <w:color w:val="1B4332"/>
                <w:sz w:val="22"/>
                <w:szCs w:val="22"/>
              </w:rPr>
              <w:t xml:space="preserve">Content Description</w:t>
            </w:r>
          </w:p>
        </w:tc>
      </w:tr>
      <w:tr>
        <w:tc>
          <w:tcPr>
            <w:tcW w:type="dxa" w:w="2160"/>
            <w:tcBorders>
              <w:top w:val="single" w:color="CCCCCC" w:sz="4"/>
              <w:left w:val="single" w:color="CCCCCC" w:sz="4"/>
              <w:bottom w:val="single" w:color="CCCCCC" w:sz="4"/>
              <w:right w:val="single" w:color="CCCCCC" w:sz="4"/>
            </w:tcBorders>
            <w:shd w:fill="F8FFF9" w:val="clear"/>
            <w:vAlign w:val="top"/>
          </w:tcPr>
          <w:p>
            <w:r>
              <w:rPr>
                <w:b/>
                <w:bCs/>
                <w:color w:val="333333"/>
                <w:sz w:val="22"/>
                <w:szCs w:val="22"/>
              </w:rPr>
              <w:t xml:space="preserve">Progress Bar</w:t>
            </w:r>
          </w:p>
        </w:tc>
        <w:tc>
          <w:tcPr>
            <w:tcW w:type="dxa" w:w="72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Steps 1 through 4 show green filled pills with a checkmark (✓). Step 5 is the active pill in dark green. Steps 6–7 remain as grey unfilled pills.</w:t>
            </w:r>
          </w:p>
        </w:tc>
      </w:tr>
      <w:tr>
        <w:tc>
          <w:tcPr>
            <w:tcW w:type="dxa" w:w="2160"/>
            <w:tcBorders>
              <w:top w:val="single" w:color="CCCCCC" w:sz="4"/>
              <w:left w:val="single" w:color="CCCCCC" w:sz="4"/>
              <w:bottom w:val="single" w:color="CCCCCC" w:sz="4"/>
              <w:right w:val="single" w:color="CCCCCC" w:sz="4"/>
            </w:tcBorders>
            <w:shd w:fill="FFFFFF" w:val="clear"/>
            <w:vAlign w:val="top"/>
          </w:tcPr>
          <w:p>
            <w:r>
              <w:rPr>
                <w:b/>
                <w:bCs/>
                <w:color w:val="333333"/>
                <w:sz w:val="22"/>
                <w:szCs w:val="22"/>
              </w:rPr>
              <w:t xml:space="preserve">Headline Block</w:t>
            </w:r>
          </w:p>
        </w:tc>
        <w:tc>
          <w:tcPr>
            <w:tcW w:type="dxa" w:w="720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"How would you like to serve?" — H1 heading in dark green. Subtitle: "Let us know your availability and interests so we can match you with the right teams." A smaller helper note: "All sections are optional — you can update these at any time." Both headline and subtitle are centered; helper note is muted grey below the subtitle.</w:t>
            </w:r>
          </w:p>
        </w:tc>
      </w:tr>
      <w:tr>
        <w:tc>
          <w:tcPr>
            <w:tcW w:type="dxa" w:w="2160"/>
            <w:tcBorders>
              <w:top w:val="single" w:color="CCCCCC" w:sz="4"/>
              <w:left w:val="single" w:color="CCCCCC" w:sz="4"/>
              <w:bottom w:val="single" w:color="CCCCCC" w:sz="4"/>
              <w:right w:val="single" w:color="CCCCCC" w:sz="4"/>
            </w:tcBorders>
            <w:shd w:fill="F8FFF9" w:val="clear"/>
            <w:vAlign w:val="top"/>
          </w:tcPr>
          <w:p>
            <w:r>
              <w:rPr>
                <w:b/>
                <w:bCs/>
                <w:color w:val="333333"/>
                <w:sz w:val="22"/>
                <w:szCs w:val="22"/>
              </w:rPr>
              <w:t xml:space="preserve">Not Ready Option</w:t>
            </w:r>
          </w:p>
        </w:tc>
        <w:tc>
          <w:tcPr>
            <w:tcW w:type="dxa" w:w="72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A prominent ghost/outlined button at the top: [Not yet — just exploring]. Clicking this sets all serving fields to empty/null and advances directly to Step 6. This respects members who are still settling in.</w:t>
            </w:r>
          </w:p>
        </w:tc>
      </w:tr>
      <w:tr>
        <w:tc>
          <w:tcPr>
            <w:tcW w:type="dxa" w:w="2160"/>
            <w:tcBorders>
              <w:top w:val="single" w:color="CCCCCC" w:sz="4"/>
              <w:left w:val="single" w:color="CCCCCC" w:sz="4"/>
              <w:bottom w:val="single" w:color="CCCCCC" w:sz="4"/>
              <w:right w:val="single" w:color="CCCCCC" w:sz="4"/>
            </w:tcBorders>
            <w:shd w:fill="FFFFFF" w:val="clear"/>
            <w:vAlign w:val="top"/>
          </w:tcPr>
          <w:p>
            <w:r>
              <w:rPr>
                <w:b/>
                <w:bCs/>
                <w:color w:val="333333"/>
                <w:sz w:val="22"/>
                <w:szCs w:val="22"/>
              </w:rPr>
              <w:t xml:space="preserve">Availability Section</w:t>
            </w:r>
          </w:p>
        </w:tc>
        <w:tc>
          <w:tcPr>
            <w:tcW w:type="dxa" w:w="720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Section header: "When are you typically available?" A 7-day × 3-slot (Morning / Afternoon / Evening) checkbox grid. Columns are the days of the week (Sun – Sat, abbreviated); rows are time slots. Each cell is a checkbox. Pre-checking Sunday Morning reflects the default worship service commitment. The selected day-slot combinations are stored as a JSONB availability array on the volunteer_profile record.</w:t>
            </w:r>
          </w:p>
        </w:tc>
      </w:tr>
      <w:tr>
        <w:tc>
          <w:tcPr>
            <w:tcW w:type="dxa" w:w="2160"/>
            <w:tcBorders>
              <w:top w:val="single" w:color="CCCCCC" w:sz="4"/>
              <w:left w:val="single" w:color="CCCCCC" w:sz="4"/>
              <w:bottom w:val="single" w:color="CCCCCC" w:sz="4"/>
              <w:right w:val="single" w:color="CCCCCC" w:sz="4"/>
            </w:tcBorders>
            <w:shd w:fill="F8FFF9" w:val="clear"/>
            <w:vAlign w:val="top"/>
          </w:tcPr>
          <w:p>
            <w:r>
              <w:rPr>
                <w:b/>
                <w:bCs/>
                <w:color w:val="333333"/>
                <w:sz w:val="22"/>
                <w:szCs w:val="22"/>
              </w:rPr>
              <w:t xml:space="preserve">Spiritual Gifts Section</w:t>
            </w:r>
          </w:p>
        </w:tc>
        <w:tc>
          <w:tcPr>
            <w:tcW w:type="dxa" w:w="72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Section header: "What are your spiritual gifts?" A chip grid similar to Step 4, with 12 predefined gift categories: Teaching, Encouragement, Administration, Hospitality, Mercy, Giving, Leadership, Service, Prophecy, Wisdom, Evangelism, Intercession. Each chip is a multi-select toggle (same visual treatment as Step 4 interest chips). An "I'm not sure" chip is included at the end; selecting it deselects all others and stores a gifts_unknown = true flag.</w:t>
            </w:r>
          </w:p>
        </w:tc>
      </w:tr>
      <w:tr>
        <w:tc>
          <w:tcPr>
            <w:tcW w:type="dxa" w:w="2160"/>
            <w:tcBorders>
              <w:top w:val="single" w:color="CCCCCC" w:sz="4"/>
              <w:left w:val="single" w:color="CCCCCC" w:sz="4"/>
              <w:bottom w:val="single" w:color="CCCCCC" w:sz="4"/>
              <w:right w:val="single" w:color="CCCCCC" w:sz="4"/>
            </w:tcBorders>
            <w:shd w:fill="FFFFFF" w:val="clear"/>
            <w:vAlign w:val="top"/>
          </w:tcPr>
          <w:p>
            <w:r>
              <w:rPr>
                <w:b/>
                <w:bCs/>
                <w:color w:val="333333"/>
                <w:sz w:val="22"/>
                <w:szCs w:val="22"/>
              </w:rPr>
              <w:t xml:space="preserve">Ministry Areas Section</w:t>
            </w:r>
          </w:p>
        </w:tc>
        <w:tc>
          <w:tcPr>
            <w:tcW w:type="dxa" w:w="720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Section header: "Which ministry areas interest you?" A checkbox list of ministry teams configured by the org admin (e.g., Worship Team, Ushers &amp; Greeters, Children's Ministry, Youth Ministry, AV &amp; Tech, Hospitality, Outreach, Prayer Team, Kitchen / Meals). Each item shows the ministry name, a brief one-line description, and the current volunteer count. Maximum 3 selections during onboarding to prevent choice paralysis; a "View all ministries" link opens a full directory.</w:t>
            </w:r>
          </w:p>
        </w:tc>
      </w:tr>
      <w:tr>
        <w:tc>
          <w:tcPr>
            <w:tcW w:type="dxa" w:w="2160"/>
            <w:tcBorders>
              <w:top w:val="single" w:color="CCCCCC" w:sz="4"/>
              <w:left w:val="single" w:color="CCCCCC" w:sz="4"/>
              <w:bottom w:val="single" w:color="CCCCCC" w:sz="4"/>
              <w:right w:val="single" w:color="CCCCCC" w:sz="4"/>
            </w:tcBorders>
            <w:shd w:fill="F8FFF9" w:val="clear"/>
            <w:vAlign w:val="top"/>
          </w:tcPr>
          <w:p>
            <w:r>
              <w:rPr>
                <w:b/>
                <w:bCs/>
                <w:color w:val="333333"/>
                <w:sz w:val="22"/>
                <w:szCs w:val="22"/>
              </w:rPr>
              <w:t xml:space="preserve">Back / CTA Row</w:t>
            </w:r>
          </w:p>
        </w:tc>
        <w:tc>
          <w:tcPr>
            <w:tcW w:type="dxa" w:w="72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[&lt;- Back] text link (navigates to Step 4) on the left. [Continue -&gt;] primary button on the right. [Skip for now] text link centered between them, de-emphasized but accessible.</w:t>
            </w:r>
          </w:p>
        </w:tc>
      </w:tr>
    </w:tbl>
    <w:p>
      <w:pPr>
        <w:pStyle w:val="BodyText"/>
      </w:pPr>
      <w:r>
        <w:t xml:space="preserve"/>
      </w:r>
    </w:p>
    <w:p>
      <w:pPr>
        <w:pStyle w:val="Heading2"/>
      </w:pPr>
      <w:r>
        <w:rPr>
          <w:b/>
          <w:bCs/>
          <w:color w:val="2D6A4F"/>
          <w:sz w:val="24"/>
          <w:szCs w:val="24"/>
        </w:rPr>
        <w:t xml:space="preserve">3.4  Field Validation &amp; Save Behavior</w:t>
      </w:r>
    </w:p>
    <w:p>
      <w:pPr>
        <w:pStyle w:val="ListParagraph"/>
        <w:numPr>
          <w:ilvl w:val="0"/>
          <w:numId w:val="4"/>
        </w:numPr>
      </w:pPr>
      <w:r>
        <w:rPr>
          <w:b/>
          <w:bCs/>
          <w:sz w:val="22"/>
          <w:szCs w:val="22"/>
        </w:rPr>
        <w:t xml:space="preserve">Availability grid: </w:t>
      </w:r>
      <w:r>
        <w:rPr>
          <w:sz w:val="22"/>
          <w:szCs w:val="22"/>
        </w:rPr>
        <w:t xml:space="preserve">No validation rules. The grid accepts any combination of day-slot checkboxes including all-empty (no availability declared). Submitted as an array of </w:t>
      </w:r>
      <w:r>
        <w:rPr>
          <w:rFonts w:ascii="Courier New" w:cs="Courier New" w:eastAsia="Courier New" w:hAnsi="Courier New"/>
          <w:b/>
          <w:bCs/>
          <w:sz w:val="22"/>
          <w:szCs w:val="22"/>
        </w:rPr>
        <w:t xml:space="preserve">{day, slot}</w:t>
      </w:r>
      <w:r>
        <w:rPr>
          <w:sz w:val="22"/>
          <w:szCs w:val="22"/>
        </w:rPr>
        <w:t xml:space="preserve"> objects to </w:t>
      </w:r>
      <w:r>
        <w:rPr>
          <w:rFonts w:ascii="Courier New" w:cs="Courier New" w:eastAsia="Courier New" w:hAnsi="Courier New"/>
          <w:b/>
          <w:bCs/>
          <w:sz w:val="22"/>
          <w:szCs w:val="22"/>
        </w:rPr>
        <w:t xml:space="preserve">PUT /members/me/volunteer-profile</w:t>
      </w:r>
      <w:r>
        <w:rPr>
          <w:sz w:val="22"/>
          <w:szCs w:val="22"/>
        </w:rPr>
        <w:t xml:space="preserve">.</w:t>
      </w:r>
    </w:p>
    <w:p>
      <w:pPr>
        <w:pStyle w:val="ListParagraph"/>
        <w:numPr>
          <w:ilvl w:val="0"/>
          <w:numId w:val="4"/>
        </w:numPr>
      </w:pPr>
      <w:r>
        <w:rPr>
          <w:b/>
          <w:bCs/>
          <w:sz w:val="22"/>
          <w:szCs w:val="22"/>
        </w:rPr>
        <w:t xml:space="preserve">Spiritual gifts: </w:t>
      </w:r>
      <w:r>
        <w:rPr>
          <w:sz w:val="22"/>
          <w:szCs w:val="22"/>
        </w:rPr>
        <w:t xml:space="preserve">Multi-select; no minimum or maximum (except the rule that "I'm not sure" deselects all other chips). Stored as a string array in </w:t>
      </w:r>
      <w:r>
        <w:rPr>
          <w:rFonts w:ascii="Courier New" w:cs="Courier New" w:eastAsia="Courier New" w:hAnsi="Courier New"/>
          <w:b/>
          <w:bCs/>
          <w:sz w:val="22"/>
          <w:szCs w:val="22"/>
        </w:rPr>
        <w:t xml:space="preserve">volunteer_profile.spiritual_gifts[]</w:t>
      </w:r>
      <w:r>
        <w:rPr>
          <w:sz w:val="22"/>
          <w:szCs w:val="22"/>
        </w:rPr>
        <w:t xml:space="preserve">.</w:t>
      </w:r>
    </w:p>
    <w:p>
      <w:pPr>
        <w:pStyle w:val="ListParagraph"/>
        <w:numPr>
          <w:ilvl w:val="0"/>
          <w:numId w:val="4"/>
        </w:numPr>
      </w:pPr>
      <w:r>
        <w:rPr>
          <w:b/>
          <w:bCs/>
          <w:sz w:val="22"/>
          <w:szCs w:val="22"/>
        </w:rPr>
        <w:t xml:space="preserve">Ministry areas: </w:t>
      </w:r>
      <w:r>
        <w:rPr>
          <w:sz w:val="22"/>
          <w:szCs w:val="22"/>
        </w:rPr>
        <w:t xml:space="preserve">Maximum 3 selections enforced client-side. If the member attempts to check a 4th item, the checkbox is blocked and a tooltip appears: "Select up to 3 during setup — you can add more later."</w:t>
      </w:r>
    </w:p>
    <w:p>
      <w:pPr>
        <w:pStyle w:val="ListParagraph"/>
        <w:numPr>
          <w:ilvl w:val="0"/>
          <w:numId w:val="4"/>
        </w:numPr>
      </w:pPr>
      <w:r>
        <w:rPr>
          <w:b/>
          <w:bCs/>
          <w:sz w:val="22"/>
          <w:szCs w:val="22"/>
        </w:rPr>
        <w:t xml:space="preserve">Auto-save: </w:t>
      </w:r>
      <w:r>
        <w:rPr>
          <w:sz w:val="22"/>
          <w:szCs w:val="22"/>
        </w:rPr>
        <w:t xml:space="preserve">All selections are written to the Zustand store on every interaction. No API call is made until "Continue" is clicked, preserving data across accidental navigation (Back, refresh).</w:t>
      </w:r>
    </w:p>
    <w:p>
      <w:pPr>
        <w:pStyle w:val="ListParagraph"/>
        <w:numPr>
          <w:ilvl w:val="0"/>
          <w:numId w:val="4"/>
        </w:numPr>
      </w:pPr>
      <w:r>
        <w:rPr>
          <w:b/>
          <w:bCs/>
          <w:sz w:val="22"/>
          <w:szCs w:val="22"/>
        </w:rPr>
        <w:t xml:space="preserve">Skip behavior: </w:t>
      </w:r>
      <w:r>
        <w:rPr>
          <w:sz w:val="22"/>
          <w:szCs w:val="22"/>
        </w:rPr>
        <w:t xml:space="preserve">Clicking "Skip for now" or "Not yet — just exploring" advances to Step 6 without calling any volunteer profile API. The member's </w:t>
      </w:r>
      <w:r>
        <w:rPr>
          <w:rFonts w:ascii="Courier New" w:cs="Courier New" w:eastAsia="Courier New" w:hAnsi="Courier New"/>
          <w:b/>
          <w:bCs/>
          <w:sz w:val="22"/>
          <w:szCs w:val="22"/>
        </w:rPr>
        <w:t xml:space="preserve">onboarding_step</w:t>
      </w:r>
      <w:r>
        <w:rPr>
          <w:sz w:val="22"/>
          <w:szCs w:val="22"/>
        </w:rPr>
        <w:t xml:space="preserve"> is incremented to 6. A "Set your serving preferences" nudge banner appears on the Serve dashboard for 30 days.</w:t>
      </w:r>
    </w:p>
    <w:p>
      <w:pPr>
        <w:pStyle w:val="Heading2"/>
      </w:pPr>
      <w:r>
        <w:rPr>
          <w:b/>
          <w:bCs/>
          <w:color w:val="2D6A4F"/>
          <w:sz w:val="24"/>
          <w:szCs w:val="24"/>
        </w:rPr>
        <w:t xml:space="preserve">3.5  Interactions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CCCCCC" w:sz="4"/>
              <w:left w:val="single" w:color="CCCCCC" w:sz="4"/>
              <w:bottom w:val="single" w:color="CCCCCC" w:sz="4"/>
              <w:right w:val="single" w:color="CCCCCC" w:sz="4"/>
            </w:tcBorders>
            <w:shd w:fill="D4EDDA" w:val="clear"/>
            <w:vAlign w:val="center"/>
          </w:tcPr>
          <w:p>
            <w:pPr>
              <w:jc w:val="center"/>
            </w:pPr>
            <w:r>
              <w:rPr>
                <w:b/>
                <w:bCs/>
                <w:color w:val="1B4332"/>
                <w:sz w:val="22"/>
                <w:szCs w:val="22"/>
              </w:rPr>
              <w:t xml:space="preserve">Trigger</w:t>
            </w:r>
          </w:p>
        </w:tc>
        <w:tc>
          <w:tcPr>
            <w:tcW w:type="dxa" w:w="3240"/>
            <w:tcBorders>
              <w:top w:val="single" w:color="CCCCCC" w:sz="4"/>
              <w:left w:val="single" w:color="CCCCCC" w:sz="4"/>
              <w:bottom w:val="single" w:color="CCCCCC" w:sz="4"/>
              <w:right w:val="single" w:color="CCCCCC" w:sz="4"/>
            </w:tcBorders>
            <w:shd w:fill="D4EDDA" w:val="clear"/>
            <w:vAlign w:val="center"/>
          </w:tcPr>
          <w:p>
            <w:pPr>
              <w:jc w:val="center"/>
            </w:pPr>
            <w:r>
              <w:rPr>
                <w:b/>
                <w:bCs/>
                <w:color w:val="1B4332"/>
                <w:sz w:val="22"/>
                <w:szCs w:val="22"/>
              </w:rPr>
              <w:t xml:space="preserve">System Action</w:t>
            </w:r>
          </w:p>
        </w:tc>
        <w:tc>
          <w:tcPr>
            <w:tcW w:type="dxa" w:w="3600"/>
            <w:tcBorders>
              <w:top w:val="single" w:color="CCCCCC" w:sz="4"/>
              <w:left w:val="single" w:color="CCCCCC" w:sz="4"/>
              <w:bottom w:val="single" w:color="CCCCCC" w:sz="4"/>
              <w:right w:val="single" w:color="CCCCCC" w:sz="4"/>
            </w:tcBorders>
            <w:shd w:fill="D4EDDA" w:val="clear"/>
            <w:vAlign w:val="center"/>
          </w:tcPr>
          <w:p>
            <w:pPr>
              <w:jc w:val="center"/>
            </w:pPr>
            <w:r>
              <w:rPr>
                <w:b/>
                <w:bCs/>
                <w:color w:val="1B4332"/>
                <w:sz w:val="22"/>
                <w:szCs w:val="22"/>
              </w:rPr>
              <w:t xml:space="preserve">User Feedback</w:t>
            </w:r>
          </w:p>
        </w:tc>
      </w:tr>
      <w:tr>
        <w:tc>
          <w:tcPr>
            <w:tcW w:type="dxa" w:w="252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Check availability cell</w:t>
            </w:r>
          </w:p>
        </w:tc>
        <w:tc>
          <w:tcPr>
            <w:tcW w:type="dxa" w:w="324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Day-slot pair added to local Zustand store</w:t>
            </w:r>
          </w:p>
        </w:tc>
        <w:tc>
          <w:tcPr>
            <w:tcW w:type="dxa" w:w="36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Checkbox fills green; cell background tints lightly</w:t>
            </w:r>
          </w:p>
        </w:tc>
      </w:tr>
      <w:tr>
        <w:tc>
          <w:tcPr>
            <w:tcW w:type="dxa" w:w="252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Tap spiritual gift chip</w:t>
            </w:r>
          </w:p>
        </w:tc>
        <w:tc>
          <w:tcPr>
            <w:tcW w:type="dxa" w:w="324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Gift toggled in/out of local selection array</w:t>
            </w:r>
          </w:p>
        </w:tc>
        <w:tc>
          <w:tcPr>
            <w:tcW w:type="dxa" w:w="360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Chip fills green or returns to white/grey (same as Step 4 chip behavior)</w:t>
            </w:r>
          </w:p>
        </w:tc>
      </w:tr>
      <w:tr>
        <w:tc>
          <w:tcPr>
            <w:tcW w:type="dxa" w:w="252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Tap "I'm not sure" chip</w:t>
            </w:r>
          </w:p>
        </w:tc>
        <w:tc>
          <w:tcPr>
            <w:tcW w:type="dxa" w:w="324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All other gift chips deselected; gifts_unknown = true set in store</w:t>
            </w:r>
          </w:p>
        </w:tc>
        <w:tc>
          <w:tcPr>
            <w:tcW w:type="dxa" w:w="36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All gift chips clear; "I'm not sure" chip fills amber/yellow to distinguish from standard selections</w:t>
            </w:r>
          </w:p>
        </w:tc>
      </w:tr>
      <w:tr>
        <w:tc>
          <w:tcPr>
            <w:tcW w:type="dxa" w:w="252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Check 4th ministry area</w:t>
            </w:r>
          </w:p>
        </w:tc>
        <w:tc>
          <w:tcPr>
            <w:tcW w:type="dxa" w:w="324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Client blocks the check; no state change</w:t>
            </w:r>
          </w:p>
        </w:tc>
        <w:tc>
          <w:tcPr>
            <w:tcW w:type="dxa" w:w="360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Tooltip appears: "Select up to 3 during setup — you can add more later." Checkbox remains unchecked.</w:t>
            </w:r>
          </w:p>
        </w:tc>
      </w:tr>
      <w:tr>
        <w:tc>
          <w:tcPr>
            <w:tcW w:type="dxa" w:w="252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[Not yet — just exploring]</w:t>
            </w:r>
          </w:p>
        </w:tc>
        <w:tc>
          <w:tcPr>
            <w:tcW w:type="dxa" w:w="324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All serving fields set to null; onboarding_step = 6</w:t>
            </w:r>
          </w:p>
        </w:tc>
        <w:tc>
          <w:tcPr>
            <w:tcW w:type="dxa" w:w="36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Immediate slide to Step 6; Serve dashboard will show 30-day nudge</w:t>
            </w:r>
          </w:p>
        </w:tc>
      </w:tr>
      <w:tr>
        <w:tc>
          <w:tcPr>
            <w:tcW w:type="dxa" w:w="252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[Continue -&gt;]</w:t>
            </w:r>
          </w:p>
        </w:tc>
        <w:tc>
          <w:tcPr>
            <w:tcW w:type="dxa" w:w="324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PUT /members/me/volunteer-profile called; onboarding_step = 6</w:t>
            </w:r>
          </w:p>
        </w:tc>
        <w:tc>
          <w:tcPr>
            <w:tcW w:type="dxa" w:w="360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Loading spinner on CTA; slide animation to Step 6 on success</w:t>
            </w:r>
          </w:p>
        </w:tc>
      </w:tr>
      <w:tr>
        <w:tc>
          <w:tcPr>
            <w:tcW w:type="dxa" w:w="252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[Skip for now]</w:t>
            </w:r>
          </w:p>
        </w:tc>
        <w:tc>
          <w:tcPr>
            <w:tcW w:type="dxa" w:w="324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No volunteer API call; onboarding_step = 6; onboarding_status = ONBOARDING_INCOMPLETE</w:t>
            </w:r>
          </w:p>
        </w:tc>
        <w:tc>
          <w:tcPr>
            <w:tcW w:type="dxa" w:w="360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Immediate slide to Step 6; dashboard nudge shown for 30 days</w:t>
            </w:r>
          </w:p>
        </w:tc>
      </w:tr>
      <w:tr>
        <w:tc>
          <w:tcPr>
            <w:tcW w:type="dxa" w:w="252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[&lt;- Back]</w:t>
            </w:r>
          </w:p>
        </w:tc>
        <w:tc>
          <w:tcPr>
            <w:tcW w:type="dxa" w:w="324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onboarding_step = 4; local store preserved</w:t>
            </w:r>
          </w:p>
        </w:tc>
        <w:tc>
          <w:tcPr>
            <w:tcW w:type="dxa" w:w="360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Reverse slide animation; Step 4 content restored from Zustand store</w:t>
            </w:r>
          </w:p>
        </w:tc>
      </w:tr>
    </w:tbl>
    <w:p>
      <w:pPr>
        <w:pStyle w:val="BodyText"/>
      </w:pPr>
      <w:r>
        <w:t xml:space="preserve"/>
      </w:r>
    </w:p>
    <w:p>
      <w:pPr>
        <w:pStyle w:val="Heading2"/>
      </w:pPr>
      <w:r>
        <w:rPr>
          <w:b/>
          <w:bCs/>
          <w:color w:val="2D6A4F"/>
          <w:sz w:val="24"/>
          <w:szCs w:val="24"/>
        </w:rPr>
        <w:t xml:space="preserve">3.6  Design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4"/>
              <w:left w:val="single" w:color="CCCCCC" w:sz="4"/>
              <w:bottom w:val="single" w:color="CCCCCC" w:sz="4"/>
              <w:right w:val="single" w:color="CCCCCC" w:sz="4"/>
            </w:tcBorders>
            <w:shd w:fill="EAF5EE" w:val="clear"/>
            <w:vAlign w:val="top"/>
          </w:tcPr>
          <w:p>
            <w:pPr>
              <w:jc w:val="center"/>
            </w:pPr>
            <w:r>
              <w:rPr>
                <w:b/>
                <w:bCs/>
                <w:color w:val="2D6A4F"/>
                <w:sz w:val="28"/>
                <w:szCs w:val="28"/>
              </w:rPr>
              <w:t xml:space="preserve">💡</w:t>
            </w:r>
          </w:p>
        </w:tc>
        <w:tc>
          <w:tcPr>
            <w:tcW w:type="dxa" w:w="8860"/>
            <w:tcBorders>
              <w:top w:val="single" w:color="CCCCCC" w:sz="4"/>
              <w:left w:val="single" w:color="CCCCCC" w:sz="4"/>
              <w:bottom w:val="single" w:color="CCCCCC" w:sz="4"/>
              <w:right w:val="single" w:color="CCCCCC" w:sz="4"/>
            </w:tcBorders>
            <w:shd w:fill="EAF5EE" w:val="clear"/>
            <w:vAlign w:val="top"/>
          </w:tcPr>
          <w:p>
            <w:r>
              <w:rPr>
                <w:b/>
                <w:bCs/>
                <w:color w:val="1B4332"/>
                <w:sz w:val="22"/>
                <w:szCs w:val="22"/>
              </w:rPr>
              <w:t xml:space="preserve">Serving as Invitation, Not Obligation</w:t>
            </w:r>
          </w:p>
          <w:p>
            <w:pPr>
              <w:spacing w:after="60" w:before="60"/>
            </w:pPr>
            <w:r>
              <w:rPr>
                <w:color w:val="333333"/>
                <w:sz w:val="22"/>
                <w:szCs w:val="22"/>
              </w:rPr>
              <w:t xml:space="preserve">The "Not yet — just exploring" option is positioned at the top of the form rather than at the bottom because it normalizes the idea of not being ready to serve without shame. Members who select this option are more likely to return to the Serve dashboard later than members who feel pressured into making selections they are uncertain about.</w:t>
            </w:r>
          </w:p>
          <w:p>
            <w:pPr>
              <w:spacing w:after="60" w:before="60"/>
            </w:pPr>
            <w:r>
              <w:rPr>
                <w:color w:val="333333"/>
                <w:sz w:val="22"/>
                <w:szCs w:val="22"/>
              </w:rPr>
              <w:t xml:space="preserve">The availability grid intentionally does not ask about monthly or yearly frequency — it focuses on the week-level pattern that ministry schedulers actually need for roster building.</w:t>
            </w:r>
          </w:p>
        </w:tc>
      </w:tr>
    </w:tbl>
    <w:p>
      <w:pPr>
        <w:pStyle w:val="BodyTex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4"/>
              <w:left w:val="single" w:color="CCCCCC" w:sz="4"/>
              <w:bottom w:val="single" w:color="CCCCCC" w:sz="4"/>
              <w:right w:val="single" w:color="CCCCCC" w:sz="4"/>
            </w:tcBorders>
            <w:shd w:fill="FFF8E1" w:val="clear"/>
            <w:vAlign w:val="top"/>
          </w:tcPr>
          <w:p>
            <w:pPr>
              <w:jc w:val="center"/>
            </w:pPr>
            <w:r>
              <w:rPr>
                <w:b/>
                <w:bCs/>
                <w:color w:val="2D6A4F"/>
                <w:sz w:val="28"/>
                <w:szCs w:val="28"/>
              </w:rPr>
              <w:t xml:space="preserve">🌟</w:t>
            </w:r>
          </w:p>
        </w:tc>
        <w:tc>
          <w:tcPr>
            <w:tcW w:type="dxa" w:w="8860"/>
            <w:tcBorders>
              <w:top w:val="single" w:color="CCCCCC" w:sz="4"/>
              <w:left w:val="single" w:color="CCCCCC" w:sz="4"/>
              <w:bottom w:val="single" w:color="CCCCCC" w:sz="4"/>
              <w:right w:val="single" w:color="CCCCCC" w:sz="4"/>
            </w:tcBorders>
            <w:shd w:fill="FFF8E1" w:val="clear"/>
            <w:vAlign w:val="top"/>
          </w:tcPr>
          <w:p>
            <w:r>
              <w:rPr>
                <w:b/>
                <w:bCs/>
                <w:color w:val="1B4332"/>
                <w:sz w:val="22"/>
                <w:szCs w:val="22"/>
              </w:rPr>
              <w:t xml:space="preserve">Volunteer Profile Data Model</w:t>
            </w:r>
          </w:p>
          <w:p>
            <w:pPr>
              <w:spacing w:after="60" w:before="60"/>
            </w:pPr>
            <w:r>
              <w:rPr>
                <w:color w:val="333333"/>
                <w:sz w:val="22"/>
                <w:szCs w:val="22"/>
              </w:rPr>
              <w:t xml:space="preserve">All serving data collected in Step 5 is stored in the </w:t>
            </w:r>
            <w:r>
              <w:rPr>
                <w:rFonts w:ascii="Courier New" w:cs="Courier New" w:eastAsia="Courier New" w:hAnsi="Courier New"/>
                <w:b/>
                <w:bCs/>
                <w:color w:val="333333"/>
                <w:sz w:val="22"/>
                <w:szCs w:val="22"/>
              </w:rPr>
              <w:t xml:space="preserve">volunteer_profiles</w:t>
            </w:r>
            <w:r>
              <w:rPr>
                <w:color w:val="333333"/>
                <w:sz w:val="22"/>
                <w:szCs w:val="22"/>
              </w:rPr>
              <w:t xml:space="preserve"> table (one row per member per org). The table has columns: </w:t>
            </w:r>
            <w:r>
              <w:rPr>
                <w:rFonts w:ascii="Courier New" w:cs="Courier New" w:eastAsia="Courier New" w:hAnsi="Courier New"/>
                <w:b/>
                <w:bCs/>
                <w:color w:val="333333"/>
                <w:sz w:val="22"/>
                <w:szCs w:val="22"/>
              </w:rPr>
              <w:t xml:space="preserve">availability JSONB, spiritual_gifts TEXT[], ministry_area_ids INTEGER[], gifts_unknown BOOLEAN, updated_at TIMESTAMP</w:t>
            </w:r>
            <w:r>
              <w:rPr>
                <w:color w:val="333333"/>
                <w:sz w:val="22"/>
                <w:szCs w:val="22"/>
              </w:rPr>
              <w:t xml:space="preserve">. Ministry leaders can filter this table from the Admin &gt; Volunteers screen to build and contact a candidate pool before scheduling.</w:t>
            </w:r>
          </w:p>
        </w:tc>
      </w:tr>
    </w:tbl>
    <w:p>
      <w:pPr>
        <w:pStyle w:val="BodyText"/>
      </w:pPr>
      <w:r>
        <w:t xml:space="preserve"/>
      </w:r>
    </w:p>
    <w:p>
      <w:pPr>
        <w:pStyle w:val="Heading1"/>
      </w:pPr>
      <w:r>
        <w:rPr>
          <w:b/>
          <w:bCs/>
          <w:color w:val="1B4332"/>
          <w:sz w:val="28"/>
          <w:szCs w:val="28"/>
        </w:rPr>
        <w:t xml:space="preserve">4.  Shared UI Elements (Both Screens)</w:t>
      </w:r>
    </w:p>
    <w:p>
      <w:pPr>
        <w:pStyle w:val="Heading2"/>
      </w:pPr>
      <w:r>
        <w:rPr>
          <w:b/>
          <w:bCs/>
          <w:color w:val="2D6A4F"/>
          <w:sz w:val="24"/>
          <w:szCs w:val="24"/>
        </w:rPr>
        <w:t xml:space="preserve">4.1  7-Step Progress Indicator</w:t>
      </w:r>
    </w:p>
    <w:p>
      <w:pPr>
        <w:pStyle w:val="ListParagraph"/>
        <w:numPr>
          <w:ilvl w:val="0"/>
          <w:numId w:val="5"/>
        </w:numPr>
      </w:pPr>
      <w:r>
        <w:rPr>
          <w:sz w:val="22"/>
          <w:szCs w:val="22"/>
        </w:rPr>
        <w:t xml:space="preserve">Displayed as a horizontal row of 7 pill-shaped step indicators at the top of the wizard card.</w:t>
      </w:r>
    </w:p>
    <w:p>
      <w:pPr>
        <w:pStyle w:val="ListParagraph"/>
        <w:numPr>
          <w:ilvl w:val="0"/>
          <w:numId w:val="5"/>
        </w:numPr>
      </w:pPr>
      <w:r>
        <w:rPr>
          <w:b/>
          <w:bCs/>
          <w:sz w:val="22"/>
          <w:szCs w:val="22"/>
        </w:rPr>
        <w:t xml:space="preserve">Completed steps: </w:t>
      </w:r>
      <w:r>
        <w:rPr>
          <w:sz w:val="22"/>
          <w:szCs w:val="22"/>
        </w:rPr>
        <w:t xml:space="preserve">filled green pill with a white checkmark (✓) icon.</w:t>
      </w:r>
    </w:p>
    <w:p>
      <w:pPr>
        <w:pStyle w:val="ListParagraph"/>
        <w:numPr>
          <w:ilvl w:val="0"/>
          <w:numId w:val="5"/>
        </w:numPr>
      </w:pPr>
      <w:r>
        <w:rPr>
          <w:b/>
          <w:bCs/>
          <w:sz w:val="22"/>
          <w:szCs w:val="22"/>
        </w:rPr>
        <w:t xml:space="preserve">Active step: </w:t>
      </w:r>
      <w:r>
        <w:rPr>
          <w:sz w:val="22"/>
          <w:szCs w:val="22"/>
        </w:rPr>
        <w:t xml:space="preserve">filled dark green pill with white step number; slightly larger than inactive pills.</w:t>
      </w:r>
    </w:p>
    <w:p>
      <w:pPr>
        <w:pStyle w:val="ListParagraph"/>
        <w:numPr>
          <w:ilvl w:val="0"/>
          <w:numId w:val="5"/>
        </w:numPr>
      </w:pPr>
      <w:r>
        <w:rPr>
          <w:b/>
          <w:bCs/>
          <w:sz w:val="22"/>
          <w:szCs w:val="22"/>
        </w:rPr>
        <w:t xml:space="preserve">Upcoming steps: </w:t>
      </w:r>
      <w:r>
        <w:rPr>
          <w:sz w:val="22"/>
          <w:szCs w:val="22"/>
        </w:rPr>
        <w:t xml:space="preserve">outlined grey pills with step numbers.</w:t>
      </w:r>
    </w:p>
    <w:p>
      <w:pPr>
        <w:pStyle w:val="ListParagraph"/>
        <w:numPr>
          <w:ilvl w:val="0"/>
          <w:numId w:val="5"/>
        </w:numPr>
      </w:pPr>
      <w:r>
        <w:rPr>
          <w:sz w:val="22"/>
          <w:szCs w:val="22"/>
        </w:rPr>
        <w:t xml:space="preserve">On mobile, step labels (text) are hidden; only numbers and icons are shown to conserve horizontal space.</w:t>
      </w:r>
    </w:p>
    <w:p>
      <w:pPr>
        <w:pStyle w:val="ListParagraph"/>
        <w:numPr>
          <w:ilvl w:val="0"/>
          <w:numId w:val="5"/>
        </w:numPr>
      </w:pPr>
      <w:r>
        <w:rPr>
          <w:sz w:val="22"/>
          <w:szCs w:val="22"/>
        </w:rPr>
        <w:t xml:space="preserve">The indicator is non-interactive — users cannot click ahead to skip steps; they must use the wizard navigation buttons.</w:t>
      </w:r>
    </w:p>
    <w:p>
      <w:pPr>
        <w:pStyle w:val="Heading2"/>
      </w:pPr>
      <w:r>
        <w:rPr>
          <w:b/>
          <w:bCs/>
          <w:color w:val="2D6A4F"/>
          <w:sz w:val="24"/>
          <w:szCs w:val="24"/>
        </w:rPr>
        <w:t xml:space="preserve">4.2  Liturgical Season Banner</w:t>
      </w:r>
    </w:p>
    <w:p>
      <w:pPr>
        <w:pStyle w:val="ListParagraph"/>
        <w:numPr>
          <w:ilvl w:val="0"/>
          <w:numId w:val="5"/>
        </w:numPr>
      </w:pPr>
      <w:r>
        <w:rPr>
          <w:sz w:val="22"/>
          <w:szCs w:val="22"/>
        </w:rPr>
        <w:t xml:space="preserve">Displayed as a full-width colored strip between the global header and the card.</w:t>
      </w:r>
    </w:p>
    <w:p>
      <w:pPr>
        <w:pStyle w:val="ListParagraph"/>
        <w:numPr>
          <w:ilvl w:val="0"/>
          <w:numId w:val="5"/>
        </w:numPr>
      </w:pPr>
      <w:r>
        <w:rPr>
          <w:b/>
          <w:bCs/>
          <w:sz w:val="22"/>
          <w:szCs w:val="22"/>
        </w:rPr>
        <w:t xml:space="preserve">Content: </w:t>
      </w:r>
      <w:r>
        <w:rPr>
          <w:sz w:val="22"/>
          <w:szCs w:val="22"/>
        </w:rPr>
        <w:t xml:space="preserve">a small season icon, season name, and current week number (e.g., "Ordinary Time • Week 23").</w:t>
      </w:r>
    </w:p>
    <w:p>
      <w:pPr>
        <w:pStyle w:val="ListParagraph"/>
        <w:numPr>
          <w:ilvl w:val="0"/>
          <w:numId w:val="5"/>
        </w:numPr>
      </w:pPr>
      <w:r>
        <w:rPr>
          <w:b/>
          <w:bCs/>
          <w:sz w:val="22"/>
          <w:szCs w:val="22"/>
        </w:rPr>
        <w:t xml:space="preserve">Color is driven by the active liturgical season: </w:t>
      </w:r>
      <w:r>
        <w:rPr>
          <w:sz w:val="22"/>
          <w:szCs w:val="22"/>
        </w:rPr>
        <w:t xml:space="preserve">green for Ordinary Time, purple for Advent/Lent, gold for Christmas/Easter, red for Holy Week/Pentecost.</w:t>
      </w:r>
    </w:p>
    <w:p>
      <w:pPr>
        <w:pStyle w:val="ListParagraph"/>
        <w:numPr>
          <w:ilvl w:val="0"/>
          <w:numId w:val="5"/>
        </w:numPr>
      </w:pPr>
      <w:r>
        <w:rPr>
          <w:sz w:val="22"/>
          <w:szCs w:val="22"/>
        </w:rPr>
        <w:t xml:space="preserve">This banner is identical to the one displayed throughout the main application, establishing visual continuity from first contact.</w:t>
      </w:r>
    </w:p>
    <w:p>
      <w:pPr>
        <w:pStyle w:val="Heading2"/>
      </w:pPr>
      <w:r>
        <w:rPr>
          <w:b/>
          <w:bCs/>
          <w:color w:val="2D6A4F"/>
          <w:sz w:val="24"/>
          <w:szCs w:val="24"/>
        </w:rPr>
        <w:t xml:space="preserve">4.3  Mobile Adaptations</w:t>
      </w:r>
    </w:p>
    <w:p>
      <w:pPr>
        <w:pStyle w:val="ListParagraph"/>
        <w:numPr>
          <w:ilvl w:val="0"/>
          <w:numId w:val="6"/>
        </w:numPr>
      </w:pPr>
      <w:r>
        <w:rPr>
          <w:sz w:val="22"/>
          <w:szCs w:val="22"/>
        </w:rPr>
        <w:t xml:space="preserve">Both screens stack to full-width single-column layouts on mobile viewports (≤768px).</w:t>
      </w:r>
    </w:p>
    <w:p>
      <w:pPr>
        <w:pStyle w:val="ListParagraph"/>
        <w:numPr>
          <w:ilvl w:val="0"/>
          <w:numId w:val="6"/>
        </w:numPr>
      </w:pPr>
      <w:r>
        <w:rPr>
          <w:sz w:val="22"/>
          <w:szCs w:val="22"/>
        </w:rPr>
        <w:t xml:space="preserve">Navigation buttons (Back, Skip, Continue) are pinned to the bottom of the viewport as a sticky action bar on mobile.</w:t>
      </w:r>
    </w:p>
    <w:p>
      <w:pPr>
        <w:pStyle w:val="ListParagraph"/>
        <w:numPr>
          <w:ilvl w:val="0"/>
          <w:numId w:val="6"/>
        </w:numPr>
      </w:pPr>
      <w:r>
        <w:rPr>
          <w:sz w:val="22"/>
          <w:szCs w:val="22"/>
        </w:rPr>
        <w:t xml:space="preserve">Interest and gift chip grids wrap into a 2-column layout on mobile (vs. 4-5 column on desktop).</w:t>
      </w:r>
    </w:p>
    <w:p>
      <w:pPr>
        <w:pStyle w:val="ListParagraph"/>
        <w:numPr>
          <w:ilvl w:val="0"/>
          <w:numId w:val="6"/>
        </w:numPr>
      </w:pPr>
      <w:r>
        <w:rPr>
          <w:sz w:val="22"/>
          <w:szCs w:val="22"/>
        </w:rPr>
        <w:t xml:space="preserve">Group preview cards in Step 4 render as a horizontally scrollable list (snap-scrolling, 1.5 cards visible at once to signal overflow).</w:t>
      </w:r>
    </w:p>
    <w:p>
      <w:pPr>
        <w:pStyle w:val="ListParagraph"/>
        <w:numPr>
          <w:ilvl w:val="0"/>
          <w:numId w:val="6"/>
        </w:numPr>
      </w:pPr>
      <w:r>
        <w:rPr>
          <w:sz w:val="22"/>
          <w:szCs w:val="22"/>
        </w:rPr>
        <w:t xml:space="preserve">The availability grid on Step 5 scrolls horizontally on mobile (7-column grid is too wide for a phone viewport); a horizontal scroll hint arrow is shown on first render.</w:t>
      </w:r>
    </w:p>
    <w:p>
      <w:pPr>
        <w:pStyle w:val="ListParagraph"/>
        <w:numPr>
          <w:ilvl w:val="0"/>
          <w:numId w:val="6"/>
        </w:numPr>
      </w:pPr>
      <w:r>
        <w:rPr>
          <w:sz w:val="22"/>
          <w:szCs w:val="22"/>
        </w:rPr>
        <w:t xml:space="preserve">Spiritual gifts and ministry areas sections on Step 5 are collapsed by default on mobile, expanding via a tap-to-toggle chevron, reducing the initial scroll depth.</w:t>
      </w:r>
    </w:p>
    <w:p>
      <w:pPr>
        <w:pStyle w:val="Heading1"/>
      </w:pPr>
      <w:r>
        <w:rPr>
          <w:b/>
          <w:bCs/>
          <w:color w:val="1B4332"/>
          <w:sz w:val="28"/>
          <w:szCs w:val="28"/>
        </w:rPr>
        <w:t xml:space="preserve">5.  Screen Transitions</w:t>
      </w:r>
    </w:p>
    <w:p>
      <w:pPr>
        <w:pStyle w:val="BodyText"/>
        <w:jc w:val="both"/>
      </w:pPr>
      <w:r>
        <w:rPr>
          <w:sz w:val="22"/>
          <w:szCs w:val="22"/>
        </w:rPr>
        <w:t xml:space="preserve">The transitions between these screens follow the same animation system as the rest of the onboarding wizard. All step-to-step transitions use a horizontal slide (250ms ease-in-out): the exiting screen slides out to the left, the entering screen slides in from the right. Back navigation reverses the direction (exiting slides right, entering slides left). The progress indicator updates in sync with the slide animation, with the pill shape morphing and color transitioning over the same 250ms. On mobile (React Native), this is implemented as a pager swipe using the React Native Pager View component, with native-feeling physics-based momentum.</w:t>
      </w:r>
    </w:p>
    <w:p>
      <w:pPr>
        <w:pStyle w:val="BodyText"/>
        <w:jc w:val="both"/>
      </w:pPr>
      <w:r>
        <w:rPr>
          <w:sz w:val="22"/>
          <w:szCs w:val="22"/>
        </w:rPr>
        <w:t xml:space="preserve">The Step 4 → Step 5 transition is a continuation slide (no interruption). The Step 5 → Step 6 transition also continues as a forward slide; Step 6 (Notification Preferences) is covered in a subsequent Batch 4 document.</w:t>
      </w:r>
    </w:p>
    <w:p>
      <w:pPr>
        <w:pStyle w:val="Heading1"/>
      </w:pPr>
      <w:r>
        <w:rPr>
          <w:b/>
          <w:bCs/>
          <w:color w:val="1B4332"/>
          <w:sz w:val="28"/>
          <w:szCs w:val="28"/>
        </w:rPr>
        <w:t xml:space="preserve">6.  Related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CCCCCC" w:sz="4"/>
              <w:left w:val="single" w:color="CCCCCC" w:sz="4"/>
              <w:bottom w:val="single" w:color="CCCCCC" w:sz="4"/>
              <w:right w:val="single" w:color="CCCCCC" w:sz="4"/>
            </w:tcBorders>
            <w:shd w:fill="D4EDDA" w:val="clear"/>
            <w:vAlign w:val="center"/>
          </w:tcPr>
          <w:p>
            <w:pPr>
              <w:jc w:val="left"/>
            </w:pPr>
            <w:r>
              <w:rPr>
                <w:b/>
                <w:bCs/>
                <w:color w:val="1B4332"/>
                <w:sz w:val="22"/>
                <w:szCs w:val="22"/>
              </w:rPr>
              <w:t xml:space="preserve">Document</w:t>
            </w:r>
          </w:p>
        </w:tc>
        <w:tc>
          <w:tcPr>
            <w:tcW w:type="dxa" w:w="6120"/>
            <w:tcBorders>
              <w:top w:val="single" w:color="CCCCCC" w:sz="4"/>
              <w:left w:val="single" w:color="CCCCCC" w:sz="4"/>
              <w:bottom w:val="single" w:color="CCCCCC" w:sz="4"/>
              <w:right w:val="single" w:color="CCCCCC" w:sz="4"/>
            </w:tcBorders>
            <w:shd w:fill="D4EDDA" w:val="clear"/>
            <w:vAlign w:val="center"/>
          </w:tcPr>
          <w:p>
            <w:pPr>
              <w:jc w:val="left"/>
            </w:pPr>
            <w:r>
              <w:rPr>
                <w:b/>
                <w:bCs/>
                <w:color w:val="1B4332"/>
                <w:sz w:val="22"/>
                <w:szCs w:val="22"/>
              </w:rPr>
              <w:t xml:space="preserve">Reference Content</w:t>
            </w:r>
          </w:p>
        </w:tc>
      </w:tr>
      <w:tr>
        <w:tc>
          <w:tcPr>
            <w:tcW w:type="dxa" w:w="3240"/>
            <w:tcBorders>
              <w:top w:val="single" w:color="CCCCCC" w:sz="4"/>
              <w:left w:val="single" w:color="CCCCCC" w:sz="4"/>
              <w:bottom w:val="single" w:color="CCCCCC" w:sz="4"/>
              <w:right w:val="single" w:color="CCCCCC" w:sz="4"/>
            </w:tcBorders>
            <w:shd w:fill="F8FFF9" w:val="clear"/>
            <w:vAlign w:val="top"/>
          </w:tcPr>
          <w:p>
            <w:r>
              <w:rPr>
                <w:b/>
                <w:bCs/>
                <w:color w:val="333333"/>
                <w:sz w:val="22"/>
                <w:szCs w:val="22"/>
              </w:rPr>
              <w:t xml:space="preserve">ROCA New Member Onboarding Design Document</w:t>
            </w:r>
          </w:p>
        </w:tc>
        <w:tc>
          <w:tcPr>
            <w:tcW w:type="dxa" w:w="612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Full onboarding user flow specification including all 7 steps, user stories (US-1 through US-10), implementation architecture, and testing strategy.</w:t>
            </w:r>
          </w:p>
        </w:tc>
      </w:tr>
      <w:tr>
        <w:tc>
          <w:tcPr>
            <w:tcW w:type="dxa" w:w="3240"/>
            <w:tcBorders>
              <w:top w:val="single" w:color="CCCCCC" w:sz="4"/>
              <w:left w:val="single" w:color="CCCCCC" w:sz="4"/>
              <w:bottom w:val="single" w:color="CCCCCC" w:sz="4"/>
              <w:right w:val="single" w:color="CCCCCC" w:sz="4"/>
            </w:tcBorders>
            <w:shd w:fill="FFFFFF" w:val="clear"/>
            <w:vAlign w:val="top"/>
          </w:tcPr>
          <w:p>
            <w:r>
              <w:rPr>
                <w:b/>
                <w:bCs/>
                <w:color w:val="333333"/>
                <w:sz w:val="22"/>
                <w:szCs w:val="22"/>
              </w:rPr>
              <w:t xml:space="preserve">ROCA Onboarding Mockup — Batch 1 (Steps 1 &amp; 2)</w:t>
            </w:r>
          </w:p>
        </w:tc>
        <w:tc>
          <w:tcPr>
            <w:tcW w:type="dxa" w:w="612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Companion screen description document for the Account Creation (Step 1) and Organization Discovery (Step 2) screens.</w:t>
            </w:r>
          </w:p>
        </w:tc>
      </w:tr>
      <w:tr>
        <w:tc>
          <w:tcPr>
            <w:tcW w:type="dxa" w:w="3240"/>
            <w:tcBorders>
              <w:top w:val="single" w:color="CCCCCC" w:sz="4"/>
              <w:left w:val="single" w:color="CCCCCC" w:sz="4"/>
              <w:bottom w:val="single" w:color="CCCCCC" w:sz="4"/>
              <w:right w:val="single" w:color="CCCCCC" w:sz="4"/>
            </w:tcBorders>
            <w:shd w:fill="F8FFF9" w:val="clear"/>
            <w:vAlign w:val="top"/>
          </w:tcPr>
          <w:p>
            <w:r>
              <w:rPr>
                <w:b/>
                <w:bCs/>
                <w:color w:val="333333"/>
                <w:sz w:val="22"/>
                <w:szCs w:val="22"/>
              </w:rPr>
              <w:t xml:space="preserve">ROCA Onboarding Mockup — Batch 2 (Pending Approval &amp; Step 3)</w:t>
            </w:r>
          </w:p>
        </w:tc>
        <w:tc>
          <w:tcPr>
            <w:tcW w:type="dxa" w:w="612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Companion screen description document for the Pending Approval waiting state and Step 3: Profile Completion.</w:t>
            </w:r>
          </w:p>
        </w:tc>
      </w:tr>
      <w:tr>
        <w:tc>
          <w:tcPr>
            <w:tcW w:type="dxa" w:w="3240"/>
            <w:tcBorders>
              <w:top w:val="single" w:color="CCCCCC" w:sz="4"/>
              <w:left w:val="single" w:color="CCCCCC" w:sz="4"/>
              <w:bottom w:val="single" w:color="CCCCCC" w:sz="4"/>
              <w:right w:val="single" w:color="CCCCCC" w:sz="4"/>
            </w:tcBorders>
            <w:shd w:fill="FFFFFF" w:val="clear"/>
            <w:vAlign w:val="top"/>
          </w:tcPr>
          <w:p>
            <w:r>
              <w:rPr>
                <w:b/>
                <w:bCs/>
                <w:color w:val="333333"/>
                <w:sz w:val="22"/>
                <w:szCs w:val="22"/>
              </w:rPr>
              <w:t xml:space="preserve">ROCA Unified Technical Design Specification</w:t>
            </w:r>
          </w:p>
        </w:tc>
        <w:tc>
          <w:tcPr>
            <w:tcW w:type="dxa" w:w="612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Complete application architecture, 15-table database schema, 75+ API endpoints, RBAC permission matrix, and infrastructure design.</w:t>
            </w:r>
          </w:p>
        </w:tc>
      </w:tr>
      <w:tr>
        <w:tc>
          <w:tcPr>
            <w:tcW w:type="dxa" w:w="3240"/>
            <w:tcBorders>
              <w:top w:val="single" w:color="CCCCCC" w:sz="4"/>
              <w:left w:val="single" w:color="CCCCCC" w:sz="4"/>
              <w:bottom w:val="single" w:color="CCCCCC" w:sz="4"/>
              <w:right w:val="single" w:color="CCCCCC" w:sz="4"/>
            </w:tcBorders>
            <w:shd w:fill="F8FFF9" w:val="clear"/>
            <w:vAlign w:val="top"/>
          </w:tcPr>
          <w:p>
            <w:r>
              <w:rPr>
                <w:b/>
                <w:bCs/>
                <w:color w:val="333333"/>
                <w:sz w:val="22"/>
                <w:szCs w:val="22"/>
              </w:rPr>
              <w:t xml:space="preserve">ROCA Developer Handoff Document</w:t>
            </w:r>
          </w:p>
        </w:tc>
        <w:tc>
          <w:tcPr>
            <w:tcW w:type="dxa" w:w="6120"/>
            <w:tcBorders>
              <w:top w:val="single" w:color="CCCCCC" w:sz="4"/>
              <w:left w:val="single" w:color="CCCCCC" w:sz="4"/>
              <w:bottom w:val="single" w:color="CCCCCC" w:sz="4"/>
              <w:right w:val="single" w:color="CCCCCC" w:sz="4"/>
            </w:tcBorders>
            <w:shd w:fill="F8FFF9" w:val="clear"/>
            <w:vAlign w:val="top"/>
          </w:tcPr>
          <w:p>
            <w:r>
              <w:rPr>
                <w:b w:val="false"/>
                <w:bCs w:val="false"/>
                <w:color w:val="333333"/>
                <w:sz w:val="22"/>
                <w:szCs w:val="22"/>
              </w:rPr>
              <w:t xml:space="preserve">Sprint plan, TypeScript type definitions, React component patterns, and copy-paste code snippets for engineering teams.</w:t>
            </w:r>
          </w:p>
        </w:tc>
      </w:tr>
      <w:tr>
        <w:tc>
          <w:tcPr>
            <w:tcW w:type="dxa" w:w="3240"/>
            <w:tcBorders>
              <w:top w:val="single" w:color="CCCCCC" w:sz="4"/>
              <w:left w:val="single" w:color="CCCCCC" w:sz="4"/>
              <w:bottom w:val="single" w:color="CCCCCC" w:sz="4"/>
              <w:right w:val="single" w:color="CCCCCC" w:sz="4"/>
            </w:tcBorders>
            <w:shd w:fill="FFFFFF" w:val="clear"/>
            <w:vAlign w:val="top"/>
          </w:tcPr>
          <w:p>
            <w:r>
              <w:rPr>
                <w:b/>
                <w:bCs/>
                <w:color w:val="333333"/>
                <w:sz w:val="22"/>
                <w:szCs w:val="22"/>
              </w:rPr>
              <w:t xml:space="preserve">ROCA Kiro Spec (design.md + tasks.md)</w:t>
            </w:r>
          </w:p>
        </w:tc>
        <w:tc>
          <w:tcPr>
            <w:tcW w:type="dxa" w:w="6120"/>
            <w:tcBorders>
              <w:top w:val="single" w:color="CCCCCC" w:sz="4"/>
              <w:left w:val="single" w:color="CCCCCC" w:sz="4"/>
              <w:bottom w:val="single" w:color="CCCCCC" w:sz="4"/>
              <w:right w:val="single" w:color="CCCCCC" w:sz="4"/>
            </w:tcBorders>
            <w:shd w:fill="FFFFFF" w:val="clear"/>
            <w:vAlign w:val="top"/>
          </w:tcPr>
          <w:p>
            <w:r>
              <w:rPr>
                <w:b w:val="false"/>
                <w:bCs w:val="false"/>
                <w:color w:val="333333"/>
                <w:sz w:val="22"/>
                <w:szCs w:val="22"/>
              </w:rPr>
              <w:t xml:space="preserve">Machine-readable Kiro spec files for import into the Kiro development workflow tool. Covers 39 implementation tasks across 6 sprints.</w:t>
            </w:r>
          </w:p>
        </w:tc>
      </w:tr>
    </w:tbl>
    <w:p>
      <w:pPr>
        <w:pStyle w:val="BodyTex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3780"/>
      </w:tblGrid>
      <w:tr>
        <w:tc>
          <w:tcPr>
            <w:tcW w:type="dxa" w:w="5580"/>
            <w:tcBorders>
              <w:top w:val="single" w:color="2D6A4F" w:sz="4"/>
              <w:left w:val="none" w:color="FFFFFF" w:sz="0"/>
              <w:bottom w:val="none" w:color="FFFFFF" w:sz="0"/>
              <w:right w:val="none" w:color="FFFFFF" w:sz="0"/>
            </w:tcBorders>
            <w:shd w:fill="FFFFFF" w:val="clear"/>
          </w:tcPr>
          <w:p>
            <w:r>
              <w:rPr>
                <w:color w:val="555555"/>
                <w:sz w:val="18"/>
                <w:szCs w:val="18"/>
              </w:rPr>
              <w:t xml:space="preserve">ROCA  •  Onboarding Design Reference</w:t>
            </w:r>
          </w:p>
        </w:tc>
        <w:tc>
          <w:tcPr>
            <w:tcW w:type="dxa" w:w="3780"/>
            <w:tcBorders>
              <w:top w:val="single" w:color="2D6A4F" w:sz="4"/>
              <w:left w:val="none" w:color="FFFFFF" w:sz="0"/>
              <w:bottom w:val="none" w:color="FFFFFF" w:sz="0"/>
              <w:right w:val="none" w:color="FFFFFF" w:sz="0"/>
            </w:tcBorders>
            <w:shd w:fill="FFFFFF" w:val="clear"/>
          </w:tcPr>
          <w:p>
            <w:pPr>
              <w:jc w:val="right"/>
            </w:pPr>
            <w:r>
              <w:rPr>
                <w:color w:val="555555"/>
                <w:sz w:val="18"/>
                <w:szCs w:val="18"/>
              </w:rPr>
              <w:t xml:space="preserve">Document Version 1.0   •   Status: Ready for Development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777777"/>
        <w:sz w:val="18"/>
        <w:szCs w:val="18"/>
      </w:rPr>
      <w:t xml:space="preserve">ROCA  •  New Member Onboarding Mockup Reference  •  Version 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2D6A4F" w:sz="4"/>
            <w:right w:val="none" w:color="FFFFFF" w:sz="0"/>
          </w:tcBorders>
          <w:shd w:fill="FFFFFF" w:val="clear"/>
        </w:tcPr>
        <w:p>
          <w:r>
            <w:rPr>
              <w:b/>
              <w:bCs/>
              <w:color w:val="1B4332"/>
              <w:sz w:val="20"/>
              <w:szCs w:val="20"/>
            </w:rPr>
            <w:t xml:space="preserve">ROCA New Member Onboarding</w:t>
          </w:r>
        </w:p>
      </w:tc>
      <w:tc>
        <w:tcPr>
          <w:tcW w:type="dxa" w:w="4680"/>
          <w:tcBorders>
            <w:top w:val="none" w:color="FFFFFF" w:sz="0"/>
            <w:left w:val="none" w:color="FFFFFF" w:sz="0"/>
            <w:bottom w:val="single" w:color="2D6A4F" w:sz="4"/>
            <w:right w:val="none" w:color="FFFFFF" w:sz="0"/>
          </w:tcBorders>
          <w:shd w:fill="FFFFFF" w:val="clear"/>
        </w:tcPr>
        <w:p>
          <w:pPr>
            <w:jc w:val="right"/>
          </w:pPr>
          <w:r>
            <w:rPr>
              <w:i/>
              <w:iCs/>
              <w:color w:val="666666"/>
              <w:sz w:val="20"/>
              <w:szCs w:val="20"/>
            </w:rPr>
            <w:t xml:space="preserve">Mockup Screen Reference • Batch 3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60" w:before="200"/>
      <w:jc w:val="center"/>
    </w:pPr>
    <w:rPr>
      <w:b/>
      <w:bCs/>
      <w:color w:val="1B4332"/>
      <w:sz w:val="40"/>
      <w:szCs w:val="40"/>
    </w:rPr>
  </w:style>
  <w:style w:type="paragraph" w:styleId="DocSubtitle">
    <w:name w:val="DocSubtitle"/>
    <w:basedOn w:val="Normal"/>
    <w:qFormat/>
    <w:pPr>
      <w:spacing w:after="60" w:before="0"/>
      <w:jc w:val="center"/>
    </w:pPr>
    <w:rPr>
      <w:i/>
      <w:iCs/>
      <w:color w:val="2D6A4F"/>
      <w:sz w:val="26"/>
      <w:szCs w:val="26"/>
    </w:rPr>
  </w:style>
  <w:style w:type="paragraph" w:styleId="SectionHead">
    <w:name w:val="SectionHead"/>
    <w:basedOn w:val="Normal"/>
    <w:qFormat/>
    <w:pPr>
      <w:spacing w:after="200" w:before="0"/>
      <w:jc w:val="center"/>
    </w:pPr>
    <w:rPr>
      <w:color w:val="4A4A4A"/>
      <w:sz w:val="24"/>
      <w:szCs w:val="24"/>
    </w:rPr>
  </w:style>
  <w:style w:type="paragraph" w:styleId="BodyText">
    <w:name w:val="BodyText"/>
    <w:basedOn w:val="Normal"/>
    <w:qFormat/>
    <w:pPr>
      <w:spacing w:after="140" w:before="80" w:line="276"/>
    </w:pPr>
    <w:rPr>
      <w:color w:val="222222"/>
      <w:sz w:val="22"/>
      <w:szCs w:val="22"/>
    </w:rPr>
  </w:style>
  <w:style w:type="paragraph" w:styleId="Caption">
    <w:name w:val="Caption"/>
    <w:basedOn w:val="Normal"/>
    <w:qFormat/>
    <w:pPr>
      <w:spacing w:after="200" w:before="60"/>
      <w:jc w:val="center"/>
    </w:pPr>
    <w:rPr>
      <w:i/>
      <w:iCs/>
      <w:color w:val="555555"/>
      <w:sz w:val="20"/>
      <w:szCs w:val="20"/>
    </w:rPr>
  </w:style>
  <w:style w:type="paragraph" w:styleId="LabelBold">
    <w:name w:val="LabelBold"/>
    <w:basedOn w:val="Normal"/>
    <w:qFormat/>
    <w:pPr>
      <w:spacing w:after="60" w:before="80"/>
    </w:pPr>
    <w:rPr>
      <w:b/>
      <w:bCs/>
      <w:color w:val="1B4332"/>
      <w:sz w:val="22"/>
      <w:szCs w:val="22"/>
    </w:rPr>
  </w:style>
  <w:style w:type="paragraph" w:styleId="SubHead">
    <w:name w:val="SubHead"/>
    <w:basedOn w:val="Normal"/>
    <w:qFormat/>
    <w:pPr>
      <w:spacing w:after="80" w:before="120"/>
    </w:pPr>
    <w:rPr>
      <w:b/>
      <w:bCs/>
      <w:color w:val="2D6A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5d68418a5732955472b06a1eae65a1cb002c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88CBA1-52F3-4EBA-BFC7-0942B8D979A3}">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2026-08-26T15:58:05.227Z</dcterms:created>
  <dcterms:modified xsi:type="dcterms:W3CDTF">2026-08-26T15:58:05.227Z</dcterms:modified>
</cp:coreProperties>
</file>

<file path=docProps/custom.xml><?xml version="1.0" encoding="utf-8"?>
<Properties xmlns="http://schemas.openxmlformats.org/officeDocument/2006/custom-properties" xmlns:vt="http://schemas.openxmlformats.org/officeDocument/2006/docPropsVTypes"/>
</file>